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6931" w:rsidR="5F905EE0" w:rsidP="5F905EE0" w:rsidRDefault="00A45EE0" w14:paraId="500642C0" w14:textId="0BF89E9B">
      <w:pPr>
        <w:rPr>
          <w:rFonts w:ascii="Verdana" w:hAnsi="Verdana" w:eastAsia="Verdana" w:cs="Verdana"/>
          <w:b/>
          <w:bCs/>
          <w:sz w:val="18"/>
          <w:szCs w:val="18"/>
        </w:rPr>
      </w:pPr>
      <w:r>
        <w:rPr>
          <w:rFonts w:ascii="Verdana" w:hAnsi="Verdana" w:eastAsia="Verdana" w:cs="Verdana"/>
          <w:b/>
          <w:bCs/>
          <w:sz w:val="18"/>
          <w:szCs w:val="18"/>
        </w:rPr>
        <w:t>BIJLAGE</w:t>
      </w:r>
      <w:r w:rsidRPr="00276931" w:rsidR="5F905EE0">
        <w:rPr>
          <w:rFonts w:ascii="Verdana" w:hAnsi="Verdana" w:eastAsia="Verdana" w:cs="Verdana"/>
          <w:b/>
          <w:bCs/>
          <w:sz w:val="18"/>
          <w:szCs w:val="18"/>
        </w:rPr>
        <w:t xml:space="preserve"> 1 – Actuele onderwerpen, moties en toezeggingen </w:t>
      </w:r>
    </w:p>
    <w:p w:rsidR="00F42269" w:rsidP="00386FEE" w:rsidRDefault="00386FEE" w14:paraId="4A5230A6" w14:textId="19098959">
      <w:pPr>
        <w:rPr>
          <w:rFonts w:ascii="Verdana" w:hAnsi="Verdana" w:eastAsia="Verdana" w:cs="Verdana"/>
          <w:sz w:val="18"/>
          <w:szCs w:val="18"/>
        </w:rPr>
      </w:pPr>
      <w:r w:rsidRPr="00386FEE">
        <w:rPr>
          <w:rFonts w:ascii="Verdana" w:hAnsi="Verdana" w:eastAsia="Verdana" w:cs="Verdana"/>
          <w:sz w:val="18"/>
          <w:szCs w:val="18"/>
        </w:rPr>
        <w:t xml:space="preserve">Met deze </w:t>
      </w:r>
      <w:r w:rsidR="00A45EE0">
        <w:rPr>
          <w:rFonts w:ascii="Verdana" w:hAnsi="Verdana" w:eastAsia="Verdana" w:cs="Verdana"/>
          <w:sz w:val="18"/>
          <w:szCs w:val="18"/>
        </w:rPr>
        <w:t>bijlage</w:t>
      </w:r>
      <w:r w:rsidRPr="00386FEE">
        <w:rPr>
          <w:rFonts w:ascii="Verdana" w:hAnsi="Verdana" w:eastAsia="Verdana" w:cs="Verdana"/>
          <w:sz w:val="18"/>
          <w:szCs w:val="18"/>
        </w:rPr>
        <w:t xml:space="preserve"> ontvangt u</w:t>
      </w:r>
      <w:r w:rsidR="00B05FFF">
        <w:rPr>
          <w:rFonts w:ascii="Verdana" w:hAnsi="Verdana" w:eastAsia="Verdana" w:cs="Verdana"/>
          <w:sz w:val="18"/>
          <w:szCs w:val="18"/>
        </w:rPr>
        <w:t xml:space="preserve"> in één overzicht</w:t>
      </w:r>
      <w:r w:rsidRPr="00386FEE">
        <w:rPr>
          <w:rFonts w:ascii="Verdana" w:hAnsi="Verdana" w:eastAsia="Verdana" w:cs="Verdana"/>
          <w:sz w:val="18"/>
          <w:szCs w:val="18"/>
        </w:rPr>
        <w:t xml:space="preserve"> de laatste stand van zaken </w:t>
      </w:r>
      <w:r w:rsidR="008718AB">
        <w:rPr>
          <w:rFonts w:ascii="Verdana" w:hAnsi="Verdana" w:eastAsia="Verdana" w:cs="Verdana"/>
          <w:sz w:val="18"/>
          <w:szCs w:val="18"/>
        </w:rPr>
        <w:t>van</w:t>
      </w:r>
      <w:r w:rsidRPr="00386FEE" w:rsidR="00B05FFF">
        <w:rPr>
          <w:rFonts w:ascii="Verdana" w:hAnsi="Verdana" w:eastAsia="Verdana" w:cs="Verdana"/>
          <w:sz w:val="18"/>
          <w:szCs w:val="18"/>
        </w:rPr>
        <w:t xml:space="preserve"> </w:t>
      </w:r>
      <w:r w:rsidRPr="00386FEE">
        <w:rPr>
          <w:rFonts w:ascii="Verdana" w:hAnsi="Verdana" w:eastAsia="Verdana" w:cs="Verdana"/>
          <w:sz w:val="18"/>
          <w:szCs w:val="18"/>
        </w:rPr>
        <w:t>onderwerpen waarover uw Kamer eerder vragen heeft gesteld, waarover toezeggingen zijn gedaan</w:t>
      </w:r>
      <w:r w:rsidR="00386C87">
        <w:rPr>
          <w:rFonts w:ascii="Verdana" w:hAnsi="Verdana" w:eastAsia="Verdana" w:cs="Verdana"/>
          <w:sz w:val="18"/>
          <w:szCs w:val="18"/>
        </w:rPr>
        <w:t xml:space="preserve">, moties zijn aangenomen </w:t>
      </w:r>
      <w:r w:rsidRPr="00386FEE">
        <w:rPr>
          <w:rFonts w:ascii="Verdana" w:hAnsi="Verdana" w:eastAsia="Verdana" w:cs="Verdana"/>
          <w:sz w:val="18"/>
          <w:szCs w:val="18"/>
        </w:rPr>
        <w:t xml:space="preserve">of waarover mijn ambtsvoorganger </w:t>
      </w:r>
      <w:r w:rsidR="00CE2B50">
        <w:rPr>
          <w:rFonts w:ascii="Verdana" w:hAnsi="Verdana" w:eastAsia="Verdana" w:cs="Verdana"/>
          <w:sz w:val="18"/>
          <w:szCs w:val="18"/>
        </w:rPr>
        <w:t>of ik</w:t>
      </w:r>
      <w:r w:rsidRPr="00386FEE">
        <w:rPr>
          <w:rFonts w:ascii="Verdana" w:hAnsi="Verdana" w:eastAsia="Verdana" w:cs="Verdana"/>
          <w:sz w:val="18"/>
          <w:szCs w:val="18"/>
        </w:rPr>
        <w:t xml:space="preserve"> in voorgaande brieven </w:t>
      </w:r>
      <w:r w:rsidR="00CC3322">
        <w:rPr>
          <w:rFonts w:ascii="Verdana" w:hAnsi="Verdana" w:eastAsia="Verdana" w:cs="Verdana"/>
          <w:sz w:val="18"/>
          <w:szCs w:val="18"/>
        </w:rPr>
        <w:t>hebben</w:t>
      </w:r>
      <w:r w:rsidRPr="00386FEE" w:rsidR="00B05FFF">
        <w:rPr>
          <w:rFonts w:ascii="Verdana" w:hAnsi="Verdana" w:eastAsia="Verdana" w:cs="Verdana"/>
          <w:sz w:val="18"/>
          <w:szCs w:val="18"/>
        </w:rPr>
        <w:t xml:space="preserve"> </w:t>
      </w:r>
      <w:r w:rsidRPr="00386FEE">
        <w:rPr>
          <w:rFonts w:ascii="Verdana" w:hAnsi="Verdana" w:eastAsia="Verdana" w:cs="Verdana"/>
          <w:sz w:val="18"/>
          <w:szCs w:val="18"/>
        </w:rPr>
        <w:t xml:space="preserve">aangekondigd u nader te informeren. </w:t>
      </w:r>
    </w:p>
    <w:p w:rsidR="00142C00" w:rsidP="00386FEE" w:rsidRDefault="00F42269" w14:paraId="68741EA5" w14:textId="5AE0E857">
      <w:r>
        <w:rPr>
          <w:rFonts w:ascii="Verdana" w:hAnsi="Verdana"/>
          <w:sz w:val="18"/>
          <w:szCs w:val="18"/>
        </w:rPr>
        <w:t xml:space="preserve">In de Kamerbrief </w:t>
      </w:r>
      <w:r w:rsidR="008718AB">
        <w:rPr>
          <w:rFonts w:ascii="Verdana" w:hAnsi="Verdana"/>
          <w:sz w:val="18"/>
          <w:szCs w:val="18"/>
        </w:rPr>
        <w:t xml:space="preserve">waar </w:t>
      </w:r>
      <w:r>
        <w:rPr>
          <w:rFonts w:ascii="Verdana" w:hAnsi="Verdana"/>
          <w:sz w:val="18"/>
          <w:szCs w:val="18"/>
        </w:rPr>
        <w:t>deze bijlage</w:t>
      </w:r>
      <w:r w:rsidR="008718AB">
        <w:rPr>
          <w:rFonts w:ascii="Verdana" w:hAnsi="Verdana"/>
          <w:sz w:val="18"/>
          <w:szCs w:val="18"/>
        </w:rPr>
        <w:t xml:space="preserve"> onderdeel van uitmaakt</w:t>
      </w:r>
      <w:r w:rsidR="00717C29">
        <w:rPr>
          <w:rFonts w:ascii="Verdana" w:hAnsi="Verdana"/>
          <w:sz w:val="18"/>
          <w:szCs w:val="18"/>
        </w:rPr>
        <w:t>,</w:t>
      </w:r>
      <w:r>
        <w:rPr>
          <w:rFonts w:ascii="Verdana" w:hAnsi="Verdana"/>
          <w:sz w:val="18"/>
          <w:szCs w:val="18"/>
        </w:rPr>
        <w:t xml:space="preserve"> ben ik ingegaan op de koers van de Belastingdienst. </w:t>
      </w:r>
      <w:r w:rsidR="00142C00">
        <w:rPr>
          <w:rFonts w:ascii="Verdana" w:hAnsi="Verdana"/>
          <w:sz w:val="18"/>
          <w:szCs w:val="18"/>
        </w:rPr>
        <w:t>Ik</w:t>
      </w:r>
      <w:r w:rsidRPr="002B2C94">
        <w:rPr>
          <w:rFonts w:ascii="Verdana" w:hAnsi="Verdana"/>
          <w:sz w:val="18"/>
          <w:szCs w:val="18"/>
        </w:rPr>
        <w:t xml:space="preserve"> wil mij richten op het verder ontwikkelen en versterken van de dienstverlening, de modernisering van het ICT-landschap en het herstellen van fouten uit het verleden. Dit is in lijn met de Meerjarenstrategie 2025-2030 die de Belastingdienst heeft opgesteld.</w:t>
      </w:r>
      <w:r>
        <w:t xml:space="preserve"> </w:t>
      </w:r>
    </w:p>
    <w:p w:rsidRPr="00386FEE" w:rsidR="00386FEE" w:rsidP="00386FEE" w:rsidRDefault="00CA418D" w14:paraId="1E288468" w14:textId="6BC926F2">
      <w:pPr>
        <w:rPr>
          <w:rFonts w:ascii="Verdana" w:hAnsi="Verdana" w:eastAsia="Verdana" w:cs="Verdana"/>
          <w:sz w:val="18"/>
          <w:szCs w:val="18"/>
        </w:rPr>
      </w:pPr>
      <w:r w:rsidRPr="00386FEE">
        <w:rPr>
          <w:rFonts w:ascii="Verdana" w:hAnsi="Verdana" w:eastAsia="Verdana" w:cs="Verdana"/>
          <w:sz w:val="18"/>
          <w:szCs w:val="18"/>
        </w:rPr>
        <w:t xml:space="preserve">Deze </w:t>
      </w:r>
      <w:r>
        <w:rPr>
          <w:rFonts w:ascii="Verdana" w:hAnsi="Verdana" w:eastAsia="Verdana" w:cs="Verdana"/>
          <w:sz w:val="18"/>
          <w:szCs w:val="18"/>
        </w:rPr>
        <w:t>bijlage</w:t>
      </w:r>
      <w:r w:rsidRPr="00386FEE">
        <w:rPr>
          <w:rFonts w:ascii="Verdana" w:hAnsi="Verdana" w:eastAsia="Verdana" w:cs="Verdana"/>
          <w:sz w:val="18"/>
          <w:szCs w:val="18"/>
        </w:rPr>
        <w:t xml:space="preserve"> belicht de voorliggende moties, toezeggingen en vragen langs de vier strategische prioriteiten uit de Meerjarenstrategie Belastingdienst 2025-2030</w:t>
      </w:r>
      <w:r w:rsidR="00F660BF">
        <w:rPr>
          <w:rStyle w:val="Voetnootmarkering"/>
          <w:rFonts w:ascii="Verdana" w:hAnsi="Verdana" w:eastAsia="Verdana" w:cs="Verdana"/>
          <w:sz w:val="18"/>
          <w:szCs w:val="18"/>
        </w:rPr>
        <w:footnoteReference w:id="2"/>
      </w:r>
      <w:r w:rsidRPr="00386FEE">
        <w:rPr>
          <w:rFonts w:ascii="Verdana" w:hAnsi="Verdana" w:eastAsia="Verdana" w:cs="Verdana"/>
          <w:sz w:val="18"/>
          <w:szCs w:val="18"/>
        </w:rPr>
        <w:t>.</w:t>
      </w:r>
      <w:r>
        <w:rPr>
          <w:rFonts w:ascii="Verdana" w:hAnsi="Verdana" w:eastAsia="Verdana" w:cs="Verdana"/>
          <w:sz w:val="18"/>
          <w:szCs w:val="18"/>
        </w:rPr>
        <w:t xml:space="preserve"> </w:t>
      </w:r>
      <w:r w:rsidR="00F42269">
        <w:rPr>
          <w:rFonts w:ascii="Verdana" w:hAnsi="Verdana" w:eastAsia="Verdana" w:cs="Verdana"/>
          <w:sz w:val="18"/>
          <w:szCs w:val="18"/>
        </w:rPr>
        <w:t>Deze Meerjarenstr</w:t>
      </w:r>
      <w:r w:rsidR="008A3160">
        <w:rPr>
          <w:rFonts w:ascii="Verdana" w:hAnsi="Verdana" w:eastAsia="Verdana" w:cs="Verdana"/>
          <w:sz w:val="18"/>
          <w:szCs w:val="18"/>
        </w:rPr>
        <w:t>a</w:t>
      </w:r>
      <w:r w:rsidR="00F42269">
        <w:rPr>
          <w:rFonts w:ascii="Verdana" w:hAnsi="Verdana" w:eastAsia="Verdana" w:cs="Verdana"/>
          <w:sz w:val="18"/>
          <w:szCs w:val="18"/>
        </w:rPr>
        <w:t>tegie is in december 202</w:t>
      </w:r>
      <w:r w:rsidR="00A62C01">
        <w:rPr>
          <w:rFonts w:ascii="Verdana" w:hAnsi="Verdana" w:eastAsia="Verdana" w:cs="Verdana"/>
          <w:sz w:val="18"/>
          <w:szCs w:val="18"/>
        </w:rPr>
        <w:t>4</w:t>
      </w:r>
      <w:r w:rsidR="00F42269">
        <w:rPr>
          <w:rFonts w:ascii="Verdana" w:hAnsi="Verdana" w:eastAsia="Verdana" w:cs="Verdana"/>
          <w:sz w:val="18"/>
          <w:szCs w:val="18"/>
        </w:rPr>
        <w:t xml:space="preserve"> door mijn ambtsvoorganger met uw </w:t>
      </w:r>
      <w:r w:rsidR="00142C00">
        <w:rPr>
          <w:rFonts w:ascii="Verdana" w:hAnsi="Verdana" w:eastAsia="Verdana" w:cs="Verdana"/>
          <w:sz w:val="18"/>
          <w:szCs w:val="18"/>
        </w:rPr>
        <w:t>K</w:t>
      </w:r>
      <w:r w:rsidR="00F42269">
        <w:rPr>
          <w:rFonts w:ascii="Verdana" w:hAnsi="Verdana" w:eastAsia="Verdana" w:cs="Verdana"/>
          <w:sz w:val="18"/>
          <w:szCs w:val="18"/>
        </w:rPr>
        <w:t xml:space="preserve">amer gedeeld </w:t>
      </w:r>
      <w:r w:rsidR="00FF3550">
        <w:rPr>
          <w:rFonts w:ascii="Verdana" w:hAnsi="Verdana" w:eastAsia="Verdana" w:cs="Verdana"/>
          <w:sz w:val="18"/>
          <w:szCs w:val="18"/>
        </w:rPr>
        <w:t>en zet een</w:t>
      </w:r>
      <w:r w:rsidR="00F660BF">
        <w:rPr>
          <w:rFonts w:ascii="Verdana" w:hAnsi="Verdana" w:eastAsia="Verdana" w:cs="Verdana"/>
          <w:sz w:val="18"/>
          <w:szCs w:val="18"/>
        </w:rPr>
        <w:t xml:space="preserve"> </w:t>
      </w:r>
      <w:r w:rsidRPr="00F42269" w:rsidR="00F42269">
        <w:rPr>
          <w:rFonts w:ascii="Verdana" w:hAnsi="Verdana" w:eastAsia="Verdana" w:cs="Verdana"/>
          <w:sz w:val="18"/>
          <w:szCs w:val="18"/>
        </w:rPr>
        <w:t xml:space="preserve">koers uit voor de komende vijf jaar. De strategie is opgebouwd </w:t>
      </w:r>
      <w:r w:rsidR="008718AB">
        <w:rPr>
          <w:rFonts w:ascii="Verdana" w:hAnsi="Verdana" w:eastAsia="Verdana" w:cs="Verdana"/>
          <w:sz w:val="18"/>
          <w:szCs w:val="18"/>
        </w:rPr>
        <w:t>vanuit</w:t>
      </w:r>
      <w:r w:rsidRPr="00F42269" w:rsidR="00F42269">
        <w:rPr>
          <w:rFonts w:ascii="Verdana" w:hAnsi="Verdana" w:eastAsia="Verdana" w:cs="Verdana"/>
          <w:sz w:val="18"/>
          <w:szCs w:val="18"/>
        </w:rPr>
        <w:t xml:space="preserve"> vier strategische prioriteiten: </w:t>
      </w:r>
      <w:r w:rsidR="00F53D03">
        <w:rPr>
          <w:rFonts w:ascii="Verdana" w:hAnsi="Verdana" w:eastAsia="Verdana" w:cs="Verdana"/>
          <w:sz w:val="18"/>
          <w:szCs w:val="18"/>
        </w:rPr>
        <w:t>(</w:t>
      </w:r>
      <w:r w:rsidR="006908F8">
        <w:rPr>
          <w:rFonts w:ascii="Verdana" w:hAnsi="Verdana" w:eastAsia="Verdana" w:cs="Verdana"/>
          <w:sz w:val="18"/>
          <w:szCs w:val="18"/>
        </w:rPr>
        <w:t>1</w:t>
      </w:r>
      <w:r w:rsidR="00F53D03">
        <w:rPr>
          <w:rFonts w:ascii="Verdana" w:hAnsi="Verdana" w:eastAsia="Verdana" w:cs="Verdana"/>
          <w:sz w:val="18"/>
          <w:szCs w:val="18"/>
        </w:rPr>
        <w:t>)</w:t>
      </w:r>
      <w:r w:rsidR="006908F8">
        <w:rPr>
          <w:rFonts w:ascii="Verdana" w:hAnsi="Verdana" w:eastAsia="Verdana" w:cs="Verdana"/>
          <w:sz w:val="18"/>
          <w:szCs w:val="18"/>
        </w:rPr>
        <w:t xml:space="preserve"> </w:t>
      </w:r>
      <w:r w:rsidRPr="00F42269" w:rsidR="00F42269">
        <w:rPr>
          <w:rFonts w:ascii="Verdana" w:hAnsi="Verdana" w:eastAsia="Verdana" w:cs="Verdana"/>
          <w:sz w:val="18"/>
          <w:szCs w:val="18"/>
        </w:rPr>
        <w:t>verbind</w:t>
      </w:r>
      <w:r w:rsidR="00FF3550">
        <w:rPr>
          <w:rFonts w:ascii="Verdana" w:hAnsi="Verdana" w:eastAsia="Verdana" w:cs="Verdana"/>
          <w:sz w:val="18"/>
          <w:szCs w:val="18"/>
        </w:rPr>
        <w:t>en</w:t>
      </w:r>
      <w:r w:rsidRPr="00F42269" w:rsidR="00F42269">
        <w:rPr>
          <w:rFonts w:ascii="Verdana" w:hAnsi="Verdana" w:eastAsia="Verdana" w:cs="Verdana"/>
          <w:sz w:val="18"/>
          <w:szCs w:val="18"/>
        </w:rPr>
        <w:t xml:space="preserve"> met de samenleving; </w:t>
      </w:r>
      <w:r w:rsidR="00F53D03">
        <w:rPr>
          <w:rFonts w:ascii="Verdana" w:hAnsi="Verdana" w:eastAsia="Verdana" w:cs="Verdana"/>
          <w:sz w:val="18"/>
          <w:szCs w:val="18"/>
        </w:rPr>
        <w:t>(</w:t>
      </w:r>
      <w:r w:rsidR="006908F8">
        <w:rPr>
          <w:rFonts w:ascii="Verdana" w:hAnsi="Verdana" w:eastAsia="Verdana" w:cs="Verdana"/>
          <w:sz w:val="18"/>
          <w:szCs w:val="18"/>
        </w:rPr>
        <w:t>2</w:t>
      </w:r>
      <w:r w:rsidR="00F53D03">
        <w:rPr>
          <w:rFonts w:ascii="Verdana" w:hAnsi="Verdana" w:eastAsia="Verdana" w:cs="Verdana"/>
          <w:sz w:val="18"/>
          <w:szCs w:val="18"/>
        </w:rPr>
        <w:t>)</w:t>
      </w:r>
      <w:r w:rsidR="006908F8">
        <w:rPr>
          <w:rFonts w:ascii="Verdana" w:hAnsi="Verdana" w:eastAsia="Verdana" w:cs="Verdana"/>
          <w:sz w:val="18"/>
          <w:szCs w:val="18"/>
        </w:rPr>
        <w:t xml:space="preserve"> </w:t>
      </w:r>
      <w:r w:rsidRPr="00F42269" w:rsidR="00F42269">
        <w:rPr>
          <w:rFonts w:ascii="Verdana" w:hAnsi="Verdana" w:eastAsia="Verdana" w:cs="Verdana"/>
          <w:sz w:val="18"/>
          <w:szCs w:val="18"/>
        </w:rPr>
        <w:t>de basis op orde brengen én houden;</w:t>
      </w:r>
      <w:r w:rsidR="00CE05B9">
        <w:rPr>
          <w:rFonts w:ascii="Verdana" w:hAnsi="Verdana" w:eastAsia="Verdana" w:cs="Verdana"/>
          <w:sz w:val="18"/>
          <w:szCs w:val="18"/>
        </w:rPr>
        <w:t xml:space="preserve"> </w:t>
      </w:r>
      <w:r w:rsidR="00F53D03">
        <w:rPr>
          <w:rFonts w:ascii="Verdana" w:hAnsi="Verdana" w:eastAsia="Verdana" w:cs="Verdana"/>
          <w:sz w:val="18"/>
          <w:szCs w:val="18"/>
        </w:rPr>
        <w:t>(</w:t>
      </w:r>
      <w:r w:rsidR="00CE05B9">
        <w:rPr>
          <w:rFonts w:ascii="Verdana" w:hAnsi="Verdana" w:eastAsia="Verdana" w:cs="Verdana"/>
          <w:sz w:val="18"/>
          <w:szCs w:val="18"/>
        </w:rPr>
        <w:t>3</w:t>
      </w:r>
      <w:r w:rsidR="00F53D03">
        <w:rPr>
          <w:rFonts w:ascii="Verdana" w:hAnsi="Verdana" w:eastAsia="Verdana" w:cs="Verdana"/>
          <w:sz w:val="18"/>
          <w:szCs w:val="18"/>
        </w:rPr>
        <w:t>)</w:t>
      </w:r>
      <w:r w:rsidRPr="00F42269" w:rsidR="00F42269">
        <w:rPr>
          <w:rFonts w:ascii="Verdana" w:hAnsi="Verdana" w:eastAsia="Verdana" w:cs="Verdana"/>
          <w:sz w:val="18"/>
          <w:szCs w:val="18"/>
        </w:rPr>
        <w:t xml:space="preserve"> dienstverlening, toezicht en opsporing continu verbeteren; en</w:t>
      </w:r>
      <w:r w:rsidR="00CE05B9">
        <w:rPr>
          <w:rFonts w:ascii="Verdana" w:hAnsi="Verdana" w:eastAsia="Verdana" w:cs="Verdana"/>
          <w:sz w:val="18"/>
          <w:szCs w:val="18"/>
        </w:rPr>
        <w:t xml:space="preserve"> </w:t>
      </w:r>
      <w:r w:rsidR="00F53D03">
        <w:rPr>
          <w:rFonts w:ascii="Verdana" w:hAnsi="Verdana" w:eastAsia="Verdana" w:cs="Verdana"/>
          <w:sz w:val="18"/>
          <w:szCs w:val="18"/>
        </w:rPr>
        <w:t>(</w:t>
      </w:r>
      <w:r w:rsidR="00CE05B9">
        <w:rPr>
          <w:rFonts w:ascii="Verdana" w:hAnsi="Verdana" w:eastAsia="Verdana" w:cs="Verdana"/>
          <w:sz w:val="18"/>
          <w:szCs w:val="18"/>
        </w:rPr>
        <w:t>4</w:t>
      </w:r>
      <w:r w:rsidR="00F53D03">
        <w:rPr>
          <w:rFonts w:ascii="Verdana" w:hAnsi="Verdana" w:eastAsia="Verdana" w:cs="Verdana"/>
          <w:sz w:val="18"/>
          <w:szCs w:val="18"/>
        </w:rPr>
        <w:t>)</w:t>
      </w:r>
      <w:r w:rsidRPr="00F42269" w:rsidR="00F42269">
        <w:rPr>
          <w:rFonts w:ascii="Verdana" w:hAnsi="Verdana" w:eastAsia="Verdana" w:cs="Verdana"/>
          <w:sz w:val="18"/>
          <w:szCs w:val="18"/>
        </w:rPr>
        <w:t xml:space="preserve"> werken met plezier en vanuit vakmanschap.</w:t>
      </w:r>
      <w:r w:rsidR="00142C00">
        <w:rPr>
          <w:rFonts w:ascii="Verdana" w:hAnsi="Verdana" w:eastAsia="Verdana" w:cs="Verdana"/>
          <w:sz w:val="18"/>
          <w:szCs w:val="18"/>
        </w:rPr>
        <w:t xml:space="preserve"> </w:t>
      </w:r>
    </w:p>
    <w:p w:rsidRPr="00386FEE" w:rsidR="00386FEE" w:rsidP="00386FEE" w:rsidRDefault="00F660BF" w14:paraId="4896E402" w14:textId="2DA209A7">
      <w:pPr>
        <w:rPr>
          <w:rFonts w:ascii="Verdana" w:hAnsi="Verdana" w:eastAsia="Verdana" w:cs="Verdana"/>
          <w:sz w:val="18"/>
          <w:szCs w:val="18"/>
        </w:rPr>
      </w:pPr>
      <w:r>
        <w:rPr>
          <w:rFonts w:ascii="Verdana" w:hAnsi="Verdana" w:eastAsia="Verdana" w:cs="Verdana"/>
          <w:sz w:val="18"/>
          <w:szCs w:val="18"/>
        </w:rPr>
        <w:t>De Belastingdienst</w:t>
      </w:r>
      <w:r w:rsidR="00F53D03">
        <w:rPr>
          <w:rFonts w:ascii="Verdana" w:hAnsi="Verdana" w:eastAsia="Verdana" w:cs="Verdana"/>
          <w:sz w:val="18"/>
          <w:szCs w:val="18"/>
        </w:rPr>
        <w:t xml:space="preserve"> </w:t>
      </w:r>
      <w:r>
        <w:rPr>
          <w:rFonts w:ascii="Verdana" w:hAnsi="Verdana" w:eastAsia="Verdana" w:cs="Verdana"/>
          <w:sz w:val="18"/>
          <w:szCs w:val="18"/>
        </w:rPr>
        <w:t xml:space="preserve">zoekt </w:t>
      </w:r>
      <w:r w:rsidR="00F53D03">
        <w:rPr>
          <w:rFonts w:ascii="Verdana" w:hAnsi="Verdana" w:eastAsia="Verdana" w:cs="Verdana"/>
          <w:sz w:val="18"/>
          <w:szCs w:val="18"/>
        </w:rPr>
        <w:t>(1)</w:t>
      </w:r>
      <w:r w:rsidRPr="00386FEE" w:rsidR="00386FEE">
        <w:rPr>
          <w:rFonts w:ascii="Verdana" w:hAnsi="Verdana" w:eastAsia="Verdana" w:cs="Verdana"/>
          <w:sz w:val="18"/>
          <w:szCs w:val="18"/>
        </w:rPr>
        <w:t xml:space="preserve"> verbinding met de samenleving</w:t>
      </w:r>
      <w:r>
        <w:rPr>
          <w:rFonts w:ascii="Verdana" w:hAnsi="Verdana" w:eastAsia="Verdana" w:cs="Verdana"/>
          <w:sz w:val="18"/>
          <w:szCs w:val="18"/>
        </w:rPr>
        <w:t xml:space="preserve"> door </w:t>
      </w:r>
      <w:r w:rsidR="00940745">
        <w:rPr>
          <w:rFonts w:ascii="Verdana" w:hAnsi="Verdana" w:eastAsia="Verdana" w:cs="Verdana"/>
          <w:sz w:val="18"/>
          <w:szCs w:val="18"/>
        </w:rPr>
        <w:t xml:space="preserve">zijn </w:t>
      </w:r>
      <w:r w:rsidR="00CE05B9">
        <w:rPr>
          <w:rFonts w:ascii="Verdana" w:hAnsi="Verdana" w:eastAsia="Verdana" w:cs="Verdana"/>
          <w:sz w:val="18"/>
          <w:szCs w:val="18"/>
        </w:rPr>
        <w:t>belangrijke</w:t>
      </w:r>
      <w:r w:rsidRPr="00386FEE" w:rsidR="00386FEE">
        <w:rPr>
          <w:rFonts w:ascii="Verdana" w:hAnsi="Verdana" w:eastAsia="Verdana" w:cs="Verdana"/>
          <w:sz w:val="18"/>
          <w:szCs w:val="18"/>
        </w:rPr>
        <w:t xml:space="preserve"> maatschappelijke rol consequent </w:t>
      </w:r>
      <w:r>
        <w:rPr>
          <w:rFonts w:ascii="Verdana" w:hAnsi="Verdana" w:eastAsia="Verdana" w:cs="Verdana"/>
          <w:sz w:val="18"/>
          <w:szCs w:val="18"/>
        </w:rPr>
        <w:t>te</w:t>
      </w:r>
      <w:r w:rsidR="00CE05B9">
        <w:rPr>
          <w:rFonts w:ascii="Verdana" w:hAnsi="Verdana" w:eastAsia="Verdana" w:cs="Verdana"/>
          <w:sz w:val="18"/>
          <w:szCs w:val="18"/>
        </w:rPr>
        <w:t xml:space="preserve"> </w:t>
      </w:r>
      <w:r w:rsidRPr="00386FEE" w:rsidR="00386FEE">
        <w:rPr>
          <w:rFonts w:ascii="Verdana" w:hAnsi="Verdana" w:eastAsia="Verdana" w:cs="Verdana"/>
          <w:sz w:val="18"/>
          <w:szCs w:val="18"/>
        </w:rPr>
        <w:t>blijven vervullen</w:t>
      </w:r>
      <w:r w:rsidR="00CE05B9">
        <w:rPr>
          <w:rFonts w:ascii="Verdana" w:hAnsi="Verdana" w:eastAsia="Verdana" w:cs="Verdana"/>
          <w:sz w:val="18"/>
          <w:szCs w:val="18"/>
        </w:rPr>
        <w:t>: bijdragen aan een financieel gezond Nederland door eerlijk en zorgvuldig belasting te heffen en innen</w:t>
      </w:r>
      <w:r w:rsidRPr="00386FEE" w:rsidR="00386FEE">
        <w:rPr>
          <w:rFonts w:ascii="Verdana" w:hAnsi="Verdana" w:eastAsia="Verdana" w:cs="Verdana"/>
          <w:sz w:val="18"/>
          <w:szCs w:val="18"/>
        </w:rPr>
        <w:t xml:space="preserve">. Daarbij hoort transparantie over het werk van de organisatie, hoe er wordt gewerkt aan verbeteringen, maar ook het herstellen van wat er niet goed is gegaan. In dit deel vindt u ook de stand van verschillende hersteloperaties die inherent </w:t>
      </w:r>
      <w:r w:rsidR="00B41F50">
        <w:rPr>
          <w:rFonts w:ascii="Verdana" w:hAnsi="Verdana" w:eastAsia="Verdana" w:cs="Verdana"/>
          <w:sz w:val="18"/>
          <w:szCs w:val="18"/>
        </w:rPr>
        <w:t xml:space="preserve">zijn aan </w:t>
      </w:r>
      <w:r w:rsidRPr="00386FEE" w:rsidR="00386FEE">
        <w:rPr>
          <w:rFonts w:ascii="Verdana" w:hAnsi="Verdana" w:eastAsia="Verdana" w:cs="Verdana"/>
          <w:sz w:val="18"/>
          <w:szCs w:val="18"/>
        </w:rPr>
        <w:t>het dagelijks</w:t>
      </w:r>
      <w:r w:rsidR="00B41F50">
        <w:rPr>
          <w:rFonts w:ascii="Verdana" w:hAnsi="Verdana" w:eastAsia="Verdana" w:cs="Verdana"/>
          <w:sz w:val="18"/>
          <w:szCs w:val="18"/>
        </w:rPr>
        <w:t>e</w:t>
      </w:r>
      <w:r w:rsidRPr="00386FEE" w:rsidR="00386FEE">
        <w:rPr>
          <w:rFonts w:ascii="Verdana" w:hAnsi="Verdana" w:eastAsia="Verdana" w:cs="Verdana"/>
          <w:sz w:val="18"/>
          <w:szCs w:val="18"/>
        </w:rPr>
        <w:t xml:space="preserve"> werk van </w:t>
      </w:r>
      <w:r w:rsidR="00B41F50">
        <w:rPr>
          <w:rFonts w:ascii="Verdana" w:hAnsi="Verdana" w:eastAsia="Verdana" w:cs="Verdana"/>
          <w:sz w:val="18"/>
          <w:szCs w:val="18"/>
        </w:rPr>
        <w:t>éé</w:t>
      </w:r>
      <w:r w:rsidRPr="00386FEE" w:rsidR="00386FEE">
        <w:rPr>
          <w:rFonts w:ascii="Verdana" w:hAnsi="Verdana" w:eastAsia="Verdana" w:cs="Verdana"/>
          <w:sz w:val="18"/>
          <w:szCs w:val="18"/>
        </w:rPr>
        <w:t>n van de grootste uitvoerders van Nederland.</w:t>
      </w:r>
    </w:p>
    <w:p w:rsidR="00A47AAE" w:rsidP="00386FEE" w:rsidRDefault="00041BB3" w14:paraId="2270BA8A" w14:textId="73D456A3">
      <w:pPr>
        <w:rPr>
          <w:rFonts w:ascii="Verdana" w:hAnsi="Verdana" w:eastAsia="Verdana" w:cs="Verdana"/>
          <w:sz w:val="18"/>
          <w:szCs w:val="18"/>
        </w:rPr>
      </w:pPr>
      <w:r>
        <w:rPr>
          <w:rFonts w:ascii="Verdana" w:hAnsi="Verdana" w:eastAsia="Verdana" w:cs="Verdana"/>
          <w:sz w:val="18"/>
          <w:szCs w:val="18"/>
        </w:rPr>
        <w:t xml:space="preserve">De volgende prioriteit die in deze </w:t>
      </w:r>
      <w:r w:rsidR="00A45EE0">
        <w:rPr>
          <w:rFonts w:ascii="Verdana" w:hAnsi="Verdana" w:eastAsia="Verdana" w:cs="Verdana"/>
          <w:sz w:val="18"/>
          <w:szCs w:val="18"/>
        </w:rPr>
        <w:t>bijlage</w:t>
      </w:r>
      <w:r>
        <w:rPr>
          <w:rFonts w:ascii="Verdana" w:hAnsi="Verdana" w:eastAsia="Verdana" w:cs="Verdana"/>
          <w:sz w:val="18"/>
          <w:szCs w:val="18"/>
        </w:rPr>
        <w:t xml:space="preserve"> aan bod komt is de</w:t>
      </w:r>
      <w:r w:rsidR="006371BA">
        <w:rPr>
          <w:rFonts w:ascii="Verdana" w:hAnsi="Verdana" w:eastAsia="Verdana" w:cs="Verdana"/>
          <w:sz w:val="18"/>
          <w:szCs w:val="18"/>
        </w:rPr>
        <w:t xml:space="preserve"> (2)</w:t>
      </w:r>
      <w:r>
        <w:rPr>
          <w:rFonts w:ascii="Verdana" w:hAnsi="Verdana" w:eastAsia="Verdana" w:cs="Verdana"/>
          <w:sz w:val="18"/>
          <w:szCs w:val="18"/>
        </w:rPr>
        <w:t xml:space="preserve"> basis op orde brengen én houden. </w:t>
      </w:r>
      <w:r w:rsidRPr="00386FEE" w:rsidR="00386FEE">
        <w:rPr>
          <w:rFonts w:ascii="Verdana" w:hAnsi="Verdana" w:eastAsia="Verdana" w:cs="Verdana"/>
          <w:sz w:val="18"/>
          <w:szCs w:val="18"/>
        </w:rPr>
        <w:t xml:space="preserve">Daarvoor blijft de Belastingdienst onder andere investeren in de modernisering van de ICT en het verbeteren en borgen van de informatiehuishouding. </w:t>
      </w:r>
    </w:p>
    <w:p w:rsidRPr="00386FEE" w:rsidR="00386FEE" w:rsidP="00386FEE" w:rsidRDefault="00AF3549" w14:paraId="65824584" w14:textId="4379EF35">
      <w:pPr>
        <w:rPr>
          <w:rFonts w:ascii="Verdana" w:hAnsi="Verdana" w:eastAsia="Verdana" w:cs="Verdana"/>
          <w:sz w:val="18"/>
          <w:szCs w:val="18"/>
        </w:rPr>
      </w:pPr>
      <w:r>
        <w:rPr>
          <w:rFonts w:ascii="Verdana" w:hAnsi="Verdana" w:eastAsia="Verdana" w:cs="Verdana"/>
          <w:sz w:val="18"/>
          <w:szCs w:val="18"/>
        </w:rPr>
        <w:t>Deze, maar ook andere verbeteringen, helpen met het</w:t>
      </w:r>
      <w:r w:rsidR="00A47AAE">
        <w:rPr>
          <w:rFonts w:ascii="Verdana" w:hAnsi="Verdana" w:eastAsia="Verdana" w:cs="Verdana"/>
          <w:sz w:val="18"/>
          <w:szCs w:val="18"/>
        </w:rPr>
        <w:t xml:space="preserve"> </w:t>
      </w:r>
      <w:r w:rsidR="006371BA">
        <w:rPr>
          <w:rFonts w:ascii="Verdana" w:hAnsi="Verdana" w:eastAsia="Verdana" w:cs="Verdana"/>
          <w:sz w:val="18"/>
          <w:szCs w:val="18"/>
        </w:rPr>
        <w:t>(3)</w:t>
      </w:r>
      <w:r w:rsidRPr="00F42269" w:rsidR="006371BA">
        <w:rPr>
          <w:rFonts w:ascii="Verdana" w:hAnsi="Verdana" w:eastAsia="Verdana" w:cs="Verdana"/>
          <w:sz w:val="18"/>
          <w:szCs w:val="18"/>
        </w:rPr>
        <w:t xml:space="preserve"> </w:t>
      </w:r>
      <w:r w:rsidR="00152EE7">
        <w:rPr>
          <w:rFonts w:ascii="Verdana" w:hAnsi="Verdana" w:eastAsia="Verdana" w:cs="Verdana"/>
          <w:sz w:val="18"/>
          <w:szCs w:val="18"/>
        </w:rPr>
        <w:t>continu verbeteren van dienstverlening, toezicht en opsporing</w:t>
      </w:r>
      <w:r w:rsidR="00642E0D">
        <w:rPr>
          <w:rFonts w:ascii="Verdana" w:hAnsi="Verdana" w:eastAsia="Verdana" w:cs="Verdana"/>
          <w:sz w:val="18"/>
          <w:szCs w:val="18"/>
        </w:rPr>
        <w:t>.</w:t>
      </w:r>
      <w:r w:rsidR="00F660BF">
        <w:rPr>
          <w:rFonts w:ascii="Verdana" w:hAnsi="Verdana" w:eastAsia="Verdana" w:cs="Verdana"/>
          <w:sz w:val="18"/>
          <w:szCs w:val="18"/>
        </w:rPr>
        <w:t xml:space="preserve"> </w:t>
      </w:r>
      <w:r>
        <w:rPr>
          <w:rFonts w:ascii="Verdana" w:hAnsi="Verdana" w:eastAsia="Verdana" w:cs="Verdana"/>
          <w:sz w:val="18"/>
          <w:szCs w:val="18"/>
        </w:rPr>
        <w:t>De</w:t>
      </w:r>
      <w:r w:rsidRPr="00386FEE" w:rsidR="00A47AAE">
        <w:rPr>
          <w:rFonts w:ascii="Verdana" w:hAnsi="Verdana" w:eastAsia="Verdana" w:cs="Verdana"/>
          <w:sz w:val="18"/>
          <w:szCs w:val="18"/>
        </w:rPr>
        <w:t xml:space="preserve"> Belastingdienst </w:t>
      </w:r>
      <w:r>
        <w:rPr>
          <w:rFonts w:ascii="Verdana" w:hAnsi="Verdana" w:eastAsia="Verdana" w:cs="Verdana"/>
          <w:sz w:val="18"/>
          <w:szCs w:val="18"/>
        </w:rPr>
        <w:t xml:space="preserve">wil </w:t>
      </w:r>
      <w:r w:rsidRPr="00386FEE" w:rsidR="00A47AAE">
        <w:rPr>
          <w:rFonts w:ascii="Verdana" w:hAnsi="Verdana" w:eastAsia="Verdana" w:cs="Verdana"/>
          <w:sz w:val="18"/>
          <w:szCs w:val="18"/>
        </w:rPr>
        <w:t>het voor alle Nederlanders eenvoudiger maken om aan hun fiscale verplichtingen te kunnen voldoen. Daarbij zet de Belastingdienst zich in voor hulp op maat voor wie dit nodig heeft.</w:t>
      </w:r>
      <w:r w:rsidR="00A47AAE">
        <w:rPr>
          <w:rFonts w:ascii="Verdana" w:hAnsi="Verdana" w:eastAsia="Verdana" w:cs="Verdana"/>
          <w:sz w:val="18"/>
          <w:szCs w:val="18"/>
        </w:rPr>
        <w:t xml:space="preserve"> </w:t>
      </w:r>
      <w:r w:rsidRPr="00F364F6" w:rsidR="00F364F6">
        <w:rPr>
          <w:rFonts w:ascii="Verdana" w:hAnsi="Verdana" w:eastAsia="Verdana" w:cs="Verdana"/>
          <w:sz w:val="18"/>
          <w:szCs w:val="18"/>
        </w:rPr>
        <w:t xml:space="preserve">Voor </w:t>
      </w:r>
      <w:r w:rsidR="00642E0D">
        <w:rPr>
          <w:rFonts w:ascii="Verdana" w:hAnsi="Verdana" w:eastAsia="Verdana" w:cs="Verdana"/>
          <w:sz w:val="18"/>
          <w:szCs w:val="18"/>
        </w:rPr>
        <w:t>de</w:t>
      </w:r>
      <w:r w:rsidRPr="00F364F6" w:rsidR="00F364F6">
        <w:rPr>
          <w:rFonts w:ascii="Verdana" w:hAnsi="Verdana" w:eastAsia="Verdana" w:cs="Verdana"/>
          <w:sz w:val="18"/>
          <w:szCs w:val="18"/>
        </w:rPr>
        <w:t xml:space="preserve"> primaire processen investe</w:t>
      </w:r>
      <w:r w:rsidR="00642E0D">
        <w:rPr>
          <w:rFonts w:ascii="Verdana" w:hAnsi="Verdana" w:eastAsia="Verdana" w:cs="Verdana"/>
          <w:sz w:val="18"/>
          <w:szCs w:val="18"/>
        </w:rPr>
        <w:t>ert</w:t>
      </w:r>
      <w:r w:rsidRPr="00F364F6" w:rsidR="00F364F6">
        <w:rPr>
          <w:rFonts w:ascii="Verdana" w:hAnsi="Verdana" w:eastAsia="Verdana" w:cs="Verdana"/>
          <w:sz w:val="18"/>
          <w:szCs w:val="18"/>
        </w:rPr>
        <w:t xml:space="preserve"> </w:t>
      </w:r>
      <w:r w:rsidR="00642E0D">
        <w:rPr>
          <w:rFonts w:ascii="Verdana" w:hAnsi="Verdana" w:eastAsia="Verdana" w:cs="Verdana"/>
          <w:sz w:val="18"/>
          <w:szCs w:val="18"/>
        </w:rPr>
        <w:t>de Belastingdienst</w:t>
      </w:r>
      <w:r w:rsidRPr="00F364F6" w:rsidR="00F364F6">
        <w:rPr>
          <w:rFonts w:ascii="Verdana" w:hAnsi="Verdana" w:eastAsia="Verdana" w:cs="Verdana"/>
          <w:sz w:val="18"/>
          <w:szCs w:val="18"/>
        </w:rPr>
        <w:t xml:space="preserve"> op de korte termijn in betere sturing, procesverbetering en kennisuitwisseling, waardoor effectiever en efficiënter </w:t>
      </w:r>
      <w:r w:rsidR="00C14C37">
        <w:rPr>
          <w:rFonts w:ascii="Verdana" w:hAnsi="Verdana" w:eastAsia="Verdana" w:cs="Verdana"/>
          <w:sz w:val="18"/>
          <w:szCs w:val="18"/>
        </w:rPr>
        <w:t>gewerkt kan worden</w:t>
      </w:r>
      <w:r w:rsidR="00F660BF">
        <w:rPr>
          <w:rFonts w:ascii="Verdana" w:hAnsi="Verdana" w:eastAsia="Verdana" w:cs="Verdana"/>
          <w:sz w:val="18"/>
          <w:szCs w:val="18"/>
        </w:rPr>
        <w:t xml:space="preserve"> </w:t>
      </w:r>
      <w:r w:rsidRPr="00F364F6" w:rsidR="00F364F6">
        <w:rPr>
          <w:rFonts w:ascii="Verdana" w:hAnsi="Verdana" w:eastAsia="Verdana" w:cs="Verdana"/>
          <w:sz w:val="18"/>
          <w:szCs w:val="18"/>
        </w:rPr>
        <w:t xml:space="preserve">(‘operational excellence’). Parallel daaraan </w:t>
      </w:r>
      <w:r w:rsidR="00E767D3">
        <w:rPr>
          <w:rFonts w:ascii="Verdana" w:hAnsi="Verdana" w:eastAsia="Verdana" w:cs="Verdana"/>
          <w:sz w:val="18"/>
          <w:szCs w:val="18"/>
        </w:rPr>
        <w:t xml:space="preserve">is </w:t>
      </w:r>
      <w:r w:rsidR="00C14C37">
        <w:rPr>
          <w:rFonts w:ascii="Verdana" w:hAnsi="Verdana" w:eastAsia="Verdana" w:cs="Verdana"/>
          <w:sz w:val="18"/>
          <w:szCs w:val="18"/>
        </w:rPr>
        <w:t>de Belastingdienst</w:t>
      </w:r>
      <w:r w:rsidRPr="00F364F6" w:rsidR="00F364F6">
        <w:rPr>
          <w:rFonts w:ascii="Verdana" w:hAnsi="Verdana" w:eastAsia="Verdana" w:cs="Verdana"/>
          <w:sz w:val="18"/>
          <w:szCs w:val="18"/>
        </w:rPr>
        <w:t xml:space="preserve"> in 2025 </w:t>
      </w:r>
      <w:r w:rsidR="00E767D3">
        <w:rPr>
          <w:rFonts w:ascii="Verdana" w:hAnsi="Verdana" w:eastAsia="Verdana" w:cs="Verdana"/>
          <w:sz w:val="18"/>
          <w:szCs w:val="18"/>
        </w:rPr>
        <w:t xml:space="preserve">gestart </w:t>
      </w:r>
      <w:r w:rsidRPr="00F364F6" w:rsidR="00F364F6">
        <w:rPr>
          <w:rFonts w:ascii="Verdana" w:hAnsi="Verdana" w:eastAsia="Verdana" w:cs="Verdana"/>
          <w:sz w:val="18"/>
          <w:szCs w:val="18"/>
        </w:rPr>
        <w:t xml:space="preserve">voor de langere termijn met fundamentele aanpassingen van </w:t>
      </w:r>
      <w:r w:rsidR="00C14C37">
        <w:rPr>
          <w:rFonts w:ascii="Verdana" w:hAnsi="Verdana" w:eastAsia="Verdana" w:cs="Verdana"/>
          <w:sz w:val="18"/>
          <w:szCs w:val="18"/>
        </w:rPr>
        <w:t>de</w:t>
      </w:r>
      <w:r w:rsidRPr="00F364F6" w:rsidR="00F364F6">
        <w:rPr>
          <w:rFonts w:ascii="Verdana" w:hAnsi="Verdana" w:eastAsia="Verdana" w:cs="Verdana"/>
          <w:sz w:val="18"/>
          <w:szCs w:val="18"/>
        </w:rPr>
        <w:t xml:space="preserve"> werkprocessen voor de toekomst, gericht op een digitale transformatie en het minder arbeidsintensief maken daarvan</w:t>
      </w:r>
      <w:r w:rsidR="00F364F6">
        <w:rPr>
          <w:rFonts w:ascii="Verdana" w:hAnsi="Verdana" w:eastAsia="Verdana" w:cs="Verdana"/>
          <w:sz w:val="18"/>
          <w:szCs w:val="18"/>
        </w:rPr>
        <w:t>.</w:t>
      </w:r>
    </w:p>
    <w:p w:rsidR="00F3383A" w:rsidP="00386FEE" w:rsidRDefault="00386FEE" w14:paraId="2B3B8F5D" w14:textId="12D81C69">
      <w:pPr>
        <w:rPr>
          <w:rFonts w:ascii="Verdana" w:hAnsi="Verdana" w:eastAsia="Verdana" w:cs="Verdana"/>
          <w:sz w:val="18"/>
          <w:szCs w:val="18"/>
        </w:rPr>
      </w:pPr>
      <w:r w:rsidRPr="00386FEE">
        <w:rPr>
          <w:rFonts w:ascii="Verdana" w:hAnsi="Verdana" w:eastAsia="Verdana" w:cs="Verdana"/>
          <w:sz w:val="18"/>
          <w:szCs w:val="18"/>
        </w:rPr>
        <w:t xml:space="preserve">Tot slot gaat het in dit overzicht om het </w:t>
      </w:r>
      <w:r w:rsidR="006371BA">
        <w:rPr>
          <w:rFonts w:ascii="Verdana" w:hAnsi="Verdana" w:eastAsia="Verdana" w:cs="Verdana"/>
          <w:sz w:val="18"/>
          <w:szCs w:val="18"/>
        </w:rPr>
        <w:t>(4)</w:t>
      </w:r>
      <w:r w:rsidRPr="00F42269" w:rsidR="006371BA">
        <w:rPr>
          <w:rFonts w:ascii="Verdana" w:hAnsi="Verdana" w:eastAsia="Verdana" w:cs="Verdana"/>
          <w:sz w:val="18"/>
          <w:szCs w:val="18"/>
        </w:rPr>
        <w:t xml:space="preserve"> </w:t>
      </w:r>
      <w:r w:rsidRPr="00386FEE">
        <w:rPr>
          <w:rFonts w:ascii="Verdana" w:hAnsi="Verdana" w:eastAsia="Verdana" w:cs="Verdana"/>
          <w:sz w:val="18"/>
          <w:szCs w:val="18"/>
        </w:rPr>
        <w:t>werken met plezier en vanuit vakmanschap binnen de organisatie. Daarbij is het belangrijkste onderdeel de strategische personeelsplanning</w:t>
      </w:r>
      <w:r w:rsidR="00B41F50">
        <w:rPr>
          <w:rFonts w:ascii="Verdana" w:hAnsi="Verdana" w:eastAsia="Verdana" w:cs="Verdana"/>
          <w:sz w:val="18"/>
          <w:szCs w:val="18"/>
        </w:rPr>
        <w:t>, waarmee de Belastingdienst er</w:t>
      </w:r>
      <w:r w:rsidRPr="00386FEE">
        <w:rPr>
          <w:rFonts w:ascii="Verdana" w:hAnsi="Verdana" w:eastAsia="Verdana" w:cs="Verdana"/>
          <w:sz w:val="18"/>
          <w:szCs w:val="18"/>
        </w:rPr>
        <w:t xml:space="preserve">in slaagt om de bezetting en kennis </w:t>
      </w:r>
      <w:r w:rsidR="00C14C37">
        <w:rPr>
          <w:rFonts w:ascii="Verdana" w:hAnsi="Verdana" w:eastAsia="Verdana" w:cs="Verdana"/>
          <w:sz w:val="18"/>
          <w:szCs w:val="18"/>
        </w:rPr>
        <w:t>op peil te houden</w:t>
      </w:r>
      <w:r w:rsidR="00B41F50">
        <w:rPr>
          <w:rFonts w:ascii="Verdana" w:hAnsi="Verdana" w:eastAsia="Verdana" w:cs="Verdana"/>
          <w:sz w:val="18"/>
          <w:szCs w:val="18"/>
        </w:rPr>
        <w:t>, ondanks de grote vervangingsvraag</w:t>
      </w:r>
      <w:r w:rsidRPr="00386FEE">
        <w:rPr>
          <w:rFonts w:ascii="Verdana" w:hAnsi="Verdana" w:eastAsia="Verdana" w:cs="Verdana"/>
          <w:sz w:val="18"/>
          <w:szCs w:val="18"/>
        </w:rPr>
        <w:t>.</w:t>
      </w:r>
    </w:p>
    <w:p w:rsidR="004269D5" w:rsidRDefault="004269D5" w14:paraId="7555FDFB" w14:textId="77777777">
      <w:pPr>
        <w:rPr>
          <w:rFonts w:ascii="Verdana" w:hAnsi="Verdana" w:eastAsia="Verdana" w:cs="Verdana"/>
          <w:i/>
          <w:iCs/>
          <w:sz w:val="18"/>
          <w:szCs w:val="18"/>
        </w:rPr>
      </w:pPr>
      <w:r>
        <w:rPr>
          <w:rFonts w:ascii="Verdana" w:hAnsi="Verdana" w:eastAsia="Verdana" w:cs="Verdana"/>
          <w:i/>
          <w:iCs/>
          <w:sz w:val="18"/>
          <w:szCs w:val="18"/>
        </w:rPr>
        <w:br w:type="page"/>
      </w:r>
    </w:p>
    <w:p w:rsidR="00F3383A" w:rsidP="00386FEE" w:rsidRDefault="00386FEE" w14:paraId="09179749" w14:textId="177EC4F1">
      <w:pPr>
        <w:rPr>
          <w:rFonts w:ascii="Verdana" w:hAnsi="Verdana" w:eastAsia="Verdana" w:cs="Verdana"/>
          <w:i/>
          <w:iCs/>
          <w:sz w:val="18"/>
          <w:szCs w:val="18"/>
        </w:rPr>
      </w:pPr>
      <w:r w:rsidRPr="00386FEE">
        <w:rPr>
          <w:rFonts w:ascii="Verdana" w:hAnsi="Verdana" w:eastAsia="Verdana" w:cs="Verdana"/>
          <w:i/>
          <w:iCs/>
          <w:sz w:val="18"/>
          <w:szCs w:val="18"/>
        </w:rPr>
        <w:lastRenderedPageBreak/>
        <w:t>Hieronder treft u de prioriteiten uit de Meerjarenstrategie Belastingdienst 2025-2030 met de uitgelichte actualiteiten per thema aan.</w:t>
      </w:r>
    </w:p>
    <w:tbl>
      <w:tblPr>
        <w:tblW w:w="9062" w:type="dxa"/>
        <w:tblCellMar>
          <w:left w:w="0" w:type="dxa"/>
          <w:right w:w="0" w:type="dxa"/>
        </w:tblCellMar>
        <w:tblLook w:val="04A0" w:firstRow="1" w:lastRow="0" w:firstColumn="1" w:lastColumn="0" w:noHBand="0" w:noVBand="1"/>
      </w:tblPr>
      <w:tblGrid>
        <w:gridCol w:w="9062"/>
      </w:tblGrid>
      <w:tr w:rsidRPr="000F1ADF" w:rsidR="008E0957" w:rsidTr="00383C32" w14:paraId="04489C79" w14:textId="77777777">
        <w:tc>
          <w:tcPr>
            <w:tcW w:w="906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0F1ADF" w:rsidR="008E0957" w:rsidP="00383C32" w:rsidRDefault="008E0957" w14:paraId="66F29B9C" w14:textId="77777777">
            <w:pPr>
              <w:spacing w:after="0" w:line="240" w:lineRule="auto"/>
              <w:rPr>
                <w:rFonts w:ascii="Verdana" w:hAnsi="Verdana" w:eastAsia="Aptos" w:cs="Aptos"/>
                <w:b/>
                <w:bCs/>
                <w:sz w:val="18"/>
                <w:szCs w:val="18"/>
                <w14:ligatures w14:val="standardContextual"/>
              </w:rPr>
            </w:pPr>
            <w:r w:rsidRPr="000F1ADF">
              <w:rPr>
                <w:rFonts w:ascii="Verdana" w:hAnsi="Verdana" w:eastAsia="Aptos" w:cs="Aptos"/>
                <w:b/>
                <w:bCs/>
                <w:sz w:val="18"/>
                <w:szCs w:val="18"/>
                <w14:ligatures w14:val="standardContextual"/>
              </w:rPr>
              <w:t>Onderwerp</w:t>
            </w:r>
          </w:p>
        </w:tc>
      </w:tr>
      <w:tr w:rsidRPr="000F1ADF" w:rsidR="008E0957" w:rsidTr="00383C32" w14:paraId="63A1E211"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0F1ADF" w:rsidR="008E0957" w:rsidP="00383C32" w:rsidRDefault="008E0957" w14:paraId="70A7778A" w14:textId="77777777">
            <w:pPr>
              <w:numPr>
                <w:ilvl w:val="0"/>
                <w:numId w:val="22"/>
              </w:numPr>
              <w:spacing w:after="0" w:line="240" w:lineRule="auto"/>
              <w:rPr>
                <w:rFonts w:ascii="Verdana" w:hAnsi="Verdana" w:eastAsia="Times New Roman" w:cs="Aptos"/>
                <w:b/>
                <w:bCs/>
                <w:sz w:val="18"/>
                <w:szCs w:val="18"/>
                <w14:ligatures w14:val="standardContextual"/>
              </w:rPr>
            </w:pPr>
            <w:bookmarkStart w:name="_Hlk209112509" w:id="0"/>
            <w:r w:rsidRPr="000F1ADF">
              <w:rPr>
                <w:rFonts w:ascii="Verdana" w:hAnsi="Verdana" w:eastAsia="Times New Roman" w:cs="Aptos"/>
                <w:b/>
                <w:bCs/>
                <w:sz w:val="18"/>
                <w:szCs w:val="18"/>
                <w14:ligatures w14:val="standardContextual"/>
              </w:rPr>
              <w:t>Verbinden met de samenleving</w:t>
            </w:r>
          </w:p>
        </w:tc>
      </w:tr>
      <w:bookmarkEnd w:id="0"/>
      <w:tr w:rsidRPr="000F1ADF" w:rsidR="008E0957" w:rsidTr="00383C32" w14:paraId="15BADFBF"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76931" w:rsidR="008E0957" w:rsidP="00383C32" w:rsidRDefault="008E0957" w14:paraId="546A869C" w14:textId="1DCC97DF">
            <w:pPr>
              <w:pStyle w:val="Lijstalinea"/>
              <w:numPr>
                <w:ilvl w:val="0"/>
                <w:numId w:val="24"/>
              </w:numPr>
              <w:spacing w:after="0" w:line="240" w:lineRule="auto"/>
              <w:rPr>
                <w:rFonts w:ascii="Verdana" w:hAnsi="Verdana" w:eastAsia="Aptos" w:cs="Aptos"/>
                <w:sz w:val="18"/>
                <w:szCs w:val="18"/>
                <w14:ligatures w14:val="standardContextual"/>
              </w:rPr>
            </w:pPr>
            <w:r w:rsidRPr="00EC40C5">
              <w:rPr>
                <w:rFonts w:ascii="Verdana" w:hAnsi="Verdana"/>
                <w:sz w:val="18"/>
                <w:szCs w:val="18"/>
              </w:rPr>
              <w:t xml:space="preserve">Aangiftecampagne Inkomstenbelasting </w:t>
            </w:r>
            <w:r w:rsidRPr="00276931">
              <w:rPr>
                <w:rFonts w:ascii="Verdana" w:hAnsi="Verdana" w:eastAsia="Aptos" w:cs="Aptos"/>
                <w:sz w:val="18"/>
                <w:szCs w:val="18"/>
                <w14:ligatures w14:val="standardContextual"/>
              </w:rPr>
              <w:t>2024</w:t>
            </w:r>
          </w:p>
        </w:tc>
      </w:tr>
      <w:tr w:rsidRPr="000F1ADF" w:rsidR="008E0957" w:rsidTr="00383C32" w14:paraId="23D6687A"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76931" w:rsidR="008E0957" w:rsidP="00383C32" w:rsidRDefault="008E0957" w14:paraId="0E927670" w14:textId="77777777">
            <w:pPr>
              <w:pStyle w:val="Lijstalinea"/>
              <w:numPr>
                <w:ilvl w:val="0"/>
                <w:numId w:val="24"/>
              </w:numPr>
              <w:spacing w:after="0" w:line="240" w:lineRule="auto"/>
              <w:rPr>
                <w:rFonts w:ascii="Verdana" w:hAnsi="Verdana" w:eastAsia="Aptos" w:cs="Aptos"/>
                <w:sz w:val="18"/>
                <w:szCs w:val="18"/>
                <w14:ligatures w14:val="standardContextual"/>
              </w:rPr>
            </w:pPr>
            <w:r w:rsidRPr="00276931">
              <w:rPr>
                <w:rFonts w:ascii="Verdana" w:hAnsi="Verdana" w:eastAsia="Aptos" w:cs="Aptos"/>
                <w:sz w:val="18"/>
                <w:szCs w:val="18"/>
                <w14:ligatures w14:val="standardContextual"/>
              </w:rPr>
              <w:t>A-status website Belastingdienst</w:t>
            </w:r>
          </w:p>
        </w:tc>
      </w:tr>
      <w:tr w:rsidRPr="000F1ADF" w:rsidR="008E0957" w:rsidTr="00383C32" w14:paraId="17915AF8"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76931" w:rsidR="008E0957" w:rsidP="00383C32" w:rsidRDefault="008E0957" w14:paraId="7372D63A" w14:textId="77777777">
            <w:pPr>
              <w:pStyle w:val="Lijstalinea"/>
              <w:numPr>
                <w:ilvl w:val="0"/>
                <w:numId w:val="24"/>
              </w:numPr>
              <w:spacing w:after="0" w:line="240" w:lineRule="auto"/>
              <w:rPr>
                <w:rFonts w:ascii="Verdana" w:hAnsi="Verdana" w:eastAsia="Aptos" w:cs="Aptos"/>
                <w:sz w:val="18"/>
                <w:szCs w:val="18"/>
                <w14:ligatures w14:val="standardContextual"/>
              </w:rPr>
            </w:pPr>
            <w:r>
              <w:rPr>
                <w:rFonts w:ascii="Verdana" w:hAnsi="Verdana" w:eastAsia="Aptos" w:cs="Aptos"/>
                <w:sz w:val="18"/>
                <w:szCs w:val="18"/>
                <w14:ligatures w14:val="standardContextual"/>
              </w:rPr>
              <w:t>Denktank Jongeren</w:t>
            </w:r>
          </w:p>
        </w:tc>
      </w:tr>
      <w:tr w:rsidRPr="000F1ADF" w:rsidR="008E0957" w:rsidTr="00383C32" w14:paraId="5CDB8077"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76931" w:rsidR="008E0957" w:rsidP="00383C32" w:rsidRDefault="008E0957" w14:paraId="3E5BA526" w14:textId="77777777">
            <w:pPr>
              <w:pStyle w:val="Lijstalinea"/>
              <w:numPr>
                <w:ilvl w:val="0"/>
                <w:numId w:val="24"/>
              </w:numPr>
              <w:spacing w:after="0" w:line="240" w:lineRule="auto"/>
              <w:rPr>
                <w:rFonts w:ascii="Verdana" w:hAnsi="Verdana" w:eastAsia="Aptos" w:cs="Aptos"/>
                <w:sz w:val="18"/>
                <w:szCs w:val="18"/>
                <w14:ligatures w14:val="standardContextual"/>
              </w:rPr>
            </w:pPr>
            <w:r w:rsidRPr="00163829">
              <w:rPr>
                <w:rFonts w:ascii="Verdana" w:hAnsi="Verdana"/>
                <w:sz w:val="18"/>
                <w14:ligatures w14:val="standardContextual"/>
              </w:rPr>
              <w:t>Inzage Fiscaal Dossier</w:t>
            </w:r>
          </w:p>
        </w:tc>
      </w:tr>
      <w:tr w:rsidRPr="000F1ADF" w:rsidR="00C53F31" w:rsidTr="00383C32" w14:paraId="0973AB13"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163829" w:rsidR="00C53F31" w:rsidP="00383C32" w:rsidRDefault="00C53F31" w14:paraId="6280FCEB" w14:textId="18A9B0C7">
            <w:pPr>
              <w:pStyle w:val="Lijstalinea"/>
              <w:numPr>
                <w:ilvl w:val="0"/>
                <w:numId w:val="24"/>
              </w:numPr>
              <w:spacing w:after="0" w:line="240" w:lineRule="auto"/>
              <w:rPr>
                <w:rFonts w:ascii="Verdana" w:hAnsi="Verdana"/>
                <w:sz w:val="18"/>
                <w14:ligatures w14:val="standardContextual"/>
              </w:rPr>
            </w:pPr>
            <w:r>
              <w:rPr>
                <w:rFonts w:ascii="Verdana" w:hAnsi="Verdana"/>
                <w:sz w:val="18"/>
                <w14:ligatures w14:val="standardContextual"/>
              </w:rPr>
              <w:t>Tijdelijke Tegemoetkoming Blokaansluiting</w:t>
            </w:r>
          </w:p>
        </w:tc>
      </w:tr>
      <w:tr w:rsidRPr="000F1ADF" w:rsidR="00A85518" w:rsidTr="00383C32" w14:paraId="0D39951E"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A85518" w:rsidP="00A85518" w:rsidRDefault="00A85518" w14:paraId="432568FD" w14:textId="4B5D1617">
            <w:pPr>
              <w:pStyle w:val="Lijstalinea"/>
              <w:numPr>
                <w:ilvl w:val="0"/>
                <w:numId w:val="24"/>
              </w:numPr>
              <w:spacing w:after="0" w:line="240" w:lineRule="auto"/>
              <w:rPr>
                <w:rFonts w:ascii="Verdana" w:hAnsi="Verdana"/>
                <w:sz w:val="18"/>
                <w14:ligatures w14:val="standardContextual"/>
              </w:rPr>
            </w:pPr>
            <w:r w:rsidRPr="00CC2AFD">
              <w:rPr>
                <w:rFonts w:ascii="Verdana" w:hAnsi="Verdana"/>
                <w:sz w:val="18"/>
                <w:szCs w:val="18"/>
              </w:rPr>
              <w:t>Recente rechterlijke uitspraken pensioenpremie en btw</w:t>
            </w:r>
          </w:p>
        </w:tc>
      </w:tr>
      <w:tr w:rsidRPr="000F1ADF" w:rsidR="00A85518" w:rsidTr="00383C32" w14:paraId="795153D8"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76931" w:rsidR="00A85518" w:rsidP="00A85518" w:rsidRDefault="00A85518" w14:paraId="6BDC3104" w14:textId="77777777">
            <w:pPr>
              <w:pStyle w:val="Lijstalinea"/>
              <w:numPr>
                <w:ilvl w:val="0"/>
                <w:numId w:val="24"/>
              </w:numPr>
              <w:spacing w:after="0" w:line="240" w:lineRule="auto"/>
              <w:rPr>
                <w:rFonts w:ascii="Verdana" w:hAnsi="Verdana" w:eastAsia="Aptos" w:cs="Aptos"/>
                <w:sz w:val="18"/>
                <w:szCs w:val="18"/>
                <w14:ligatures w14:val="standardContextual"/>
              </w:rPr>
            </w:pPr>
            <w:r>
              <w:rPr>
                <w:rFonts w:ascii="Verdana" w:hAnsi="Verdana" w:eastAsia="Aptos" w:cs="Aptos"/>
                <w:sz w:val="18"/>
                <w:szCs w:val="18"/>
                <w14:ligatures w14:val="standardContextual"/>
              </w:rPr>
              <w:t>Herstelacties</w:t>
            </w:r>
          </w:p>
        </w:tc>
      </w:tr>
      <w:tr w:rsidRPr="000F1ADF" w:rsidR="00A85518" w:rsidTr="00383C32" w14:paraId="6FD65C4C"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276931" w:rsidR="00A85518" w:rsidP="00A85518" w:rsidRDefault="00A85518" w14:paraId="400A8D2A" w14:textId="77777777">
            <w:pPr>
              <w:pStyle w:val="Lijstalinea"/>
              <w:numPr>
                <w:ilvl w:val="0"/>
                <w:numId w:val="22"/>
              </w:numPr>
              <w:spacing w:after="0" w:line="240" w:lineRule="auto"/>
              <w:rPr>
                <w:rFonts w:ascii="Verdana" w:hAnsi="Verdana" w:eastAsia="Times New Roman" w:cs="Aptos"/>
                <w:b/>
                <w:bCs/>
                <w:sz w:val="18"/>
                <w:szCs w:val="18"/>
                <w14:ligatures w14:val="standardContextual"/>
              </w:rPr>
            </w:pPr>
            <w:r w:rsidRPr="00276931">
              <w:rPr>
                <w:rFonts w:ascii="Verdana" w:hAnsi="Verdana" w:eastAsia="Times New Roman" w:cs="Aptos"/>
                <w:b/>
                <w:bCs/>
                <w:sz w:val="18"/>
                <w:szCs w:val="18"/>
                <w14:ligatures w14:val="standardContextual"/>
              </w:rPr>
              <w:t>Basis op orde</w:t>
            </w:r>
          </w:p>
        </w:tc>
      </w:tr>
      <w:tr w:rsidRPr="000F1ADF" w:rsidR="00A85518" w:rsidTr="00383C32" w14:paraId="43A9F647"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45A31" w:rsidR="00A85518" w:rsidP="00A85518" w:rsidRDefault="00A85518" w14:paraId="0D9FB9DC" w14:textId="77777777">
            <w:pPr>
              <w:pStyle w:val="Lijstalinea"/>
              <w:numPr>
                <w:ilvl w:val="0"/>
                <w:numId w:val="24"/>
              </w:numPr>
              <w:spacing w:after="0" w:line="240" w:lineRule="auto"/>
              <w:rPr>
                <w:rFonts w:ascii="Verdana" w:hAnsi="Verdana" w:eastAsia="Aptos" w:cs="Aptos"/>
                <w:sz w:val="18"/>
                <w:szCs w:val="18"/>
                <w14:ligatures w14:val="standardContextual"/>
              </w:rPr>
            </w:pPr>
            <w:r w:rsidRPr="00276931">
              <w:rPr>
                <w:rFonts w:ascii="Verdana" w:hAnsi="Verdana" w:eastAsia="Aptos" w:cs="Aptos"/>
                <w:sz w:val="18"/>
                <w:szCs w:val="18"/>
                <w14:ligatures w14:val="standardContextual"/>
              </w:rPr>
              <w:t>Platform GDA</w:t>
            </w:r>
          </w:p>
        </w:tc>
      </w:tr>
      <w:tr w:rsidRPr="000F1ADF" w:rsidR="00A85518" w:rsidTr="00383C32" w14:paraId="134BD309"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545A31" w:rsidR="00A85518" w:rsidP="00A85518" w:rsidRDefault="00A85518" w14:paraId="6A59D4F6" w14:textId="77777777">
            <w:pPr>
              <w:pStyle w:val="Lijstalinea"/>
              <w:numPr>
                <w:ilvl w:val="0"/>
                <w:numId w:val="24"/>
              </w:numPr>
              <w:spacing w:after="0" w:line="240" w:lineRule="auto"/>
              <w:rPr>
                <w:rFonts w:ascii="Verdana" w:hAnsi="Verdana" w:eastAsia="Aptos" w:cs="Aptos"/>
                <w:sz w:val="18"/>
                <w:szCs w:val="18"/>
                <w14:ligatures w14:val="standardContextual"/>
              </w:rPr>
            </w:pPr>
            <w:bookmarkStart w:name="_Hlk211586968" w:id="1"/>
            <w:r w:rsidRPr="00163829">
              <w:rPr>
                <w:rFonts w:ascii="Verdana" w:hAnsi="Verdana"/>
                <w:sz w:val="18"/>
                <w14:ligatures w14:val="standardContextual"/>
              </w:rPr>
              <w:t>Omzetbelasting: modernisering, EU btw e-Commerce en EU KOR2025</w:t>
            </w:r>
            <w:bookmarkEnd w:id="1"/>
          </w:p>
        </w:tc>
      </w:tr>
      <w:tr w:rsidRPr="000F1ADF" w:rsidR="00A85518" w:rsidTr="00383C32" w14:paraId="168333B9"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39414B" w:rsidR="00A85518" w:rsidP="00A85518" w:rsidRDefault="00A85518" w14:paraId="5EEBC8CC" w14:textId="490C1767">
            <w:pPr>
              <w:pStyle w:val="Lijstalinea"/>
              <w:numPr>
                <w:ilvl w:val="0"/>
                <w:numId w:val="24"/>
              </w:numPr>
              <w:spacing w:after="0" w:line="240" w:lineRule="auto"/>
              <w:rPr>
                <w:rFonts w:ascii="Verdana" w:hAnsi="Verdana" w:eastAsia="Aptos" w:cs="Aptos"/>
                <w:bCs/>
                <w:sz w:val="18"/>
                <w:szCs w:val="18"/>
                <w14:ligatures w14:val="standardContextual"/>
              </w:rPr>
            </w:pPr>
            <w:r>
              <w:rPr>
                <w:rFonts w:ascii="Verdana" w:hAnsi="Verdana"/>
                <w:sz w:val="18"/>
                <w14:ligatures w14:val="standardContextual"/>
              </w:rPr>
              <w:t>Rationalisatie</w:t>
            </w:r>
            <w:r w:rsidRPr="00163829">
              <w:rPr>
                <w:rFonts w:ascii="Verdana" w:hAnsi="Verdana"/>
                <w:sz w:val="18"/>
                <w14:ligatures w14:val="standardContextual"/>
              </w:rPr>
              <w:t xml:space="preserve"> Cool:Gen </w:t>
            </w:r>
          </w:p>
        </w:tc>
      </w:tr>
      <w:tr w:rsidRPr="000F1ADF" w:rsidR="00A85518" w:rsidTr="00383C32" w14:paraId="0E65FF50"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76931" w:rsidR="00A85518" w:rsidP="00A85518" w:rsidRDefault="00AE0A63" w14:paraId="4263EC1D" w14:textId="52870F99">
            <w:pPr>
              <w:pStyle w:val="Lijstalinea"/>
              <w:numPr>
                <w:ilvl w:val="0"/>
                <w:numId w:val="24"/>
              </w:numPr>
              <w:spacing w:after="0" w:line="240" w:lineRule="auto"/>
              <w:rPr>
                <w:rFonts w:ascii="Verdana" w:hAnsi="Verdana" w:eastAsia="Aptos" w:cs="Aptos"/>
                <w:sz w:val="18"/>
                <w:szCs w:val="18"/>
                <w14:ligatures w14:val="standardContextual"/>
              </w:rPr>
            </w:pPr>
            <w:r w:rsidRPr="00AE0A63">
              <w:rPr>
                <w:rFonts w:ascii="Verdana" w:hAnsi="Verdana" w:eastAsia="Aptos" w:cs="Aptos"/>
                <w:sz w:val="18"/>
                <w:szCs w:val="18"/>
                <w14:ligatures w14:val="standardContextual"/>
              </w:rPr>
              <w:t>Bedrijfsvoering: Nieuw Enterprise Resource Planning (ERP)-Systeem</w:t>
            </w:r>
          </w:p>
        </w:tc>
      </w:tr>
      <w:tr w:rsidRPr="000F1ADF" w:rsidR="00A85518" w:rsidTr="00383C32" w14:paraId="78A31189"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276931" w:rsidR="00A85518" w:rsidP="00A85518" w:rsidRDefault="00A85518" w14:paraId="7A004D51" w14:textId="77777777">
            <w:pPr>
              <w:pStyle w:val="Lijstalinea"/>
              <w:numPr>
                <w:ilvl w:val="0"/>
                <w:numId w:val="24"/>
              </w:numPr>
              <w:spacing w:after="0" w:line="240" w:lineRule="auto"/>
              <w:rPr>
                <w:rFonts w:ascii="Verdana" w:hAnsi="Verdana" w:eastAsia="Aptos" w:cs="Aptos"/>
                <w:sz w:val="18"/>
                <w:szCs w:val="18"/>
                <w14:ligatures w14:val="standardContextual"/>
              </w:rPr>
            </w:pPr>
            <w:bookmarkStart w:name="_Hlk211587057" w:id="2"/>
            <w:r w:rsidRPr="00276931">
              <w:rPr>
                <w:rFonts w:ascii="Verdana" w:hAnsi="Verdana" w:eastAsia="Aptos" w:cs="Aptos"/>
                <w:sz w:val="18"/>
                <w:szCs w:val="18"/>
                <w14:ligatures w14:val="standardContextual"/>
              </w:rPr>
              <w:t>Niet-fiscale taken</w:t>
            </w:r>
            <w:bookmarkEnd w:id="2"/>
          </w:p>
        </w:tc>
      </w:tr>
      <w:tr w:rsidRPr="000F1ADF" w:rsidR="00A85518" w:rsidTr="00383C32" w14:paraId="3A758C69"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76931" w:rsidR="00A85518" w:rsidP="00A85518" w:rsidRDefault="002B0FEA" w14:paraId="22E4B161" w14:textId="7785C50D">
            <w:pPr>
              <w:pStyle w:val="Lijstalinea"/>
              <w:numPr>
                <w:ilvl w:val="0"/>
                <w:numId w:val="24"/>
              </w:numPr>
              <w:spacing w:after="0" w:line="240" w:lineRule="auto"/>
              <w:rPr>
                <w:rFonts w:ascii="Verdana" w:hAnsi="Verdana" w:eastAsia="Aptos" w:cs="Aptos"/>
                <w:sz w:val="18"/>
                <w:szCs w:val="18"/>
                <w14:ligatures w14:val="standardContextual"/>
              </w:rPr>
            </w:pPr>
            <w:r w:rsidRPr="002B0FEA">
              <w:rPr>
                <w:rFonts w:ascii="Verdana" w:hAnsi="Verdana"/>
                <w:sz w:val="18"/>
                <w14:ligatures w14:val="standardContextual"/>
              </w:rPr>
              <w:t>Toezichtarrangement Autoriteit Persoonsgegevens (AP)</w:t>
            </w:r>
          </w:p>
        </w:tc>
      </w:tr>
      <w:tr w:rsidRPr="000F1ADF" w:rsidR="00A85518" w:rsidTr="00383C32" w14:paraId="4DB0A762"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276931" w:rsidR="00A85518" w:rsidP="00A85518" w:rsidRDefault="00A85518" w14:paraId="5AA02B79" w14:textId="77777777">
            <w:pPr>
              <w:pStyle w:val="Lijstalinea"/>
              <w:numPr>
                <w:ilvl w:val="0"/>
                <w:numId w:val="22"/>
              </w:numPr>
              <w:spacing w:after="0" w:line="240" w:lineRule="auto"/>
              <w:rPr>
                <w:rFonts w:ascii="Verdana" w:hAnsi="Verdana" w:eastAsia="Times New Roman" w:cs="Aptos"/>
                <w:b/>
                <w:bCs/>
                <w:sz w:val="18"/>
                <w:szCs w:val="18"/>
                <w14:ligatures w14:val="standardContextual"/>
              </w:rPr>
            </w:pPr>
            <w:r>
              <w:rPr>
                <w:rFonts w:ascii="Verdana" w:hAnsi="Verdana" w:eastAsia="Times New Roman" w:cs="Aptos"/>
                <w:b/>
                <w:bCs/>
                <w:sz w:val="18"/>
                <w:szCs w:val="18"/>
                <w14:ligatures w14:val="standardContextual"/>
              </w:rPr>
              <w:t xml:space="preserve"> </w:t>
            </w:r>
            <w:r w:rsidRPr="000B0D52">
              <w:rPr>
                <w:rFonts w:ascii="Verdana" w:hAnsi="Verdana" w:eastAsia="Aptos" w:cs="Aptos"/>
                <w:b/>
                <w:bCs/>
                <w:sz w:val="18"/>
                <w:szCs w:val="18"/>
                <w14:ligatures w14:val="standardContextual"/>
              </w:rPr>
              <w:t>Continu verbeteren dienstverlening, toezicht</w:t>
            </w:r>
            <w:r>
              <w:rPr>
                <w:rFonts w:ascii="Verdana" w:hAnsi="Verdana" w:eastAsia="Aptos" w:cs="Aptos"/>
                <w:b/>
                <w:bCs/>
                <w:sz w:val="18"/>
                <w:szCs w:val="18"/>
                <w14:ligatures w14:val="standardContextual"/>
              </w:rPr>
              <w:t xml:space="preserve"> en</w:t>
            </w:r>
            <w:r w:rsidRPr="000B0D52">
              <w:rPr>
                <w:rFonts w:ascii="Verdana" w:hAnsi="Verdana" w:eastAsia="Aptos" w:cs="Aptos"/>
                <w:b/>
                <w:bCs/>
                <w:sz w:val="18"/>
                <w:szCs w:val="18"/>
                <w14:ligatures w14:val="standardContextual"/>
              </w:rPr>
              <w:t xml:space="preserve"> opsporing</w:t>
            </w:r>
          </w:p>
        </w:tc>
      </w:tr>
      <w:tr w:rsidRPr="000F1ADF" w:rsidR="00A85518" w:rsidTr="00383C32" w14:paraId="103030AE"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545A31" w:rsidR="00A85518" w:rsidP="00A85518" w:rsidRDefault="00A85518" w14:paraId="0D12400F" w14:textId="77777777">
            <w:pPr>
              <w:pStyle w:val="Lijstalinea"/>
              <w:numPr>
                <w:ilvl w:val="0"/>
                <w:numId w:val="24"/>
              </w:numPr>
              <w:spacing w:after="0" w:line="240" w:lineRule="auto"/>
              <w:rPr>
                <w:rFonts w:ascii="Verdana" w:hAnsi="Verdana" w:eastAsia="Aptos" w:cs="Aptos"/>
                <w:sz w:val="18"/>
                <w:szCs w:val="18"/>
                <w14:ligatures w14:val="standardContextual"/>
              </w:rPr>
            </w:pPr>
            <w:r w:rsidRPr="00163829">
              <w:rPr>
                <w:rFonts w:ascii="Verdana" w:hAnsi="Verdana"/>
                <w:sz w:val="18"/>
                <w14:ligatures w14:val="standardContextual"/>
              </w:rPr>
              <w:t>Visie op AI</w:t>
            </w:r>
          </w:p>
        </w:tc>
      </w:tr>
      <w:tr w:rsidRPr="000F1ADF" w:rsidR="00A85518" w:rsidTr="00383C32" w14:paraId="54D8193C"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276931" w:rsidR="00A85518" w:rsidP="00A85518" w:rsidRDefault="00A85518" w14:paraId="23C843A7" w14:textId="77777777">
            <w:pPr>
              <w:pStyle w:val="Lijstalinea"/>
              <w:numPr>
                <w:ilvl w:val="0"/>
                <w:numId w:val="24"/>
              </w:numPr>
              <w:spacing w:after="0" w:line="240" w:lineRule="auto"/>
              <w:rPr>
                <w:rFonts w:ascii="Verdana" w:hAnsi="Verdana" w:eastAsia="Aptos" w:cs="Aptos"/>
                <w:sz w:val="18"/>
                <w:szCs w:val="18"/>
                <w14:ligatures w14:val="standardContextual"/>
              </w:rPr>
            </w:pPr>
            <w:bookmarkStart w:name="_Hlk209113159" w:id="3"/>
            <w:r w:rsidRPr="00276931">
              <w:rPr>
                <w:rFonts w:ascii="Verdana" w:hAnsi="Verdana" w:eastAsia="Aptos" w:cs="Aptos"/>
                <w:sz w:val="18"/>
                <w:szCs w:val="18"/>
                <w14:ligatures w14:val="standardContextual"/>
              </w:rPr>
              <w:t>Adviescommissie Analytics - Generatieve AI bij de Belastingdienst</w:t>
            </w:r>
            <w:bookmarkEnd w:id="3"/>
          </w:p>
        </w:tc>
      </w:tr>
      <w:tr w:rsidRPr="000F1ADF" w:rsidR="00A85518" w:rsidTr="00383C32" w14:paraId="0172001F"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276931" w:rsidR="00A85518" w:rsidP="00A85518" w:rsidRDefault="00A85518" w14:paraId="014CFC26" w14:textId="77777777">
            <w:pPr>
              <w:pStyle w:val="Lijstalinea"/>
              <w:numPr>
                <w:ilvl w:val="0"/>
                <w:numId w:val="24"/>
              </w:numPr>
              <w:spacing w:after="0" w:line="240" w:lineRule="auto"/>
              <w:rPr>
                <w:rFonts w:ascii="Verdana" w:hAnsi="Verdana" w:eastAsia="Aptos" w:cs="Aptos"/>
                <w:sz w:val="18"/>
                <w:szCs w:val="18"/>
                <w14:ligatures w14:val="standardContextual"/>
              </w:rPr>
            </w:pPr>
            <w:r w:rsidRPr="00680856">
              <w:rPr>
                <w:rFonts w:ascii="Verdana" w:hAnsi="Verdana" w:eastAsia="Aptos" w:cs="Aptos"/>
                <w:sz w:val="18"/>
                <w:szCs w:val="18"/>
                <w14:ligatures w14:val="standardContextual"/>
              </w:rPr>
              <w:t>Coronabelastingschulden en -betalingsregeling</w:t>
            </w:r>
          </w:p>
        </w:tc>
      </w:tr>
      <w:tr w:rsidRPr="000F1ADF" w:rsidR="00A85518" w:rsidTr="00383C32" w14:paraId="4E9B1841"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1B2BA3" w:rsidR="00A85518" w:rsidP="00A85518" w:rsidRDefault="00A85518" w14:paraId="0D7B4F3A" w14:textId="77777777">
            <w:pPr>
              <w:pStyle w:val="Lijstalinea"/>
              <w:numPr>
                <w:ilvl w:val="0"/>
                <w:numId w:val="24"/>
              </w:numPr>
              <w:spacing w:after="0" w:line="240" w:lineRule="auto"/>
              <w:rPr>
                <w:rFonts w:ascii="Verdana" w:hAnsi="Verdana" w:eastAsia="Aptos" w:cs="Aptos"/>
                <w:sz w:val="18"/>
                <w:szCs w:val="18"/>
                <w14:ligatures w14:val="standardContextual"/>
              </w:rPr>
            </w:pPr>
            <w:r w:rsidRPr="001B2BA3">
              <w:rPr>
                <w:rFonts w:ascii="Verdana" w:hAnsi="Verdana" w:cs="AANBE D+ Univers"/>
                <w:color w:val="211D1F"/>
                <w:sz w:val="18"/>
                <w:szCs w:val="18"/>
              </w:rPr>
              <w:t>Kwijtscheldingsbeleid ondernemers</w:t>
            </w:r>
          </w:p>
        </w:tc>
      </w:tr>
      <w:tr w:rsidRPr="000F1ADF" w:rsidR="00A85518" w:rsidTr="00383C32" w14:paraId="6F9ADB7F"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1B2BA3" w:rsidR="00A85518" w:rsidP="00A85518" w:rsidRDefault="00A85518" w14:paraId="2EFE5F4D" w14:textId="77777777">
            <w:pPr>
              <w:pStyle w:val="Lijstalinea"/>
              <w:numPr>
                <w:ilvl w:val="0"/>
                <w:numId w:val="24"/>
              </w:numPr>
              <w:spacing w:after="0" w:line="240" w:lineRule="auto"/>
              <w:rPr>
                <w:rFonts w:ascii="Verdana" w:hAnsi="Verdana" w:cs="AANBE D+ Univers"/>
                <w:color w:val="211D1F"/>
                <w:sz w:val="18"/>
                <w:szCs w:val="18"/>
              </w:rPr>
            </w:pPr>
            <w:r w:rsidRPr="000C5BFB">
              <w:rPr>
                <w:rFonts w:ascii="Verdana" w:hAnsi="Verdana"/>
                <w:sz w:val="18"/>
                <w:szCs w:val="18"/>
              </w:rPr>
              <w:t>Betalingsregeling</w:t>
            </w:r>
            <w:r w:rsidRPr="00276931">
              <w:rPr>
                <w:rFonts w:ascii="Verdana" w:hAnsi="Verdana"/>
                <w:b/>
                <w:bCs/>
                <w:sz w:val="18"/>
                <w:szCs w:val="18"/>
              </w:rPr>
              <w:t xml:space="preserve"> </w:t>
            </w:r>
            <w:r w:rsidRPr="00276931">
              <w:rPr>
                <w:rFonts w:ascii="Verdana" w:hAnsi="Verdana" w:eastAsia="Aptos" w:cs="Aptos"/>
                <w:sz w:val="18"/>
                <w:szCs w:val="18"/>
                <w14:ligatures w14:val="standardContextual"/>
              </w:rPr>
              <w:t>Illiquide vermogen</w:t>
            </w:r>
          </w:p>
        </w:tc>
      </w:tr>
      <w:tr w:rsidRPr="000F1ADF" w:rsidR="00A85518" w:rsidTr="00383C32" w14:paraId="0C82E0C6"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276931" w:rsidR="00A85518" w:rsidP="00A85518" w:rsidRDefault="00A85518" w14:paraId="22E37EC4" w14:textId="77777777">
            <w:pPr>
              <w:pStyle w:val="Lijstalinea"/>
              <w:numPr>
                <w:ilvl w:val="0"/>
                <w:numId w:val="24"/>
              </w:numPr>
              <w:spacing w:after="0" w:line="240" w:lineRule="auto"/>
              <w:rPr>
                <w:rFonts w:ascii="Verdana" w:hAnsi="Verdana" w:eastAsia="Aptos" w:cs="Aptos"/>
                <w:sz w:val="18"/>
                <w:szCs w:val="18"/>
                <w14:ligatures w14:val="standardContextual"/>
              </w:rPr>
            </w:pPr>
            <w:r w:rsidRPr="00680856">
              <w:rPr>
                <w:rFonts w:ascii="Verdana" w:hAnsi="Verdana"/>
                <w:sz w:val="18"/>
                <w:szCs w:val="18"/>
                <w:lang w:eastAsia="nl-NL"/>
              </w:rPr>
              <w:t>Inning en bezwaren</w:t>
            </w:r>
          </w:p>
        </w:tc>
      </w:tr>
      <w:tr w:rsidRPr="000F1ADF" w:rsidR="00A85518" w:rsidTr="00383C32" w14:paraId="580FCFAE"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680856" w:rsidR="00A85518" w:rsidP="00A85518" w:rsidRDefault="00A85518" w14:paraId="13F5CEEB" w14:textId="77777777">
            <w:pPr>
              <w:pStyle w:val="Lijstalinea"/>
              <w:numPr>
                <w:ilvl w:val="0"/>
                <w:numId w:val="24"/>
              </w:numPr>
              <w:spacing w:after="0" w:line="240" w:lineRule="auto"/>
              <w:rPr>
                <w:rFonts w:ascii="Verdana" w:hAnsi="Verdana"/>
                <w:sz w:val="18"/>
                <w:szCs w:val="18"/>
                <w:lang w:eastAsia="nl-NL"/>
              </w:rPr>
            </w:pPr>
            <w:r w:rsidRPr="007731C0">
              <w:rPr>
                <w:rFonts w:ascii="Verdana" w:hAnsi="Verdana" w:eastAsia="Aptos" w:cs="Aptos"/>
                <w:sz w:val="18"/>
                <w:szCs w:val="18"/>
                <w14:ligatures w14:val="standardContextual"/>
              </w:rPr>
              <w:t>Adviesrapport ‘Particulieren Uitvoerbaar plan’</w:t>
            </w:r>
          </w:p>
        </w:tc>
      </w:tr>
      <w:tr w:rsidRPr="000F1ADF" w:rsidR="00A85518" w:rsidTr="00383C32" w14:paraId="55827019"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26168F" w:rsidR="00A85518" w:rsidP="00A85518" w:rsidRDefault="00A85518" w14:paraId="724ED65C" w14:textId="780F403D">
            <w:pPr>
              <w:pStyle w:val="Lijstalinea"/>
              <w:numPr>
                <w:ilvl w:val="0"/>
                <w:numId w:val="24"/>
              </w:numPr>
              <w:spacing w:after="0"/>
              <w:rPr>
                <w:rFonts w:ascii="Verdana" w:hAnsi="Verdana"/>
                <w:sz w:val="18"/>
                <w:szCs w:val="18"/>
              </w:rPr>
            </w:pPr>
            <w:r w:rsidRPr="0026168F">
              <w:rPr>
                <w:rFonts w:ascii="Verdana" w:hAnsi="Verdana"/>
                <w:sz w:val="18"/>
                <w:szCs w:val="18"/>
              </w:rPr>
              <w:t>Fiscale geheimhoudingsplicht: Arm’s</w:t>
            </w:r>
            <w:r>
              <w:rPr>
                <w:rFonts w:ascii="Verdana" w:hAnsi="Verdana"/>
                <w:sz w:val="18"/>
                <w:szCs w:val="18"/>
              </w:rPr>
              <w:t>-</w:t>
            </w:r>
            <w:r w:rsidRPr="0026168F">
              <w:rPr>
                <w:rFonts w:ascii="Verdana" w:hAnsi="Verdana"/>
                <w:sz w:val="18"/>
                <w:szCs w:val="18"/>
              </w:rPr>
              <w:t>lengthbeginsel</w:t>
            </w:r>
          </w:p>
        </w:tc>
      </w:tr>
      <w:tr w:rsidRPr="000F1ADF" w:rsidR="00A85518" w:rsidTr="00383C32" w14:paraId="04F0129C"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0B0D52" w:rsidR="00A85518" w:rsidP="00A85518" w:rsidRDefault="00A85518" w14:paraId="719F3CE5" w14:textId="77777777">
            <w:pPr>
              <w:pStyle w:val="Lijstalinea"/>
              <w:numPr>
                <w:ilvl w:val="0"/>
                <w:numId w:val="22"/>
              </w:numPr>
              <w:spacing w:after="0" w:line="240" w:lineRule="auto"/>
              <w:rPr>
                <w:rFonts w:ascii="Verdana" w:hAnsi="Verdana" w:eastAsia="Aptos" w:cs="Aptos"/>
                <w:b/>
                <w:bCs/>
                <w:sz w:val="18"/>
                <w:szCs w:val="18"/>
                <w14:ligatures w14:val="standardContextual"/>
              </w:rPr>
            </w:pPr>
            <w:r>
              <w:rPr>
                <w:rFonts w:ascii="Verdana" w:hAnsi="Verdana" w:eastAsia="Times New Roman" w:cs="Aptos"/>
                <w:b/>
                <w:bCs/>
                <w:sz w:val="18"/>
                <w:szCs w:val="18"/>
                <w14:ligatures w14:val="standardContextual"/>
              </w:rPr>
              <w:t>Werken met plezier en vanuit vakmanschap</w:t>
            </w:r>
          </w:p>
        </w:tc>
      </w:tr>
      <w:tr w:rsidRPr="000F1ADF" w:rsidR="00A85518" w:rsidTr="00383C32" w14:paraId="5BD181CA" w14:textId="77777777">
        <w:tc>
          <w:tcPr>
            <w:tcW w:w="906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A85518" w:rsidR="00A85518" w:rsidP="00A85518" w:rsidRDefault="00A85518" w14:paraId="09069011" w14:textId="11DB6BC4">
            <w:pPr>
              <w:pStyle w:val="Lijstalinea"/>
              <w:numPr>
                <w:ilvl w:val="0"/>
                <w:numId w:val="24"/>
              </w:numPr>
              <w:spacing w:after="0" w:line="240" w:lineRule="auto"/>
              <w:rPr>
                <w:rFonts w:ascii="Verdana" w:hAnsi="Verdana" w:eastAsia="Aptos" w:cs="Aptos"/>
                <w:sz w:val="18"/>
                <w:szCs w:val="18"/>
                <w14:ligatures w14:val="standardContextual"/>
              </w:rPr>
            </w:pPr>
            <w:r w:rsidRPr="00A85518">
              <w:rPr>
                <w:rFonts w:ascii="Verdana" w:hAnsi="Verdana" w:eastAsia="Aptos" w:cs="Aptos"/>
                <w:sz w:val="18"/>
                <w:szCs w:val="18"/>
                <w14:ligatures w14:val="standardContextual"/>
              </w:rPr>
              <w:t>Personeel</w:t>
            </w:r>
          </w:p>
        </w:tc>
      </w:tr>
    </w:tbl>
    <w:p w:rsidRPr="00276931" w:rsidR="00523B07" w:rsidRDefault="00523B07" w14:paraId="03C38C4A" w14:textId="7AF65AC2">
      <w:pPr>
        <w:rPr>
          <w:rFonts w:ascii="Verdana" w:hAnsi="Verdana" w:eastAsia="Verdana" w:cs="Verdana"/>
          <w:i/>
          <w:iCs/>
          <w:sz w:val="18"/>
          <w:szCs w:val="18"/>
        </w:rPr>
      </w:pPr>
      <w:r w:rsidRPr="00276931">
        <w:rPr>
          <w:rFonts w:ascii="Verdana" w:hAnsi="Verdana" w:eastAsia="Verdana" w:cs="Verdana"/>
          <w:i/>
          <w:iCs/>
          <w:sz w:val="18"/>
          <w:szCs w:val="18"/>
        </w:rPr>
        <w:br w:type="page"/>
      </w:r>
    </w:p>
    <w:p w:rsidRPr="00276931" w:rsidR="00276931" w:rsidP="007A5414" w:rsidRDefault="00276931" w14:paraId="65F9F4DC" w14:textId="1C96D08D">
      <w:pPr>
        <w:rPr>
          <w:rFonts w:ascii="Verdana" w:hAnsi="Verdana"/>
          <w:b/>
          <w:bCs/>
          <w:sz w:val="18"/>
          <w:szCs w:val="18"/>
        </w:rPr>
      </w:pPr>
      <w:r w:rsidRPr="00276931">
        <w:rPr>
          <w:rFonts w:ascii="Verdana" w:hAnsi="Verdana"/>
          <w:b/>
          <w:bCs/>
          <w:sz w:val="18"/>
          <w:szCs w:val="18"/>
        </w:rPr>
        <w:lastRenderedPageBreak/>
        <w:t>I.</w:t>
      </w:r>
      <w:r w:rsidR="00845C49">
        <w:rPr>
          <w:rFonts w:ascii="Verdana" w:hAnsi="Verdana"/>
          <w:b/>
          <w:bCs/>
          <w:sz w:val="18"/>
          <w:szCs w:val="18"/>
        </w:rPr>
        <w:t xml:space="preserve"> </w:t>
      </w:r>
      <w:r w:rsidRPr="00276931">
        <w:rPr>
          <w:rFonts w:ascii="Verdana" w:hAnsi="Verdana"/>
          <w:b/>
          <w:bCs/>
          <w:sz w:val="18"/>
          <w:szCs w:val="18"/>
        </w:rPr>
        <w:t>Verbinden met de samenleving</w:t>
      </w:r>
    </w:p>
    <w:p w:rsidRPr="00854CE4" w:rsidR="008E0957" w:rsidP="008E0957" w:rsidRDefault="008E0957" w14:paraId="2A3A95F6" w14:textId="02C22AC1">
      <w:pPr>
        <w:rPr>
          <w:rFonts w:ascii="Verdana" w:hAnsi="Verdana"/>
          <w:b/>
          <w:bCs/>
          <w:sz w:val="18"/>
          <w:szCs w:val="18"/>
        </w:rPr>
      </w:pPr>
      <w:bookmarkStart w:name="_Hlk209622321" w:id="4"/>
      <w:r>
        <w:rPr>
          <w:rFonts w:ascii="Verdana" w:hAnsi="Verdana"/>
          <w:b/>
          <w:bCs/>
          <w:sz w:val="18"/>
          <w:szCs w:val="18"/>
        </w:rPr>
        <w:t>1</w:t>
      </w:r>
      <w:r w:rsidRPr="00854CE4">
        <w:rPr>
          <w:rFonts w:ascii="Verdana" w:hAnsi="Verdana"/>
          <w:b/>
          <w:bCs/>
          <w:sz w:val="18"/>
          <w:szCs w:val="18"/>
        </w:rPr>
        <w:t xml:space="preserve">. Aangiftecampagne </w:t>
      </w:r>
      <w:r>
        <w:rPr>
          <w:rFonts w:ascii="Verdana" w:hAnsi="Verdana"/>
          <w:b/>
          <w:bCs/>
          <w:sz w:val="18"/>
          <w:szCs w:val="18"/>
        </w:rPr>
        <w:t xml:space="preserve">Inkomstenbelasting </w:t>
      </w:r>
      <w:r w:rsidRPr="00854CE4">
        <w:rPr>
          <w:rFonts w:ascii="Verdana" w:hAnsi="Verdana"/>
          <w:b/>
          <w:bCs/>
          <w:sz w:val="18"/>
          <w:szCs w:val="18"/>
        </w:rPr>
        <w:t xml:space="preserve">2024  </w:t>
      </w:r>
    </w:p>
    <w:bookmarkEnd w:id="4"/>
    <w:p w:rsidR="008E0957" w:rsidP="008E0957" w:rsidRDefault="008E0957" w14:paraId="2497C421" w14:textId="25D7E528">
      <w:pPr>
        <w:rPr>
          <w:rFonts w:ascii="Verdana" w:hAnsi="Verdana"/>
          <w:sz w:val="18"/>
          <w:szCs w:val="18"/>
        </w:rPr>
      </w:pPr>
      <w:r w:rsidRPr="00854CE4">
        <w:rPr>
          <w:rFonts w:ascii="Verdana" w:hAnsi="Verdana"/>
          <w:sz w:val="18"/>
          <w:szCs w:val="18"/>
        </w:rPr>
        <w:t>In</w:t>
      </w:r>
      <w:r>
        <w:rPr>
          <w:rFonts w:ascii="Verdana" w:hAnsi="Verdana"/>
          <w:sz w:val="18"/>
          <w:szCs w:val="18"/>
        </w:rPr>
        <w:t xml:space="preserve"> de brief van 6</w:t>
      </w:r>
      <w:r w:rsidRPr="00854CE4">
        <w:rPr>
          <w:rFonts w:ascii="Verdana" w:hAnsi="Verdana"/>
          <w:sz w:val="18"/>
          <w:szCs w:val="18"/>
        </w:rPr>
        <w:t xml:space="preserve"> maart 2025</w:t>
      </w:r>
      <w:r>
        <w:rPr>
          <w:rStyle w:val="Voetnootmarkering"/>
          <w:rFonts w:ascii="Verdana" w:hAnsi="Verdana"/>
          <w:sz w:val="18"/>
          <w:szCs w:val="18"/>
        </w:rPr>
        <w:footnoteReference w:id="3"/>
      </w:r>
      <w:r w:rsidRPr="00854CE4">
        <w:rPr>
          <w:rFonts w:ascii="Verdana" w:hAnsi="Verdana"/>
          <w:sz w:val="18"/>
          <w:szCs w:val="18"/>
        </w:rPr>
        <w:t xml:space="preserve"> heeft mijn ambtsvoorganger u geïnformeerd over de aangiftecampagne Inkomstenbelasting 202</w:t>
      </w:r>
      <w:r w:rsidR="005B6763">
        <w:rPr>
          <w:rFonts w:ascii="Verdana" w:hAnsi="Verdana"/>
          <w:sz w:val="18"/>
          <w:szCs w:val="18"/>
        </w:rPr>
        <w:t>4</w:t>
      </w:r>
      <w:r w:rsidRPr="00854CE4">
        <w:rPr>
          <w:rFonts w:ascii="Verdana" w:hAnsi="Verdana"/>
          <w:sz w:val="18"/>
          <w:szCs w:val="18"/>
        </w:rPr>
        <w:t>.</w:t>
      </w:r>
      <w:r>
        <w:rPr>
          <w:rFonts w:ascii="Verdana" w:hAnsi="Verdana"/>
          <w:sz w:val="18"/>
          <w:szCs w:val="18"/>
        </w:rPr>
        <w:t xml:space="preserve"> </w:t>
      </w:r>
      <w:r w:rsidRPr="00854CE4">
        <w:rPr>
          <w:rFonts w:ascii="Verdana" w:hAnsi="Verdana"/>
          <w:sz w:val="18"/>
          <w:szCs w:val="18"/>
        </w:rPr>
        <w:t>De campagneboodschap luidde</w:t>
      </w:r>
      <w:r w:rsidR="008718AB">
        <w:rPr>
          <w:rFonts w:ascii="Verdana" w:hAnsi="Verdana"/>
          <w:sz w:val="18"/>
          <w:szCs w:val="18"/>
        </w:rPr>
        <w:t>:</w:t>
      </w:r>
      <w:r w:rsidRPr="00854CE4">
        <w:rPr>
          <w:rFonts w:ascii="Verdana" w:hAnsi="Verdana"/>
          <w:sz w:val="18"/>
          <w:szCs w:val="18"/>
        </w:rPr>
        <w:t xml:space="preserve"> ‘Doe aangifte op jouw manier. Met of zonder hulp’.</w:t>
      </w:r>
      <w:r w:rsidRPr="00854CE4">
        <w:rPr>
          <w:rFonts w:ascii="Verdana" w:hAnsi="Verdana"/>
          <w:sz w:val="18"/>
          <w:szCs w:val="18"/>
          <w:vertAlign w:val="superscript"/>
        </w:rPr>
        <w:footnoteReference w:id="4"/>
      </w:r>
      <w:r w:rsidRPr="00854CE4">
        <w:rPr>
          <w:rFonts w:ascii="Verdana" w:hAnsi="Verdana"/>
          <w:sz w:val="18"/>
          <w:szCs w:val="18"/>
        </w:rPr>
        <w:t xml:space="preserve"> Het doel van de boodschap was om de verschillende manieren van hulp en ondersteuning die mensen kunnen krijgen bij het doen van aangifte onder de aandacht te brengen. Daarmee richtte de campagne zich niet enkel op de groep die extra hulp nodig heeft, maar ook op een bredere groep die zich door een betere informatieverstrekking meer </w:t>
      </w:r>
      <w:r w:rsidR="00163829">
        <w:rPr>
          <w:rFonts w:ascii="Verdana" w:hAnsi="Verdana"/>
          <w:sz w:val="18"/>
          <w:szCs w:val="18"/>
        </w:rPr>
        <w:t>ondersteund</w:t>
      </w:r>
      <w:r w:rsidRPr="00854CE4">
        <w:rPr>
          <w:rFonts w:ascii="Verdana" w:hAnsi="Verdana"/>
          <w:sz w:val="18"/>
          <w:szCs w:val="18"/>
        </w:rPr>
        <w:t xml:space="preserve"> voelt bij het doen van aangifte. Dit werd </w:t>
      </w:r>
      <w:r w:rsidR="00D107CD">
        <w:rPr>
          <w:rFonts w:ascii="Verdana" w:hAnsi="Verdana"/>
          <w:sz w:val="18"/>
          <w:szCs w:val="18"/>
        </w:rPr>
        <w:t xml:space="preserve">onder meer </w:t>
      </w:r>
      <w:r w:rsidRPr="00854CE4">
        <w:rPr>
          <w:rFonts w:ascii="Verdana" w:hAnsi="Verdana"/>
          <w:sz w:val="18"/>
          <w:szCs w:val="18"/>
        </w:rPr>
        <w:t xml:space="preserve">ondersteund door de campagnebus die van 5 tot </w:t>
      </w:r>
      <w:r w:rsidR="003434D9">
        <w:rPr>
          <w:rFonts w:ascii="Verdana" w:hAnsi="Verdana"/>
          <w:sz w:val="18"/>
          <w:szCs w:val="18"/>
        </w:rPr>
        <w:t xml:space="preserve">en met </w:t>
      </w:r>
      <w:r w:rsidRPr="00854CE4">
        <w:rPr>
          <w:rFonts w:ascii="Verdana" w:hAnsi="Verdana"/>
          <w:sz w:val="18"/>
          <w:szCs w:val="18"/>
        </w:rPr>
        <w:t xml:space="preserve">29 maart </w:t>
      </w:r>
      <w:r w:rsidR="007F0283">
        <w:rPr>
          <w:rFonts w:ascii="Verdana" w:hAnsi="Verdana"/>
          <w:sz w:val="18"/>
          <w:szCs w:val="18"/>
        </w:rPr>
        <w:t xml:space="preserve">door </w:t>
      </w:r>
      <w:r w:rsidRPr="00854CE4">
        <w:rPr>
          <w:rFonts w:ascii="Verdana" w:hAnsi="Verdana"/>
          <w:sz w:val="18"/>
          <w:szCs w:val="18"/>
        </w:rPr>
        <w:t xml:space="preserve">14 locaties in Nederland </w:t>
      </w:r>
      <w:r w:rsidR="007F0283">
        <w:rPr>
          <w:rFonts w:ascii="Verdana" w:hAnsi="Verdana"/>
          <w:sz w:val="18"/>
          <w:szCs w:val="18"/>
        </w:rPr>
        <w:t>reed</w:t>
      </w:r>
      <w:r w:rsidRPr="00854CE4">
        <w:rPr>
          <w:rFonts w:ascii="Verdana" w:hAnsi="Verdana"/>
          <w:sz w:val="18"/>
          <w:szCs w:val="18"/>
        </w:rPr>
        <w:t xml:space="preserve">. Het gebruik van de bus en de aanwezigheid in het land werd door de burgers op straat als zeer positief ervaren. </w:t>
      </w:r>
    </w:p>
    <w:p w:rsidRPr="00854CE4" w:rsidR="008E0957" w:rsidP="008E0957" w:rsidRDefault="008E0957" w14:paraId="6D4BDD95" w14:textId="396E3C20">
      <w:pPr>
        <w:rPr>
          <w:rFonts w:ascii="Verdana" w:hAnsi="Verdana"/>
          <w:sz w:val="18"/>
          <w:szCs w:val="18"/>
        </w:rPr>
      </w:pPr>
      <w:r>
        <w:rPr>
          <w:rFonts w:ascii="Verdana" w:hAnsi="Verdana"/>
          <w:sz w:val="18"/>
          <w:szCs w:val="18"/>
        </w:rPr>
        <w:t xml:space="preserve">Inmiddels is de aangiftecampagne afgerond. Daarom wil ik uw Kamer met deze brief informeren over de cijfers rond de aangiftecampagne. </w:t>
      </w:r>
      <w:r w:rsidRPr="00854CE4">
        <w:rPr>
          <w:rFonts w:ascii="Verdana" w:hAnsi="Verdana"/>
          <w:sz w:val="18"/>
          <w:szCs w:val="18"/>
        </w:rPr>
        <w:t>Dit jaar is de aangiftecampagne opnieuw voorspoedig verlopen</w:t>
      </w:r>
      <w:r>
        <w:rPr>
          <w:rFonts w:ascii="Verdana" w:hAnsi="Verdana"/>
          <w:sz w:val="18"/>
          <w:szCs w:val="18"/>
        </w:rPr>
        <w:t>. Het doel van de campagne</w:t>
      </w:r>
      <w:r w:rsidR="00D107CD">
        <w:rPr>
          <w:rFonts w:ascii="Verdana" w:hAnsi="Verdana"/>
          <w:sz w:val="18"/>
          <w:szCs w:val="18"/>
        </w:rPr>
        <w:t xml:space="preserve"> is dat mensen tijdig, juist en volledig aangifte doen. De Belastingdienst brengt daarom ook </w:t>
      </w:r>
      <w:r>
        <w:rPr>
          <w:rFonts w:ascii="Verdana" w:hAnsi="Verdana"/>
          <w:sz w:val="18"/>
          <w:szCs w:val="18"/>
        </w:rPr>
        <w:t xml:space="preserve">de verschillende manieren van hulp en ondersteuning bij </w:t>
      </w:r>
      <w:r w:rsidR="00D107CD">
        <w:rPr>
          <w:rFonts w:ascii="Verdana" w:hAnsi="Verdana"/>
          <w:sz w:val="18"/>
          <w:szCs w:val="18"/>
        </w:rPr>
        <w:t xml:space="preserve">het aangifte doen </w:t>
      </w:r>
      <w:r>
        <w:rPr>
          <w:rFonts w:ascii="Verdana" w:hAnsi="Verdana"/>
          <w:sz w:val="18"/>
          <w:szCs w:val="18"/>
        </w:rPr>
        <w:t>onder de aandacht</w:t>
      </w:r>
      <w:r w:rsidR="00D107CD">
        <w:rPr>
          <w:rFonts w:ascii="Verdana" w:hAnsi="Verdana"/>
          <w:sz w:val="18"/>
          <w:szCs w:val="18"/>
        </w:rPr>
        <w:t xml:space="preserve">. Dit </w:t>
      </w:r>
      <w:r>
        <w:rPr>
          <w:rFonts w:ascii="Verdana" w:hAnsi="Verdana"/>
          <w:sz w:val="18"/>
          <w:szCs w:val="18"/>
        </w:rPr>
        <w:t>lijkt tot resultaat te hebben geleid.</w:t>
      </w:r>
      <w:r w:rsidRPr="00854CE4">
        <w:rPr>
          <w:rFonts w:ascii="Verdana" w:hAnsi="Verdana"/>
          <w:sz w:val="18"/>
          <w:szCs w:val="18"/>
        </w:rPr>
        <w:t xml:space="preserve"> De extra aandacht voor de mogelijkheid van hulp via telefonie, videobellen en balie heeft geleid tot een stijgende vraag van 15%</w:t>
      </w:r>
      <w:r>
        <w:rPr>
          <w:rFonts w:ascii="Verdana" w:hAnsi="Verdana"/>
          <w:sz w:val="18"/>
          <w:szCs w:val="18"/>
        </w:rPr>
        <w:t>, wat betekent dat burgers die hulp willen ons beter weten te vinden</w:t>
      </w:r>
      <w:r w:rsidRPr="00854CE4">
        <w:rPr>
          <w:rFonts w:ascii="Verdana" w:hAnsi="Verdana"/>
          <w:sz w:val="18"/>
          <w:szCs w:val="18"/>
        </w:rPr>
        <w:t xml:space="preserve">. </w:t>
      </w:r>
    </w:p>
    <w:p w:rsidR="008E0957" w:rsidP="008E0957" w:rsidRDefault="008E0957" w14:paraId="128094CB" w14:textId="0EDB53EE">
      <w:pPr>
        <w:rPr>
          <w:rFonts w:ascii="Verdana" w:hAnsi="Verdana"/>
          <w:sz w:val="18"/>
          <w:szCs w:val="18"/>
        </w:rPr>
      </w:pPr>
      <w:r w:rsidRPr="00A66F92">
        <w:rPr>
          <w:rFonts w:ascii="Verdana" w:hAnsi="Verdana"/>
          <w:sz w:val="18"/>
          <w:szCs w:val="18"/>
        </w:rPr>
        <w:t xml:space="preserve">In totaal hadden </w:t>
      </w:r>
      <w:r w:rsidRPr="00383C32">
        <w:rPr>
          <w:rFonts w:ascii="Verdana" w:hAnsi="Verdana"/>
          <w:sz w:val="18"/>
          <w:szCs w:val="18"/>
        </w:rPr>
        <w:t xml:space="preserve">op 30 april 2025 </w:t>
      </w:r>
      <w:r w:rsidRPr="00A66F92">
        <w:rPr>
          <w:rFonts w:ascii="Verdana" w:hAnsi="Verdana"/>
          <w:sz w:val="18"/>
          <w:szCs w:val="18"/>
        </w:rPr>
        <w:t xml:space="preserve">ruim 10,5 miljoen mensen hun aangifte </w:t>
      </w:r>
      <w:r w:rsidR="008718AB">
        <w:rPr>
          <w:rFonts w:ascii="Verdana" w:hAnsi="Verdana"/>
          <w:sz w:val="18"/>
          <w:szCs w:val="18"/>
        </w:rPr>
        <w:t xml:space="preserve">inkomstenbelasting </w:t>
      </w:r>
      <w:r w:rsidR="00BA3649">
        <w:rPr>
          <w:rFonts w:ascii="Verdana" w:hAnsi="Verdana"/>
          <w:sz w:val="18"/>
          <w:szCs w:val="18"/>
        </w:rPr>
        <w:t xml:space="preserve">2024 </w:t>
      </w:r>
      <w:r w:rsidRPr="00A66F92">
        <w:rPr>
          <w:rFonts w:ascii="Verdana" w:hAnsi="Verdana"/>
          <w:sz w:val="18"/>
          <w:szCs w:val="18"/>
        </w:rPr>
        <w:t>ingediend. Ten</w:t>
      </w:r>
      <w:r w:rsidRPr="00854CE4">
        <w:rPr>
          <w:rFonts w:ascii="Verdana" w:hAnsi="Verdana"/>
          <w:sz w:val="18"/>
          <w:szCs w:val="18"/>
        </w:rPr>
        <w:t xml:space="preserve"> opzichte van vorig jaar dienden er bijna 600.000 meer ingediende aangiften verwerkt te worden. </w:t>
      </w:r>
      <w:r>
        <w:rPr>
          <w:rFonts w:ascii="Verdana" w:hAnsi="Verdana"/>
          <w:sz w:val="18"/>
          <w:szCs w:val="18"/>
        </w:rPr>
        <w:t xml:space="preserve">Het is nog niet exact vast te stellen waarom dit aantal hoger is dan vorig jaar. Mogelijke verklaringen zijn het effect van campagnes en het </w:t>
      </w:r>
      <w:r w:rsidR="00EE10BA">
        <w:rPr>
          <w:rFonts w:ascii="Verdana" w:hAnsi="Verdana"/>
          <w:sz w:val="18"/>
          <w:szCs w:val="18"/>
        </w:rPr>
        <w:t>onder de aandacht brengen van</w:t>
      </w:r>
      <w:r>
        <w:rPr>
          <w:rFonts w:ascii="Verdana" w:hAnsi="Verdana"/>
          <w:sz w:val="18"/>
          <w:szCs w:val="18"/>
        </w:rPr>
        <w:t xml:space="preserve"> de mogelijkhe</w:t>
      </w:r>
      <w:r w:rsidR="00EE10BA">
        <w:rPr>
          <w:rFonts w:ascii="Verdana" w:hAnsi="Verdana"/>
          <w:sz w:val="18"/>
          <w:szCs w:val="18"/>
        </w:rPr>
        <w:t>den</w:t>
      </w:r>
      <w:r>
        <w:rPr>
          <w:rFonts w:ascii="Verdana" w:hAnsi="Verdana"/>
          <w:sz w:val="18"/>
          <w:szCs w:val="18"/>
        </w:rPr>
        <w:t xml:space="preserve"> v</w:t>
      </w:r>
      <w:r w:rsidR="00EE10BA">
        <w:rPr>
          <w:rFonts w:ascii="Verdana" w:hAnsi="Verdana"/>
          <w:sz w:val="18"/>
          <w:szCs w:val="18"/>
        </w:rPr>
        <w:t>oor</w:t>
      </w:r>
      <w:r>
        <w:rPr>
          <w:rFonts w:ascii="Verdana" w:hAnsi="Verdana"/>
          <w:sz w:val="18"/>
          <w:szCs w:val="18"/>
        </w:rPr>
        <w:t xml:space="preserve"> het krijgen van hulp</w:t>
      </w:r>
      <w:r w:rsidR="0025375E">
        <w:rPr>
          <w:rFonts w:ascii="Verdana" w:hAnsi="Verdana"/>
          <w:sz w:val="18"/>
          <w:szCs w:val="18"/>
        </w:rPr>
        <w:t xml:space="preserve"> bij het doen van aangifte</w:t>
      </w:r>
      <w:r w:rsidR="00BD535D">
        <w:rPr>
          <w:rFonts w:ascii="Verdana" w:hAnsi="Verdana"/>
          <w:sz w:val="18"/>
          <w:szCs w:val="18"/>
        </w:rPr>
        <w:t>.</w:t>
      </w:r>
      <w:r>
        <w:rPr>
          <w:rFonts w:ascii="Verdana" w:hAnsi="Verdana"/>
          <w:sz w:val="18"/>
          <w:szCs w:val="18"/>
        </w:rPr>
        <w:t xml:space="preserve"> </w:t>
      </w:r>
      <w:r w:rsidR="0025375E">
        <w:rPr>
          <w:rFonts w:ascii="Verdana" w:hAnsi="Verdana"/>
          <w:sz w:val="18"/>
          <w:szCs w:val="18"/>
        </w:rPr>
        <w:t>Het</w:t>
      </w:r>
      <w:r>
        <w:rPr>
          <w:rFonts w:ascii="Verdana" w:hAnsi="Verdana"/>
          <w:sz w:val="18"/>
          <w:szCs w:val="18"/>
        </w:rPr>
        <w:t xml:space="preserve"> hogere aantal</w:t>
      </w:r>
      <w:r w:rsidR="0025375E">
        <w:rPr>
          <w:rFonts w:ascii="Verdana" w:hAnsi="Verdana"/>
          <w:sz w:val="18"/>
          <w:szCs w:val="18"/>
        </w:rPr>
        <w:t xml:space="preserve"> ingediende aangiften</w:t>
      </w:r>
      <w:r>
        <w:rPr>
          <w:rFonts w:ascii="Verdana" w:hAnsi="Verdana"/>
          <w:sz w:val="18"/>
          <w:szCs w:val="18"/>
        </w:rPr>
        <w:t xml:space="preserve"> laat zien dat burgers de Belastingdienst steeds beter weten te vinden. </w:t>
      </w:r>
    </w:p>
    <w:p w:rsidRPr="005064B8" w:rsidR="005064B8" w:rsidP="005064B8" w:rsidRDefault="005064B8" w14:paraId="400158E4" w14:textId="77777777">
      <w:pPr>
        <w:rPr>
          <w:rFonts w:ascii="Verdana" w:hAnsi="Verdana"/>
          <w:sz w:val="18"/>
          <w:szCs w:val="18"/>
        </w:rPr>
      </w:pPr>
      <w:r w:rsidRPr="005064B8">
        <w:rPr>
          <w:rFonts w:ascii="Verdana" w:hAnsi="Verdana"/>
          <w:sz w:val="18"/>
          <w:szCs w:val="18"/>
        </w:rPr>
        <w:t xml:space="preserve">Van de 9,4 miljoen mensen die zijn uitgenodigd om aangifte te doen, hebben 6,5 miljoen dit vóór 1 mei 2025 gedaan. Dat komt neer op 69% van het totaal. Daarnaast zijn er ruim 3,4 miljoen verzoeken tot uitstel verwerkt, waarvan circa 3,1 miljoen via de uitstelregeling voor belastingconsulenten. </w:t>
      </w:r>
    </w:p>
    <w:p w:rsidRPr="002838CE" w:rsidR="002838CE" w:rsidP="002838CE" w:rsidRDefault="002838CE" w14:paraId="6FD4E209" w14:textId="49D9BBD8">
      <w:pPr>
        <w:rPr>
          <w:rFonts w:ascii="Verdana" w:hAnsi="Verdana"/>
          <w:sz w:val="18"/>
          <w:szCs w:val="18"/>
        </w:rPr>
      </w:pPr>
      <w:r w:rsidRPr="002838CE">
        <w:rPr>
          <w:rFonts w:ascii="Verdana" w:hAnsi="Verdana"/>
          <w:sz w:val="18"/>
          <w:szCs w:val="18"/>
        </w:rPr>
        <w:t xml:space="preserve">Alle 6,7 miljoen mensen </w:t>
      </w:r>
      <w:r w:rsidR="00CD32A5">
        <w:rPr>
          <w:rFonts w:ascii="Verdana" w:hAnsi="Verdana"/>
          <w:sz w:val="18"/>
          <w:szCs w:val="18"/>
        </w:rPr>
        <w:t xml:space="preserve">(zowel mensen die wel en geen uitnodiging om aangifte te doen hebben gehad) </w:t>
      </w:r>
      <w:r w:rsidRPr="002838CE">
        <w:rPr>
          <w:rFonts w:ascii="Verdana" w:hAnsi="Verdana"/>
          <w:sz w:val="18"/>
          <w:szCs w:val="18"/>
        </w:rPr>
        <w:t>die vóór 1 april 2025 aangifte hebben gedaan, hebben vóór 1 juli 2025 bericht ontvangen. Dit bericht kon bestaan uit:</w:t>
      </w:r>
    </w:p>
    <w:p w:rsidRPr="002838CE" w:rsidR="002838CE" w:rsidP="005064B8" w:rsidRDefault="002838CE" w14:paraId="54F06C17" w14:textId="77777777">
      <w:pPr>
        <w:numPr>
          <w:ilvl w:val="0"/>
          <w:numId w:val="40"/>
        </w:numPr>
        <w:spacing w:after="0"/>
        <w:rPr>
          <w:rFonts w:ascii="Verdana" w:hAnsi="Verdana"/>
          <w:sz w:val="18"/>
          <w:szCs w:val="18"/>
        </w:rPr>
      </w:pPr>
      <w:r w:rsidRPr="002838CE">
        <w:rPr>
          <w:rFonts w:ascii="Verdana" w:hAnsi="Verdana"/>
          <w:sz w:val="18"/>
          <w:szCs w:val="18"/>
        </w:rPr>
        <w:t>een voorlopige aanslag,</w:t>
      </w:r>
    </w:p>
    <w:p w:rsidRPr="002838CE" w:rsidR="002838CE" w:rsidP="005064B8" w:rsidRDefault="002838CE" w14:paraId="266FA2DF" w14:textId="77777777">
      <w:pPr>
        <w:numPr>
          <w:ilvl w:val="0"/>
          <w:numId w:val="40"/>
        </w:numPr>
        <w:spacing w:after="0"/>
        <w:rPr>
          <w:rFonts w:ascii="Verdana" w:hAnsi="Verdana"/>
          <w:sz w:val="18"/>
          <w:szCs w:val="18"/>
        </w:rPr>
      </w:pPr>
      <w:r w:rsidRPr="002838CE">
        <w:rPr>
          <w:rFonts w:ascii="Verdana" w:hAnsi="Verdana"/>
          <w:sz w:val="18"/>
          <w:szCs w:val="18"/>
        </w:rPr>
        <w:t>een definitieve aanslag, of</w:t>
      </w:r>
    </w:p>
    <w:p w:rsidR="002838CE" w:rsidP="005064B8" w:rsidRDefault="002838CE" w14:paraId="23C809CC" w14:textId="24699191">
      <w:pPr>
        <w:numPr>
          <w:ilvl w:val="0"/>
          <w:numId w:val="40"/>
        </w:numPr>
        <w:spacing w:after="0"/>
        <w:rPr>
          <w:rFonts w:ascii="Verdana" w:hAnsi="Verdana"/>
          <w:sz w:val="18"/>
          <w:szCs w:val="18"/>
        </w:rPr>
      </w:pPr>
      <w:r w:rsidRPr="002838CE">
        <w:rPr>
          <w:rFonts w:ascii="Verdana" w:hAnsi="Verdana"/>
          <w:sz w:val="18"/>
          <w:szCs w:val="18"/>
        </w:rPr>
        <w:t>een brief ‘uitgestelde garantiepost’</w:t>
      </w:r>
      <w:r w:rsidR="00FE1555">
        <w:rPr>
          <w:rFonts w:ascii="Verdana" w:hAnsi="Verdana"/>
          <w:sz w:val="18"/>
          <w:szCs w:val="18"/>
        </w:rPr>
        <w:t xml:space="preserve"> (dan is er meer informatie van de belastingplichtige nodig)</w:t>
      </w:r>
      <w:r w:rsidRPr="002838CE">
        <w:rPr>
          <w:rFonts w:ascii="Verdana" w:hAnsi="Verdana"/>
          <w:sz w:val="18"/>
          <w:szCs w:val="18"/>
        </w:rPr>
        <w:t>.</w:t>
      </w:r>
    </w:p>
    <w:p w:rsidRPr="002838CE" w:rsidR="005064B8" w:rsidP="005064B8" w:rsidRDefault="005064B8" w14:paraId="6D32D039" w14:textId="77777777">
      <w:pPr>
        <w:spacing w:after="0"/>
        <w:ind w:left="720"/>
        <w:rPr>
          <w:rFonts w:ascii="Verdana" w:hAnsi="Verdana"/>
          <w:sz w:val="18"/>
          <w:szCs w:val="18"/>
        </w:rPr>
      </w:pPr>
    </w:p>
    <w:p w:rsidRPr="00854CE4" w:rsidR="008E0957" w:rsidP="008E0957" w:rsidRDefault="008E0957" w14:paraId="576E5C3A" w14:textId="541EC402">
      <w:pPr>
        <w:rPr>
          <w:rFonts w:ascii="Verdana" w:hAnsi="Verdana"/>
          <w:sz w:val="18"/>
          <w:szCs w:val="18"/>
        </w:rPr>
      </w:pPr>
      <w:r w:rsidRPr="00854CE4">
        <w:rPr>
          <w:rFonts w:ascii="Verdana" w:hAnsi="Verdana"/>
          <w:sz w:val="18"/>
          <w:szCs w:val="18"/>
        </w:rPr>
        <w:t xml:space="preserve">Er is door veel maatschappelijk dienstverleners hulp bij aangifte geboden, onder andere door vak- en ouderenbonden. Tijdens de gehele </w:t>
      </w:r>
      <w:r w:rsidR="005B6763">
        <w:rPr>
          <w:rFonts w:ascii="Verdana" w:hAnsi="Verdana"/>
          <w:sz w:val="18"/>
          <w:szCs w:val="18"/>
        </w:rPr>
        <w:t>aangifte</w:t>
      </w:r>
      <w:r w:rsidRPr="00854CE4">
        <w:rPr>
          <w:rFonts w:ascii="Verdana" w:hAnsi="Verdana"/>
          <w:sz w:val="18"/>
          <w:szCs w:val="18"/>
        </w:rPr>
        <w:t>campagne 2024 organise</w:t>
      </w:r>
      <w:r w:rsidR="007F0283">
        <w:rPr>
          <w:rFonts w:ascii="Verdana" w:hAnsi="Verdana"/>
          <w:sz w:val="18"/>
          <w:szCs w:val="18"/>
        </w:rPr>
        <w:t>erden</w:t>
      </w:r>
      <w:r w:rsidRPr="00854CE4">
        <w:rPr>
          <w:rFonts w:ascii="Verdana" w:hAnsi="Verdana"/>
          <w:sz w:val="18"/>
          <w:szCs w:val="18"/>
        </w:rPr>
        <w:t xml:space="preserve"> </w:t>
      </w:r>
      <w:r>
        <w:rPr>
          <w:rFonts w:ascii="Verdana" w:hAnsi="Verdana"/>
          <w:sz w:val="18"/>
          <w:szCs w:val="18"/>
        </w:rPr>
        <w:t xml:space="preserve">366 vestigingen van </w:t>
      </w:r>
      <w:r w:rsidRPr="00854CE4">
        <w:rPr>
          <w:rFonts w:ascii="Verdana" w:hAnsi="Verdana"/>
          <w:sz w:val="18"/>
          <w:szCs w:val="18"/>
        </w:rPr>
        <w:t>94 bibliotheken activiteiten.</w:t>
      </w:r>
      <w:r>
        <w:rPr>
          <w:rFonts w:ascii="Verdana" w:hAnsi="Verdana"/>
          <w:sz w:val="18"/>
          <w:szCs w:val="18"/>
        </w:rPr>
        <w:t xml:space="preserve"> </w:t>
      </w:r>
      <w:r w:rsidRPr="00854CE4">
        <w:rPr>
          <w:rFonts w:ascii="Verdana" w:hAnsi="Verdana"/>
          <w:sz w:val="18"/>
          <w:szCs w:val="18"/>
        </w:rPr>
        <w:t xml:space="preserve">Er zijn tijdens de aangiftecampagne twee landelijke aangiftedagen georganiseerd door Stichting Sofir en </w:t>
      </w:r>
      <w:r w:rsidR="008718AB">
        <w:rPr>
          <w:rFonts w:ascii="Verdana" w:hAnsi="Verdana"/>
          <w:sz w:val="18"/>
          <w:szCs w:val="18"/>
        </w:rPr>
        <w:t>d</w:t>
      </w:r>
      <w:r w:rsidRPr="00854CE4">
        <w:rPr>
          <w:rFonts w:ascii="Verdana" w:hAnsi="Verdana"/>
          <w:sz w:val="18"/>
          <w:szCs w:val="18"/>
        </w:rPr>
        <w:t>e Belastingwinkels</w:t>
      </w:r>
      <w:r>
        <w:rPr>
          <w:rFonts w:ascii="Verdana" w:hAnsi="Verdana"/>
          <w:sz w:val="18"/>
          <w:szCs w:val="18"/>
        </w:rPr>
        <w:t>. Hierbij zijn ook</w:t>
      </w:r>
      <w:r w:rsidRPr="00854CE4">
        <w:rPr>
          <w:rFonts w:ascii="Verdana" w:hAnsi="Verdana"/>
          <w:sz w:val="18"/>
          <w:szCs w:val="18"/>
        </w:rPr>
        <w:t xml:space="preserve"> diverse bibliotheken</w:t>
      </w:r>
      <w:r>
        <w:rPr>
          <w:rFonts w:ascii="Verdana" w:hAnsi="Verdana"/>
          <w:sz w:val="18"/>
          <w:szCs w:val="18"/>
        </w:rPr>
        <w:t>,</w:t>
      </w:r>
      <w:r w:rsidRPr="00854CE4">
        <w:rPr>
          <w:rFonts w:ascii="Verdana" w:hAnsi="Verdana"/>
          <w:sz w:val="18"/>
          <w:szCs w:val="18"/>
        </w:rPr>
        <w:t xml:space="preserve"> maatschappelijke partijen </w:t>
      </w:r>
      <w:r>
        <w:rPr>
          <w:rFonts w:ascii="Verdana" w:hAnsi="Verdana"/>
          <w:sz w:val="18"/>
          <w:szCs w:val="18"/>
        </w:rPr>
        <w:t>en</w:t>
      </w:r>
      <w:r w:rsidRPr="00854CE4">
        <w:rPr>
          <w:rFonts w:ascii="Verdana" w:hAnsi="Verdana"/>
          <w:sz w:val="18"/>
          <w:szCs w:val="18"/>
        </w:rPr>
        <w:t xml:space="preserve"> een aantal balies van de Belastingdienst</w:t>
      </w:r>
      <w:r>
        <w:rPr>
          <w:rFonts w:ascii="Verdana" w:hAnsi="Verdana"/>
          <w:sz w:val="18"/>
          <w:szCs w:val="18"/>
        </w:rPr>
        <w:t xml:space="preserve"> aangesloten</w:t>
      </w:r>
      <w:r w:rsidRPr="00854CE4">
        <w:rPr>
          <w:rFonts w:ascii="Verdana" w:hAnsi="Verdana"/>
          <w:sz w:val="18"/>
          <w:szCs w:val="18"/>
        </w:rPr>
        <w:t xml:space="preserve">. In totaal is op deze dagen op 37 locaties hulp aangeboden bij het doen van de </w:t>
      </w:r>
      <w:r>
        <w:rPr>
          <w:rFonts w:ascii="Verdana" w:hAnsi="Verdana"/>
          <w:sz w:val="18"/>
          <w:szCs w:val="18"/>
        </w:rPr>
        <w:t xml:space="preserve">aangifte </w:t>
      </w:r>
      <w:r w:rsidR="008718AB">
        <w:rPr>
          <w:rFonts w:ascii="Verdana" w:hAnsi="Verdana"/>
          <w:sz w:val="18"/>
          <w:szCs w:val="18"/>
        </w:rPr>
        <w:t xml:space="preserve">inkomstenbelasting </w:t>
      </w:r>
      <w:r w:rsidRPr="00854CE4">
        <w:rPr>
          <w:rFonts w:ascii="Verdana" w:hAnsi="Verdana"/>
          <w:sz w:val="18"/>
          <w:szCs w:val="18"/>
        </w:rPr>
        <w:t>2024.</w:t>
      </w:r>
    </w:p>
    <w:p w:rsidRPr="00383D56" w:rsidR="008E0957" w:rsidP="008E0957" w:rsidRDefault="008E0957" w14:paraId="6C8926D8" w14:textId="4764E4CC">
      <w:pPr>
        <w:rPr>
          <w:rFonts w:ascii="Verdana" w:hAnsi="Verdana"/>
          <w:sz w:val="18"/>
          <w:szCs w:val="18"/>
        </w:rPr>
      </w:pPr>
      <w:r w:rsidRPr="00854CE4">
        <w:rPr>
          <w:rFonts w:ascii="Verdana" w:hAnsi="Verdana"/>
          <w:sz w:val="18"/>
          <w:szCs w:val="18"/>
        </w:rPr>
        <w:t xml:space="preserve">Over de gehele aangifteperiode was de BelastingTelefoon goed bereikbaar. </w:t>
      </w:r>
      <w:r w:rsidRPr="00CB777C">
        <w:rPr>
          <w:rFonts w:ascii="Verdana" w:hAnsi="Verdana"/>
          <w:sz w:val="18"/>
          <w:szCs w:val="18"/>
        </w:rPr>
        <w:t>Tijdens de aangiftecampagne</w:t>
      </w:r>
      <w:r>
        <w:rPr>
          <w:rFonts w:ascii="Verdana" w:hAnsi="Verdana"/>
          <w:sz w:val="18"/>
          <w:szCs w:val="18"/>
        </w:rPr>
        <w:t xml:space="preserve"> in maart en april</w:t>
      </w:r>
      <w:r w:rsidRPr="00CB777C">
        <w:rPr>
          <w:rFonts w:ascii="Verdana" w:hAnsi="Verdana"/>
          <w:sz w:val="18"/>
          <w:szCs w:val="18"/>
        </w:rPr>
        <w:t xml:space="preserve"> zijn 1.520.571 telefoontjes aangenomen. Het aannamepercentage</w:t>
      </w:r>
      <w:r w:rsidR="00E767D3">
        <w:rPr>
          <w:rFonts w:ascii="Verdana" w:hAnsi="Verdana"/>
          <w:sz w:val="18"/>
          <w:szCs w:val="18"/>
        </w:rPr>
        <w:t xml:space="preserve"> </w:t>
      </w:r>
      <w:r w:rsidRPr="00CB777C">
        <w:rPr>
          <w:rFonts w:ascii="Verdana" w:hAnsi="Verdana"/>
          <w:sz w:val="18"/>
          <w:szCs w:val="18"/>
        </w:rPr>
        <w:t>was in deze periode 91%</w:t>
      </w:r>
      <w:r w:rsidR="00E767D3">
        <w:rPr>
          <w:rFonts w:ascii="Verdana" w:hAnsi="Verdana"/>
          <w:sz w:val="18"/>
          <w:szCs w:val="18"/>
        </w:rPr>
        <w:t>, wat betekent dat meer dan negen op de tien bellers een medewerker te spreken heeft gekregen</w:t>
      </w:r>
      <w:r w:rsidRPr="00CB777C">
        <w:rPr>
          <w:rFonts w:ascii="Verdana" w:hAnsi="Verdana"/>
          <w:sz w:val="18"/>
          <w:szCs w:val="18"/>
        </w:rPr>
        <w:t>. Het streven van de BelastingTelefoon is 90%.</w:t>
      </w:r>
      <w:r>
        <w:rPr>
          <w:rFonts w:ascii="Verdana" w:hAnsi="Verdana"/>
          <w:sz w:val="18"/>
          <w:szCs w:val="18"/>
        </w:rPr>
        <w:t xml:space="preserve"> </w:t>
      </w:r>
      <w:r w:rsidRPr="00CB777C">
        <w:rPr>
          <w:rFonts w:ascii="Verdana" w:hAnsi="Verdana"/>
          <w:sz w:val="18"/>
          <w:szCs w:val="18"/>
        </w:rPr>
        <w:t xml:space="preserve">Dat </w:t>
      </w:r>
      <w:r w:rsidR="000D666E">
        <w:rPr>
          <w:rFonts w:ascii="Verdana" w:hAnsi="Verdana"/>
          <w:sz w:val="18"/>
          <w:szCs w:val="18"/>
        </w:rPr>
        <w:t>het aannamepercentage van</w:t>
      </w:r>
      <w:r w:rsidR="00DB4AF9">
        <w:rPr>
          <w:rFonts w:ascii="Verdana" w:hAnsi="Verdana"/>
          <w:sz w:val="18"/>
          <w:szCs w:val="18"/>
        </w:rPr>
        <w:t xml:space="preserve"> </w:t>
      </w:r>
      <w:r>
        <w:rPr>
          <w:rFonts w:ascii="Verdana" w:hAnsi="Verdana"/>
          <w:sz w:val="18"/>
          <w:szCs w:val="18"/>
        </w:rPr>
        <w:t>de Belasting</w:t>
      </w:r>
      <w:r w:rsidR="008151A4">
        <w:rPr>
          <w:rFonts w:ascii="Verdana" w:hAnsi="Verdana"/>
          <w:sz w:val="18"/>
          <w:szCs w:val="18"/>
        </w:rPr>
        <w:t>T</w:t>
      </w:r>
      <w:r w:rsidR="00DB4AF9">
        <w:rPr>
          <w:rFonts w:ascii="Verdana" w:hAnsi="Verdana"/>
          <w:sz w:val="18"/>
          <w:szCs w:val="18"/>
        </w:rPr>
        <w:t xml:space="preserve">elefoon </w:t>
      </w:r>
      <w:r w:rsidRPr="00CB777C">
        <w:rPr>
          <w:rFonts w:ascii="Verdana" w:hAnsi="Verdana"/>
          <w:sz w:val="18"/>
          <w:szCs w:val="18"/>
        </w:rPr>
        <w:t xml:space="preserve">tijdens zo’n drukke periode </w:t>
      </w:r>
      <w:r w:rsidR="00EE10BA">
        <w:rPr>
          <w:rFonts w:ascii="Verdana" w:hAnsi="Verdana"/>
          <w:sz w:val="18"/>
          <w:szCs w:val="18"/>
        </w:rPr>
        <w:t>dermate hoog was laat zien</w:t>
      </w:r>
      <w:r w:rsidR="007A270F">
        <w:rPr>
          <w:rFonts w:ascii="Verdana" w:hAnsi="Verdana"/>
          <w:sz w:val="18"/>
          <w:szCs w:val="18"/>
        </w:rPr>
        <w:t xml:space="preserve"> </w:t>
      </w:r>
      <w:r w:rsidRPr="00CB777C">
        <w:rPr>
          <w:rFonts w:ascii="Verdana" w:hAnsi="Verdana"/>
          <w:sz w:val="18"/>
          <w:szCs w:val="18"/>
        </w:rPr>
        <w:t xml:space="preserve">dat </w:t>
      </w:r>
      <w:r>
        <w:rPr>
          <w:rFonts w:ascii="Verdana" w:hAnsi="Verdana"/>
          <w:sz w:val="18"/>
          <w:szCs w:val="18"/>
        </w:rPr>
        <w:t xml:space="preserve">de </w:t>
      </w:r>
      <w:r w:rsidR="00DB4AF9">
        <w:rPr>
          <w:rFonts w:ascii="Verdana" w:hAnsi="Verdana"/>
          <w:sz w:val="18"/>
          <w:szCs w:val="18"/>
        </w:rPr>
        <w:t>BelastingTelefoon</w:t>
      </w:r>
      <w:r w:rsidRPr="00CB777C">
        <w:rPr>
          <w:rFonts w:ascii="Verdana" w:hAnsi="Verdana"/>
          <w:sz w:val="18"/>
          <w:szCs w:val="18"/>
        </w:rPr>
        <w:t xml:space="preserve"> goed </w:t>
      </w:r>
      <w:r w:rsidRPr="00CB777C" w:rsidR="005D57FE">
        <w:rPr>
          <w:rFonts w:ascii="Verdana" w:hAnsi="Verdana"/>
          <w:sz w:val="18"/>
          <w:szCs w:val="18"/>
        </w:rPr>
        <w:t>he</w:t>
      </w:r>
      <w:r w:rsidR="005D57FE">
        <w:rPr>
          <w:rFonts w:ascii="Verdana" w:hAnsi="Verdana"/>
          <w:sz w:val="18"/>
          <w:szCs w:val="18"/>
        </w:rPr>
        <w:t>eft</w:t>
      </w:r>
      <w:r w:rsidRPr="00CB777C" w:rsidR="005D57FE">
        <w:rPr>
          <w:rFonts w:ascii="Verdana" w:hAnsi="Verdana"/>
          <w:sz w:val="18"/>
          <w:szCs w:val="18"/>
        </w:rPr>
        <w:t xml:space="preserve"> </w:t>
      </w:r>
      <w:r w:rsidRPr="00CB777C">
        <w:rPr>
          <w:rFonts w:ascii="Verdana" w:hAnsi="Verdana"/>
          <w:sz w:val="18"/>
          <w:szCs w:val="18"/>
        </w:rPr>
        <w:t>gefunctioneerd.</w:t>
      </w:r>
      <w:r>
        <w:rPr>
          <w:rFonts w:ascii="Verdana" w:hAnsi="Verdana"/>
          <w:sz w:val="18"/>
          <w:szCs w:val="18"/>
        </w:rPr>
        <w:t xml:space="preserve"> De vragen </w:t>
      </w:r>
      <w:r w:rsidR="00FD7C50">
        <w:rPr>
          <w:rFonts w:ascii="Verdana" w:hAnsi="Verdana"/>
          <w:sz w:val="18"/>
          <w:szCs w:val="18"/>
        </w:rPr>
        <w:t>gingen</w:t>
      </w:r>
      <w:r w:rsidR="00DB4AF9">
        <w:rPr>
          <w:rFonts w:ascii="Verdana" w:hAnsi="Verdana"/>
          <w:sz w:val="18"/>
          <w:szCs w:val="18"/>
        </w:rPr>
        <w:t xml:space="preserve"> </w:t>
      </w:r>
      <w:r>
        <w:rPr>
          <w:rFonts w:ascii="Verdana" w:hAnsi="Verdana"/>
          <w:sz w:val="18"/>
          <w:szCs w:val="18"/>
        </w:rPr>
        <w:t xml:space="preserve">onder andere </w:t>
      </w:r>
      <w:r w:rsidR="00FD7C50">
        <w:rPr>
          <w:rFonts w:ascii="Verdana" w:hAnsi="Verdana"/>
          <w:sz w:val="18"/>
          <w:szCs w:val="18"/>
        </w:rPr>
        <w:t>over</w:t>
      </w:r>
      <w:r>
        <w:rPr>
          <w:rFonts w:ascii="Verdana" w:hAnsi="Verdana"/>
          <w:sz w:val="18"/>
          <w:szCs w:val="18"/>
        </w:rPr>
        <w:t xml:space="preserve"> </w:t>
      </w:r>
      <w:r w:rsidRPr="00854CE4">
        <w:rPr>
          <w:rFonts w:ascii="Verdana" w:hAnsi="Verdana"/>
          <w:sz w:val="18"/>
          <w:szCs w:val="18"/>
        </w:rPr>
        <w:t xml:space="preserve">hulpverzoeken van burgers bij het invullen van de aangifte inkomstenbelasting, verzoeken voor het inplannen van een afspraak aan de balie en vragen van burgers die reeds aangifte </w:t>
      </w:r>
      <w:r w:rsidRPr="00854CE4">
        <w:rPr>
          <w:rFonts w:ascii="Verdana" w:hAnsi="Verdana"/>
          <w:sz w:val="18"/>
          <w:szCs w:val="18"/>
        </w:rPr>
        <w:lastRenderedPageBreak/>
        <w:t xml:space="preserve">hadden gedaan en opheldering wensten over een te betalen bedrag of een eventuele teruggave. Bijna 51.500 burgers hebben een afspraak gemaakt voor hulp bij het invullen van hun aangifte. Dat komt neer op circa 6.800 meer afspraken dan vorig jaar. </w:t>
      </w:r>
      <w:r>
        <w:rPr>
          <w:rFonts w:ascii="Verdana" w:hAnsi="Verdana"/>
          <w:sz w:val="18"/>
          <w:szCs w:val="18"/>
        </w:rPr>
        <w:t>Ook</w:t>
      </w:r>
      <w:r w:rsidRPr="00854CE4">
        <w:rPr>
          <w:rFonts w:ascii="Verdana" w:hAnsi="Verdana"/>
          <w:sz w:val="18"/>
          <w:szCs w:val="18"/>
        </w:rPr>
        <w:t xml:space="preserve"> gedurende het jaar </w:t>
      </w:r>
      <w:r>
        <w:rPr>
          <w:rFonts w:ascii="Verdana" w:hAnsi="Verdana"/>
          <w:sz w:val="18"/>
          <w:szCs w:val="18"/>
        </w:rPr>
        <w:t xml:space="preserve">blijft de Belastingdienst </w:t>
      </w:r>
      <w:r w:rsidR="0049059E">
        <w:rPr>
          <w:rFonts w:ascii="Verdana" w:hAnsi="Verdana"/>
          <w:sz w:val="18"/>
          <w:szCs w:val="18"/>
        </w:rPr>
        <w:t xml:space="preserve">hulp aanbieden </w:t>
      </w:r>
      <w:r w:rsidRPr="00854CE4">
        <w:rPr>
          <w:rFonts w:ascii="Verdana" w:hAnsi="Verdana"/>
          <w:sz w:val="18"/>
          <w:szCs w:val="18"/>
        </w:rPr>
        <w:t>bij het indienen van aangifte</w:t>
      </w:r>
      <w:r w:rsidR="0049059E">
        <w:rPr>
          <w:rFonts w:ascii="Verdana" w:hAnsi="Verdana"/>
          <w:sz w:val="18"/>
          <w:szCs w:val="18"/>
        </w:rPr>
        <w:t>n</w:t>
      </w:r>
      <w:r w:rsidRPr="00854CE4">
        <w:rPr>
          <w:rFonts w:ascii="Verdana" w:hAnsi="Verdana"/>
          <w:sz w:val="18"/>
          <w:szCs w:val="18"/>
        </w:rPr>
        <w:t>.</w:t>
      </w:r>
      <w:r>
        <w:rPr>
          <w:rFonts w:ascii="Verdana" w:hAnsi="Verdana"/>
          <w:sz w:val="18"/>
          <w:szCs w:val="18"/>
        </w:rPr>
        <w:t xml:space="preserve"> </w:t>
      </w:r>
    </w:p>
    <w:p w:rsidRPr="00276931" w:rsidR="008A485A" w:rsidP="008A485A" w:rsidRDefault="005064B8" w14:paraId="249785AE" w14:textId="20D8DE9A">
      <w:pPr>
        <w:rPr>
          <w:rFonts w:ascii="Verdana" w:hAnsi="Verdana" w:eastAsia="Verdana" w:cs="Verdana"/>
          <w:b/>
          <w:bCs/>
          <w:sz w:val="18"/>
          <w:szCs w:val="18"/>
        </w:rPr>
      </w:pPr>
      <w:bookmarkStart w:name="_Hlk212539373" w:id="5"/>
      <w:r>
        <w:rPr>
          <w:rFonts w:ascii="Verdana" w:hAnsi="Verdana" w:eastAsia="Verdana" w:cs="Verdana"/>
          <w:b/>
          <w:bCs/>
          <w:sz w:val="18"/>
          <w:szCs w:val="18"/>
        </w:rPr>
        <w:t>2</w:t>
      </w:r>
      <w:r w:rsidRPr="00276931" w:rsidR="008A485A">
        <w:rPr>
          <w:rFonts w:ascii="Verdana" w:hAnsi="Verdana" w:eastAsia="Verdana" w:cs="Verdana"/>
          <w:b/>
          <w:bCs/>
          <w:sz w:val="18"/>
          <w:szCs w:val="18"/>
        </w:rPr>
        <w:t xml:space="preserve">. A-status website Belastingdienst </w:t>
      </w:r>
    </w:p>
    <w:p w:rsidRPr="00276931" w:rsidR="00DB4AF9" w:rsidP="008A485A" w:rsidRDefault="008A485A" w14:paraId="43FB59D1" w14:textId="640366C1">
      <w:pPr>
        <w:rPr>
          <w:rFonts w:ascii="Verdana" w:hAnsi="Verdana" w:eastAsia="Verdana" w:cs="Verdana"/>
          <w:sz w:val="18"/>
          <w:szCs w:val="18"/>
        </w:rPr>
      </w:pPr>
      <w:r w:rsidRPr="00276931">
        <w:rPr>
          <w:rFonts w:ascii="Verdana" w:hAnsi="Verdana" w:eastAsia="Verdana" w:cs="Verdana"/>
          <w:sz w:val="18"/>
          <w:szCs w:val="18"/>
        </w:rPr>
        <w:t>Overheidsorganisaties zijn wettelijk verplicht om hun digitale producten – zoals websites, apps en portalen – toegankelijk te maken voor iedereen. Dat betekent dat deze producten waarneembaar, bedienbaar, begrijpelijk en robuust moeten zijn.</w:t>
      </w:r>
      <w:r w:rsidR="006F5D27">
        <w:rPr>
          <w:rFonts w:ascii="Verdana" w:hAnsi="Verdana" w:eastAsia="Verdana" w:cs="Verdana"/>
          <w:sz w:val="18"/>
          <w:szCs w:val="18"/>
        </w:rPr>
        <w:t xml:space="preserve"> Overheidsorganisaties zijn verplicht om </w:t>
      </w:r>
      <w:r w:rsidRPr="006F5D27" w:rsidR="006F5D27">
        <w:rPr>
          <w:rFonts w:ascii="Verdana" w:hAnsi="Verdana" w:eastAsia="Verdana" w:cs="Verdana"/>
          <w:sz w:val="18"/>
          <w:szCs w:val="18"/>
        </w:rPr>
        <w:t xml:space="preserve">aan de hand van </w:t>
      </w:r>
      <w:r w:rsidRPr="0007045D" w:rsidR="006F5D27">
        <w:rPr>
          <w:rFonts w:ascii="Verdana" w:hAnsi="Verdana" w:eastAsia="Verdana" w:cs="Verdana"/>
          <w:sz w:val="18"/>
          <w:szCs w:val="18"/>
        </w:rPr>
        <w:t>een</w:t>
      </w:r>
      <w:r w:rsidRPr="006F5D27" w:rsidR="006F5D27">
        <w:rPr>
          <w:rFonts w:ascii="Verdana" w:hAnsi="Verdana" w:eastAsia="Verdana" w:cs="Verdana"/>
          <w:b/>
          <w:bCs/>
          <w:sz w:val="18"/>
          <w:szCs w:val="18"/>
        </w:rPr>
        <w:t xml:space="preserve"> </w:t>
      </w:r>
      <w:r w:rsidRPr="0007045D" w:rsidR="006F5D27">
        <w:rPr>
          <w:rFonts w:ascii="Verdana" w:hAnsi="Verdana" w:eastAsia="Verdana" w:cs="Verdana"/>
          <w:sz w:val="18"/>
          <w:szCs w:val="18"/>
        </w:rPr>
        <w:t>toegankelijkheidsverklaring</w:t>
      </w:r>
      <w:r w:rsidR="006F5D27">
        <w:rPr>
          <w:rFonts w:ascii="Verdana" w:hAnsi="Verdana" w:eastAsia="Verdana" w:cs="Verdana"/>
          <w:sz w:val="18"/>
          <w:szCs w:val="18"/>
        </w:rPr>
        <w:t xml:space="preserve"> de digitoegankelijkheid van hun websites te laten controleren</w:t>
      </w:r>
      <w:r w:rsidRPr="006F5D27" w:rsidR="006F5D27">
        <w:rPr>
          <w:rFonts w:ascii="Verdana" w:hAnsi="Verdana" w:eastAsia="Verdana" w:cs="Verdana"/>
          <w:sz w:val="18"/>
          <w:szCs w:val="18"/>
        </w:rPr>
        <w:t>.</w:t>
      </w:r>
      <w:r w:rsidRPr="00276931">
        <w:rPr>
          <w:rFonts w:ascii="Verdana" w:hAnsi="Verdana" w:eastAsia="Verdana" w:cs="Verdana"/>
          <w:sz w:val="18"/>
          <w:szCs w:val="18"/>
        </w:rPr>
        <w:t xml:space="preserve"> </w:t>
      </w:r>
      <w:r w:rsidR="00A2304F">
        <w:rPr>
          <w:rFonts w:ascii="Verdana" w:hAnsi="Verdana" w:eastAsia="Verdana" w:cs="Verdana"/>
          <w:sz w:val="18"/>
          <w:szCs w:val="18"/>
        </w:rPr>
        <w:t xml:space="preserve">De </w:t>
      </w:r>
      <w:r w:rsidR="006F5D27">
        <w:rPr>
          <w:rFonts w:ascii="Verdana" w:hAnsi="Verdana" w:eastAsia="Verdana" w:cs="Verdana"/>
          <w:sz w:val="18"/>
          <w:szCs w:val="18"/>
        </w:rPr>
        <w:t>nalevings</w:t>
      </w:r>
      <w:r w:rsidR="00A2304F">
        <w:rPr>
          <w:rFonts w:ascii="Verdana" w:hAnsi="Verdana" w:eastAsia="Verdana" w:cs="Verdana"/>
          <w:sz w:val="18"/>
          <w:szCs w:val="18"/>
        </w:rPr>
        <w:t xml:space="preserve">status </w:t>
      </w:r>
      <w:r w:rsidR="006F5D27">
        <w:rPr>
          <w:rFonts w:ascii="Verdana" w:hAnsi="Verdana" w:eastAsia="Verdana" w:cs="Verdana"/>
          <w:sz w:val="18"/>
          <w:szCs w:val="18"/>
        </w:rPr>
        <w:t xml:space="preserve">die hieruit volgt </w:t>
      </w:r>
      <w:r w:rsidR="00A2304F">
        <w:rPr>
          <w:rFonts w:ascii="Verdana" w:hAnsi="Verdana" w:eastAsia="Verdana" w:cs="Verdana"/>
          <w:sz w:val="18"/>
          <w:szCs w:val="18"/>
        </w:rPr>
        <w:t>kan variëren</w:t>
      </w:r>
      <w:r w:rsidR="00263C08">
        <w:rPr>
          <w:rFonts w:ascii="Verdana" w:hAnsi="Verdana" w:eastAsia="Verdana" w:cs="Verdana"/>
          <w:sz w:val="18"/>
          <w:szCs w:val="18"/>
        </w:rPr>
        <w:t xml:space="preserve"> van een A (volledig voldoen) tot een E</w:t>
      </w:r>
      <w:r w:rsidR="00463E84">
        <w:rPr>
          <w:rFonts w:ascii="Verdana" w:hAnsi="Verdana" w:eastAsia="Verdana" w:cs="Verdana"/>
          <w:sz w:val="18"/>
          <w:szCs w:val="18"/>
        </w:rPr>
        <w:t xml:space="preserve"> (ontoegankelijk </w:t>
      </w:r>
      <w:r w:rsidR="00DA25FE">
        <w:rPr>
          <w:rFonts w:ascii="Verdana" w:hAnsi="Verdana" w:eastAsia="Verdana" w:cs="Verdana"/>
          <w:sz w:val="18"/>
          <w:szCs w:val="18"/>
        </w:rPr>
        <w:t>zonder</w:t>
      </w:r>
      <w:r w:rsidR="00463E84">
        <w:rPr>
          <w:rFonts w:ascii="Verdana" w:hAnsi="Verdana" w:eastAsia="Verdana" w:cs="Verdana"/>
          <w:sz w:val="18"/>
          <w:szCs w:val="18"/>
        </w:rPr>
        <w:t xml:space="preserve"> verklaring)</w:t>
      </w:r>
      <w:r w:rsidR="00263C08">
        <w:rPr>
          <w:rFonts w:ascii="Verdana" w:hAnsi="Verdana" w:eastAsia="Verdana" w:cs="Verdana"/>
          <w:sz w:val="18"/>
          <w:szCs w:val="18"/>
        </w:rPr>
        <w:t xml:space="preserve">. </w:t>
      </w:r>
      <w:r w:rsidRPr="00276931">
        <w:rPr>
          <w:rFonts w:ascii="Verdana" w:hAnsi="Verdana" w:eastAsia="Verdana" w:cs="Verdana"/>
          <w:sz w:val="18"/>
          <w:szCs w:val="18"/>
        </w:rPr>
        <w:t>Met trots deel ik uw Kamer mee dat de website van de Belastingdienst (www.belastingdienst.nl) voldoet aan al</w:t>
      </w:r>
      <w:r w:rsidR="00A2304F">
        <w:rPr>
          <w:rFonts w:ascii="Verdana" w:hAnsi="Verdana" w:eastAsia="Verdana" w:cs="Verdana"/>
          <w:sz w:val="18"/>
          <w:szCs w:val="18"/>
        </w:rPr>
        <w:t xml:space="preserve">le </w:t>
      </w:r>
      <w:r w:rsidRPr="00276931">
        <w:rPr>
          <w:rFonts w:ascii="Verdana" w:hAnsi="Verdana" w:eastAsia="Verdana" w:cs="Verdana"/>
          <w:sz w:val="18"/>
          <w:szCs w:val="18"/>
        </w:rPr>
        <w:t xml:space="preserve">eisen. De website heeft daarmee medio augustus 2025 </w:t>
      </w:r>
      <w:r w:rsidR="009769C5">
        <w:rPr>
          <w:rFonts w:ascii="Verdana" w:hAnsi="Verdana" w:eastAsia="Verdana" w:cs="Verdana"/>
          <w:sz w:val="18"/>
          <w:szCs w:val="18"/>
        </w:rPr>
        <w:t>voor het tweede jaar op rij</w:t>
      </w:r>
      <w:r w:rsidRPr="00276931" w:rsidR="009769C5">
        <w:rPr>
          <w:rFonts w:ascii="Verdana" w:hAnsi="Verdana" w:eastAsia="Verdana" w:cs="Verdana"/>
          <w:sz w:val="18"/>
          <w:szCs w:val="18"/>
        </w:rPr>
        <w:t xml:space="preserve"> </w:t>
      </w:r>
      <w:r w:rsidRPr="00276931">
        <w:rPr>
          <w:rFonts w:ascii="Verdana" w:hAnsi="Verdana" w:eastAsia="Verdana" w:cs="Verdana"/>
          <w:sz w:val="18"/>
          <w:szCs w:val="18"/>
        </w:rPr>
        <w:t xml:space="preserve">de hoogst mogelijke status behaald op het gebied van digitale toegankelijkheid: de A-status. Van de 8.849 geregistreerde overheidswebsites en -apps heeft 8 procent de A-status. </w:t>
      </w:r>
    </w:p>
    <w:p w:rsidRPr="00276931" w:rsidR="008A485A" w:rsidP="008A485A" w:rsidRDefault="00A2304F" w14:paraId="118975E8" w14:textId="05D83C48">
      <w:pPr>
        <w:rPr>
          <w:rFonts w:ascii="Verdana" w:hAnsi="Verdana" w:eastAsia="Verdana" w:cs="Verdana"/>
          <w:sz w:val="18"/>
          <w:szCs w:val="18"/>
        </w:rPr>
      </w:pPr>
      <w:r w:rsidRPr="00276931">
        <w:rPr>
          <w:rFonts w:ascii="Verdana" w:hAnsi="Verdana" w:eastAsia="Verdana" w:cs="Verdana"/>
          <w:sz w:val="18"/>
          <w:szCs w:val="18"/>
        </w:rPr>
        <w:t xml:space="preserve">Tijdens </w:t>
      </w:r>
      <w:r w:rsidR="00DB4AF9">
        <w:rPr>
          <w:rFonts w:ascii="Verdana" w:hAnsi="Verdana" w:eastAsia="Verdana" w:cs="Verdana"/>
          <w:sz w:val="18"/>
          <w:szCs w:val="18"/>
        </w:rPr>
        <w:t>het</w:t>
      </w:r>
      <w:r w:rsidRPr="00276931">
        <w:rPr>
          <w:rFonts w:ascii="Verdana" w:hAnsi="Verdana" w:eastAsia="Verdana" w:cs="Verdana"/>
          <w:sz w:val="18"/>
          <w:szCs w:val="18"/>
        </w:rPr>
        <w:t xml:space="preserve"> </w:t>
      </w:r>
      <w:r w:rsidR="009769C5">
        <w:rPr>
          <w:rFonts w:ascii="Verdana" w:hAnsi="Verdana" w:eastAsia="Verdana" w:cs="Verdana"/>
          <w:sz w:val="18"/>
          <w:szCs w:val="18"/>
        </w:rPr>
        <w:t xml:space="preserve">jaarlijkse </w:t>
      </w:r>
      <w:r w:rsidR="00DB4AF9">
        <w:rPr>
          <w:rFonts w:ascii="Verdana" w:hAnsi="Verdana" w:eastAsia="Verdana" w:cs="Verdana"/>
          <w:sz w:val="18"/>
          <w:szCs w:val="18"/>
        </w:rPr>
        <w:t>onderzoek</w:t>
      </w:r>
      <w:r w:rsidRPr="00276931">
        <w:rPr>
          <w:rFonts w:ascii="Verdana" w:hAnsi="Verdana" w:eastAsia="Verdana" w:cs="Verdana"/>
          <w:sz w:val="18"/>
          <w:szCs w:val="18"/>
        </w:rPr>
        <w:t xml:space="preserve"> is vastgesteld dat de onderzochte pagina’s voldoen aan alle 50 criteria van de wettelijk vastgestelde norm.</w:t>
      </w:r>
      <w:r w:rsidR="00386FEE">
        <w:rPr>
          <w:rFonts w:ascii="Verdana" w:hAnsi="Verdana" w:eastAsia="Verdana" w:cs="Verdana"/>
          <w:sz w:val="18"/>
          <w:szCs w:val="18"/>
        </w:rPr>
        <w:t xml:space="preserve"> </w:t>
      </w:r>
      <w:r w:rsidRPr="00276931" w:rsidR="008A485A">
        <w:rPr>
          <w:rFonts w:ascii="Verdana" w:hAnsi="Verdana" w:eastAsia="Verdana" w:cs="Verdana"/>
          <w:sz w:val="18"/>
          <w:szCs w:val="18"/>
        </w:rPr>
        <w:t>Dit is een bevestiging van de structurele inzet op digitale toegankelijkheid.</w:t>
      </w:r>
      <w:r>
        <w:rPr>
          <w:rFonts w:ascii="Verdana" w:hAnsi="Verdana" w:eastAsia="Verdana" w:cs="Verdana"/>
          <w:sz w:val="18"/>
          <w:szCs w:val="18"/>
        </w:rPr>
        <w:t xml:space="preserve"> </w:t>
      </w:r>
      <w:r w:rsidRPr="00276931">
        <w:rPr>
          <w:rFonts w:ascii="Verdana" w:hAnsi="Verdana" w:eastAsia="Verdana" w:cs="Verdana"/>
          <w:sz w:val="18"/>
          <w:szCs w:val="18"/>
        </w:rPr>
        <w:t>De Belastingdienst blijft zich inzetten voor het verbeteren en monitoren van digitale toegankelijkheid. Er wordt continu gewerkt aan het toegankelijker maken van andere websites, apps en portalen.</w:t>
      </w:r>
      <w:r w:rsidRPr="00A2304F">
        <w:rPr>
          <w:rFonts w:ascii="Verdana" w:hAnsi="Verdana" w:eastAsia="Verdana" w:cs="Verdana"/>
          <w:sz w:val="18"/>
          <w:szCs w:val="18"/>
        </w:rPr>
        <w:t xml:space="preserve"> </w:t>
      </w:r>
      <w:r w:rsidRPr="00276931" w:rsidR="008A485A">
        <w:rPr>
          <w:rFonts w:ascii="Verdana" w:hAnsi="Verdana" w:eastAsia="Verdana" w:cs="Verdana"/>
          <w:sz w:val="18"/>
          <w:szCs w:val="18"/>
        </w:rPr>
        <w:t xml:space="preserve">Naast Belastingdienst.nl heeft ook de mobiele applicatie </w:t>
      </w:r>
      <w:r w:rsidR="00D036CF">
        <w:rPr>
          <w:rFonts w:ascii="Verdana" w:hAnsi="Verdana" w:eastAsia="Verdana" w:cs="Verdana"/>
          <w:sz w:val="18"/>
          <w:szCs w:val="18"/>
        </w:rPr>
        <w:t>‘</w:t>
      </w:r>
      <w:r w:rsidRPr="00276931" w:rsidR="008A485A">
        <w:rPr>
          <w:rFonts w:ascii="Verdana" w:hAnsi="Verdana" w:eastAsia="Verdana" w:cs="Verdana"/>
          <w:sz w:val="18"/>
          <w:szCs w:val="18"/>
        </w:rPr>
        <w:t>Aangifte inkomstenbelasting</w:t>
      </w:r>
      <w:r w:rsidR="00D036CF">
        <w:rPr>
          <w:rFonts w:ascii="Verdana" w:hAnsi="Verdana" w:eastAsia="Verdana" w:cs="Verdana"/>
          <w:sz w:val="18"/>
          <w:szCs w:val="18"/>
        </w:rPr>
        <w:t>’</w:t>
      </w:r>
      <w:r w:rsidRPr="00276931" w:rsidR="008A485A">
        <w:rPr>
          <w:rFonts w:ascii="Verdana" w:hAnsi="Verdana" w:eastAsia="Verdana" w:cs="Verdana"/>
          <w:sz w:val="18"/>
          <w:szCs w:val="18"/>
        </w:rPr>
        <w:t xml:space="preserve"> de A-status gekregen. Deze app is gedurende de afgelopen aangiftecampagne door ruim een half miljoen mensen gebruikt. </w:t>
      </w:r>
    </w:p>
    <w:bookmarkEnd w:id="5"/>
    <w:p w:rsidRPr="00196764" w:rsidR="00196764" w:rsidP="00196764" w:rsidRDefault="005064B8" w14:paraId="4308DFE6" w14:textId="3ABF095D">
      <w:pPr>
        <w:rPr>
          <w:rFonts w:ascii="Verdana" w:hAnsi="Verdana"/>
          <w:b/>
          <w:bCs/>
          <w:sz w:val="18"/>
          <w:szCs w:val="18"/>
        </w:rPr>
      </w:pPr>
      <w:r>
        <w:rPr>
          <w:rFonts w:ascii="Verdana" w:hAnsi="Verdana" w:eastAsia="Verdana" w:cs="Verdana"/>
          <w:b/>
          <w:sz w:val="18"/>
          <w:szCs w:val="18"/>
        </w:rPr>
        <w:t>3</w:t>
      </w:r>
      <w:r w:rsidRPr="00472362" w:rsidR="00196764">
        <w:rPr>
          <w:rFonts w:ascii="Verdana" w:hAnsi="Verdana" w:eastAsia="Verdana" w:cs="Verdana"/>
          <w:b/>
          <w:sz w:val="18"/>
          <w:szCs w:val="18"/>
        </w:rPr>
        <w:t xml:space="preserve">. </w:t>
      </w:r>
      <w:r w:rsidRPr="00196764" w:rsidR="00196764">
        <w:rPr>
          <w:rFonts w:ascii="Verdana" w:hAnsi="Verdana"/>
          <w:b/>
          <w:bCs/>
          <w:sz w:val="18"/>
          <w:szCs w:val="18"/>
        </w:rPr>
        <w:t xml:space="preserve">Denktank </w:t>
      </w:r>
      <w:r w:rsidR="00993800">
        <w:rPr>
          <w:rFonts w:ascii="Verdana" w:hAnsi="Verdana"/>
          <w:b/>
          <w:bCs/>
          <w:sz w:val="18"/>
          <w:szCs w:val="18"/>
        </w:rPr>
        <w:t>J</w:t>
      </w:r>
      <w:r w:rsidRPr="00196764" w:rsidR="00196764">
        <w:rPr>
          <w:rFonts w:ascii="Verdana" w:hAnsi="Verdana"/>
          <w:b/>
          <w:bCs/>
          <w:sz w:val="18"/>
          <w:szCs w:val="18"/>
        </w:rPr>
        <w:t>ongeren</w:t>
      </w:r>
    </w:p>
    <w:p w:rsidR="00196764" w:rsidP="007A5414" w:rsidRDefault="00252216" w14:paraId="65ECE36F" w14:textId="1852F0AA">
      <w:pPr>
        <w:rPr>
          <w:rFonts w:ascii="Verdana" w:hAnsi="Verdana"/>
          <w:sz w:val="18"/>
          <w:szCs w:val="18"/>
        </w:rPr>
      </w:pPr>
      <w:r>
        <w:rPr>
          <w:rFonts w:ascii="Verdana" w:hAnsi="Verdana"/>
          <w:sz w:val="18"/>
          <w:szCs w:val="18"/>
        </w:rPr>
        <w:t xml:space="preserve">Verbinding zoeken met de samenleving betekent ook </w:t>
      </w:r>
      <w:r w:rsidR="005E5795">
        <w:rPr>
          <w:rFonts w:ascii="Verdana" w:hAnsi="Verdana"/>
          <w:sz w:val="18"/>
          <w:szCs w:val="18"/>
        </w:rPr>
        <w:t>aansluiten bij de belevingswereld van belangrijke doelgroepen</w:t>
      </w:r>
      <w:r>
        <w:rPr>
          <w:rFonts w:ascii="Verdana" w:hAnsi="Verdana"/>
          <w:sz w:val="18"/>
          <w:szCs w:val="18"/>
        </w:rPr>
        <w:t xml:space="preserve">. </w:t>
      </w:r>
      <w:r w:rsidRPr="00196764" w:rsidR="00196764">
        <w:rPr>
          <w:rFonts w:ascii="Verdana" w:hAnsi="Verdana"/>
          <w:sz w:val="18"/>
          <w:szCs w:val="18"/>
        </w:rPr>
        <w:t>Sinds een jaar hebben</w:t>
      </w:r>
      <w:r w:rsidR="005E5795">
        <w:rPr>
          <w:rFonts w:ascii="Verdana" w:hAnsi="Verdana"/>
          <w:sz w:val="18"/>
          <w:szCs w:val="18"/>
        </w:rPr>
        <w:t xml:space="preserve"> </w:t>
      </w:r>
      <w:r w:rsidRPr="00196764" w:rsidR="00196764">
        <w:rPr>
          <w:rFonts w:ascii="Verdana" w:hAnsi="Verdana"/>
          <w:sz w:val="18"/>
          <w:szCs w:val="18"/>
        </w:rPr>
        <w:t xml:space="preserve">de Belastingdienst en </w:t>
      </w:r>
      <w:r w:rsidR="008718AB">
        <w:rPr>
          <w:rFonts w:ascii="Verdana" w:hAnsi="Verdana"/>
          <w:sz w:val="18"/>
          <w:szCs w:val="18"/>
        </w:rPr>
        <w:t>de</w:t>
      </w:r>
      <w:r w:rsidRPr="00196764" w:rsidR="00196764">
        <w:rPr>
          <w:rFonts w:ascii="Verdana" w:hAnsi="Verdana"/>
          <w:sz w:val="18"/>
          <w:szCs w:val="18"/>
        </w:rPr>
        <w:t xml:space="preserve"> Diens</w:t>
      </w:r>
      <w:r w:rsidR="00196764">
        <w:rPr>
          <w:rFonts w:ascii="Verdana" w:hAnsi="Verdana"/>
          <w:sz w:val="18"/>
          <w:szCs w:val="18"/>
        </w:rPr>
        <w:t>t</w:t>
      </w:r>
      <w:r w:rsidRPr="00196764" w:rsidR="00196764">
        <w:rPr>
          <w:rFonts w:ascii="Verdana" w:hAnsi="Verdana"/>
          <w:sz w:val="18"/>
          <w:szCs w:val="18"/>
        </w:rPr>
        <w:t xml:space="preserve"> Toeslagen </w:t>
      </w:r>
      <w:r w:rsidR="00EF3BD3">
        <w:rPr>
          <w:rFonts w:ascii="Verdana" w:hAnsi="Verdana"/>
          <w:sz w:val="18"/>
          <w:szCs w:val="18"/>
        </w:rPr>
        <w:t xml:space="preserve">daarom </w:t>
      </w:r>
      <w:r w:rsidRPr="00196764" w:rsidR="00196764">
        <w:rPr>
          <w:rFonts w:ascii="Verdana" w:hAnsi="Verdana"/>
          <w:sz w:val="18"/>
          <w:szCs w:val="18"/>
        </w:rPr>
        <w:t xml:space="preserve">gezamenlijk een Denktank Jongeren. Deze denktank brengt jongeren van 18 tot 27 jaar uit heel Nederland samen </w:t>
      </w:r>
      <w:r w:rsidRPr="00276931" w:rsidR="00D036CF">
        <w:rPr>
          <w:rFonts w:ascii="Verdana" w:hAnsi="Verdana" w:eastAsia="Verdana" w:cs="Verdana"/>
          <w:sz w:val="18"/>
          <w:szCs w:val="18"/>
        </w:rPr>
        <w:t>–</w:t>
      </w:r>
      <w:r w:rsidR="00993800">
        <w:rPr>
          <w:rFonts w:ascii="Verdana" w:hAnsi="Verdana"/>
          <w:sz w:val="18"/>
          <w:szCs w:val="18"/>
        </w:rPr>
        <w:t xml:space="preserve"> </w:t>
      </w:r>
      <w:r w:rsidRPr="00196764" w:rsidR="00196764">
        <w:rPr>
          <w:rFonts w:ascii="Verdana" w:hAnsi="Verdana"/>
          <w:sz w:val="18"/>
          <w:szCs w:val="18"/>
        </w:rPr>
        <w:t xml:space="preserve">van studenten tot ondernemers </w:t>
      </w:r>
      <w:r w:rsidR="006F5D27">
        <w:rPr>
          <w:rFonts w:ascii="Verdana" w:hAnsi="Verdana"/>
          <w:sz w:val="18"/>
          <w:szCs w:val="18"/>
        </w:rPr>
        <w:t>-</w:t>
      </w:r>
      <w:r w:rsidRPr="00196764" w:rsidR="00196764">
        <w:rPr>
          <w:rFonts w:ascii="Verdana" w:hAnsi="Verdana"/>
          <w:sz w:val="18"/>
          <w:szCs w:val="18"/>
        </w:rPr>
        <w:t xml:space="preserve"> die vol energie en ideeën z</w:t>
      </w:r>
      <w:r w:rsidR="00EF3BD3">
        <w:rPr>
          <w:rFonts w:ascii="Verdana" w:hAnsi="Verdana"/>
          <w:sz w:val="18"/>
          <w:szCs w:val="18"/>
        </w:rPr>
        <w:t>itten</w:t>
      </w:r>
      <w:r w:rsidRPr="00196764" w:rsidR="00196764">
        <w:rPr>
          <w:rFonts w:ascii="Verdana" w:hAnsi="Verdana"/>
          <w:sz w:val="18"/>
          <w:szCs w:val="18"/>
        </w:rPr>
        <w:t xml:space="preserve">. Samen denken zij na over de toekomst van de Belastingdienst en de Dienst Toeslagen en zoeken ze naar concrete verbeteringen. Tijdens de sessies staan persoonlijke ervaringen centraal, maar wordt ook nagedacht over wat er wordt verwacht van de Belastingdienst. </w:t>
      </w:r>
      <w:r w:rsidR="00B52B19">
        <w:rPr>
          <w:rFonts w:ascii="Verdana" w:hAnsi="Verdana"/>
          <w:sz w:val="18"/>
          <w:szCs w:val="18"/>
        </w:rPr>
        <w:t>Verwachtingen die jongeren noemen zijn bijvoorbeeld</w:t>
      </w:r>
      <w:r w:rsidRPr="00196764" w:rsidR="00B52B19">
        <w:rPr>
          <w:rFonts w:ascii="Verdana" w:hAnsi="Verdana"/>
          <w:sz w:val="18"/>
          <w:szCs w:val="18"/>
        </w:rPr>
        <w:t xml:space="preserve"> </w:t>
      </w:r>
      <w:r w:rsidRPr="00196764" w:rsidR="00196764">
        <w:rPr>
          <w:rFonts w:ascii="Verdana" w:hAnsi="Verdana"/>
          <w:sz w:val="18"/>
          <w:szCs w:val="18"/>
        </w:rPr>
        <w:t xml:space="preserve">het belang van duidelijke uitleg, ruimte om te leren en communicatie die ondersteunt in plaats van afrekent. De inzichten uit de </w:t>
      </w:r>
      <w:r w:rsidR="00D036CF">
        <w:rPr>
          <w:rFonts w:ascii="Verdana" w:hAnsi="Verdana"/>
          <w:sz w:val="18"/>
          <w:szCs w:val="18"/>
        </w:rPr>
        <w:t>d</w:t>
      </w:r>
      <w:r w:rsidRPr="00196764" w:rsidR="00196764">
        <w:rPr>
          <w:rFonts w:ascii="Verdana" w:hAnsi="Verdana"/>
          <w:sz w:val="18"/>
          <w:szCs w:val="18"/>
        </w:rPr>
        <w:t>enktank zijn meegenomen in projecten, communicatieplannen en gesprekken binnen de organisatie. Ook het komend</w:t>
      </w:r>
      <w:r w:rsidR="00B52B19">
        <w:rPr>
          <w:rFonts w:ascii="Verdana" w:hAnsi="Verdana"/>
          <w:sz w:val="18"/>
          <w:szCs w:val="18"/>
        </w:rPr>
        <w:t>e</w:t>
      </w:r>
      <w:r w:rsidRPr="00196764" w:rsidR="00196764">
        <w:rPr>
          <w:rFonts w:ascii="Verdana" w:hAnsi="Verdana"/>
          <w:sz w:val="18"/>
          <w:szCs w:val="18"/>
        </w:rPr>
        <w:t xml:space="preserve"> jaar gaat de </w:t>
      </w:r>
      <w:r w:rsidR="00D036CF">
        <w:rPr>
          <w:rFonts w:ascii="Verdana" w:hAnsi="Verdana"/>
          <w:sz w:val="18"/>
          <w:szCs w:val="18"/>
        </w:rPr>
        <w:t>d</w:t>
      </w:r>
      <w:r w:rsidRPr="00196764" w:rsidR="00196764">
        <w:rPr>
          <w:rFonts w:ascii="Verdana" w:hAnsi="Verdana"/>
          <w:sz w:val="18"/>
          <w:szCs w:val="18"/>
        </w:rPr>
        <w:t xml:space="preserve">enktank door om nog meer de input van de jongeren in de dagelijkse werkzaamheden mee te nemen. </w:t>
      </w:r>
    </w:p>
    <w:p w:rsidR="00AD21A8" w:rsidP="007A5414" w:rsidRDefault="00B52B19" w14:paraId="04592BA7" w14:textId="3432B1A5">
      <w:pPr>
        <w:rPr>
          <w:rFonts w:ascii="Verdana" w:hAnsi="Verdana"/>
          <w:sz w:val="18"/>
          <w:szCs w:val="18"/>
        </w:rPr>
      </w:pPr>
      <w:r w:rsidRPr="00AD21A8">
        <w:rPr>
          <w:rFonts w:ascii="Verdana" w:hAnsi="Verdana"/>
          <w:sz w:val="18"/>
          <w:szCs w:val="18"/>
        </w:rPr>
        <w:t xml:space="preserve">De </w:t>
      </w:r>
      <w:r w:rsidR="00D036CF">
        <w:rPr>
          <w:rFonts w:ascii="Verdana" w:hAnsi="Verdana"/>
          <w:sz w:val="18"/>
          <w:szCs w:val="18"/>
        </w:rPr>
        <w:t>d</w:t>
      </w:r>
      <w:r w:rsidRPr="00AD21A8">
        <w:rPr>
          <w:rFonts w:ascii="Verdana" w:hAnsi="Verdana"/>
          <w:sz w:val="18"/>
          <w:szCs w:val="18"/>
        </w:rPr>
        <w:t>enktank ontwikkelt zich tot een serieuze schakel in het structureel betrekken van jongeren.</w:t>
      </w:r>
      <w:r>
        <w:rPr>
          <w:rFonts w:ascii="Verdana" w:hAnsi="Verdana"/>
          <w:sz w:val="18"/>
          <w:szCs w:val="18"/>
        </w:rPr>
        <w:t xml:space="preserve"> </w:t>
      </w:r>
      <w:r w:rsidRPr="00917DAB" w:rsidR="00917DAB">
        <w:rPr>
          <w:rFonts w:ascii="Verdana" w:hAnsi="Verdana"/>
          <w:sz w:val="18"/>
          <w:szCs w:val="18"/>
        </w:rPr>
        <w:t>Hoewel de denktank net gestart is, worden eerste stappen richting concrete voorstellen al gezet</w:t>
      </w:r>
      <w:r w:rsidRPr="00AD21A8" w:rsidR="00AD21A8">
        <w:rPr>
          <w:rFonts w:ascii="Verdana" w:hAnsi="Verdana"/>
          <w:sz w:val="18"/>
          <w:szCs w:val="18"/>
        </w:rPr>
        <w:t xml:space="preserve">. </w:t>
      </w:r>
    </w:p>
    <w:p w:rsidRPr="00276931" w:rsidR="008E0957" w:rsidP="008E0957" w:rsidRDefault="00700551" w14:paraId="3A8422DD" w14:textId="3B72EAA1">
      <w:pPr>
        <w:rPr>
          <w:rFonts w:ascii="Verdana" w:hAnsi="Verdana"/>
          <w:b/>
          <w:color w:val="000000"/>
          <w:sz w:val="18"/>
          <w:szCs w:val="18"/>
        </w:rPr>
      </w:pPr>
      <w:bookmarkStart w:name="_Hlk209090771" w:id="6"/>
      <w:r>
        <w:rPr>
          <w:rFonts w:ascii="Verdana" w:hAnsi="Verdana"/>
          <w:b/>
          <w:sz w:val="18"/>
          <w:szCs w:val="18"/>
        </w:rPr>
        <w:t>4</w:t>
      </w:r>
      <w:r w:rsidRPr="00276931" w:rsidR="008E0957">
        <w:rPr>
          <w:rFonts w:ascii="Verdana" w:hAnsi="Verdana"/>
          <w:b/>
          <w:sz w:val="18"/>
          <w:szCs w:val="18"/>
        </w:rPr>
        <w:t xml:space="preserve">. </w:t>
      </w:r>
      <w:r w:rsidRPr="00276931" w:rsidR="008E0957">
        <w:rPr>
          <w:rFonts w:ascii="Verdana" w:hAnsi="Verdana"/>
          <w:b/>
          <w:color w:val="000000"/>
          <w:sz w:val="18"/>
          <w:szCs w:val="18"/>
        </w:rPr>
        <w:t>Inzage Fiscaal Dossier</w:t>
      </w:r>
    </w:p>
    <w:bookmarkEnd w:id="6"/>
    <w:p w:rsidRPr="00755FF4" w:rsidR="008E0957" w:rsidP="008E0957" w:rsidRDefault="008E0957" w14:paraId="7A3A5604" w14:textId="038CB082">
      <w:pPr>
        <w:ind w:left="-5"/>
        <w:rPr>
          <w:rFonts w:ascii="Verdana" w:hAnsi="Verdana"/>
          <w:sz w:val="18"/>
          <w:szCs w:val="18"/>
        </w:rPr>
      </w:pPr>
      <w:r w:rsidRPr="003C2822">
        <w:rPr>
          <w:rFonts w:ascii="Verdana" w:hAnsi="Verdana"/>
          <w:sz w:val="18"/>
          <w:szCs w:val="18"/>
        </w:rPr>
        <w:t xml:space="preserve">In het Belastingplan 2026 is een wetswijziging voorgesteld die belastingplichtigen </w:t>
      </w:r>
      <w:r>
        <w:rPr>
          <w:rFonts w:ascii="Verdana" w:hAnsi="Verdana"/>
          <w:sz w:val="18"/>
          <w:szCs w:val="18"/>
        </w:rPr>
        <w:t xml:space="preserve">(burgers, bedrijven en intermediairs) </w:t>
      </w:r>
      <w:r w:rsidRPr="003C2822">
        <w:rPr>
          <w:rFonts w:ascii="Verdana" w:hAnsi="Verdana"/>
          <w:sz w:val="18"/>
          <w:szCs w:val="18"/>
        </w:rPr>
        <w:t>uiterlijk in 2032 via een portaal inzage geeft in hun fiscal</w:t>
      </w:r>
      <w:r w:rsidR="008718AB">
        <w:rPr>
          <w:rFonts w:ascii="Verdana" w:hAnsi="Verdana"/>
          <w:sz w:val="18"/>
          <w:szCs w:val="18"/>
        </w:rPr>
        <w:t>e</w:t>
      </w:r>
      <w:r w:rsidRPr="003C2822">
        <w:rPr>
          <w:rFonts w:ascii="Verdana" w:hAnsi="Verdana"/>
          <w:sz w:val="18"/>
          <w:szCs w:val="18"/>
        </w:rPr>
        <w:t xml:space="preserve"> dossier, zonder tussenkomst van een medewerker. Dit vergroot de transparantie en zorgt voor een </w:t>
      </w:r>
      <w:r w:rsidR="00365881">
        <w:rPr>
          <w:rFonts w:ascii="Verdana" w:hAnsi="Verdana"/>
          <w:sz w:val="18"/>
          <w:szCs w:val="18"/>
        </w:rPr>
        <w:t>betere</w:t>
      </w:r>
      <w:r w:rsidRPr="003C2822" w:rsidR="00365881">
        <w:rPr>
          <w:rFonts w:ascii="Verdana" w:hAnsi="Verdana"/>
          <w:sz w:val="18"/>
          <w:szCs w:val="18"/>
        </w:rPr>
        <w:t xml:space="preserve"> </w:t>
      </w:r>
      <w:r w:rsidRPr="003C2822">
        <w:rPr>
          <w:rFonts w:ascii="Verdana" w:hAnsi="Verdana"/>
          <w:sz w:val="18"/>
          <w:szCs w:val="18"/>
        </w:rPr>
        <w:t>informatiepositie</w:t>
      </w:r>
      <w:r w:rsidR="007233DF">
        <w:rPr>
          <w:rFonts w:ascii="Verdana" w:hAnsi="Verdana"/>
          <w:sz w:val="18"/>
          <w:szCs w:val="18"/>
        </w:rPr>
        <w:t xml:space="preserve"> van belastingplichtigen</w:t>
      </w:r>
      <w:r w:rsidR="00542FEC">
        <w:rPr>
          <w:rFonts w:ascii="Verdana" w:hAnsi="Verdana"/>
          <w:sz w:val="18"/>
          <w:szCs w:val="18"/>
        </w:rPr>
        <w:t xml:space="preserve"> en inhoudingsplichtigen</w:t>
      </w:r>
      <w:r w:rsidRPr="003C2822">
        <w:rPr>
          <w:rFonts w:ascii="Verdana" w:hAnsi="Verdana"/>
          <w:sz w:val="18"/>
          <w:szCs w:val="18"/>
        </w:rPr>
        <w:t xml:space="preserve">. </w:t>
      </w:r>
      <w:r w:rsidRPr="00755FF4">
        <w:rPr>
          <w:rFonts w:ascii="Verdana" w:hAnsi="Verdana"/>
          <w:sz w:val="18"/>
          <w:szCs w:val="18"/>
        </w:rPr>
        <w:t>Uw Kamer is eerder geïnformeerd over de aanpak en geleidelijke invoering van het inzagerecht in het eigen (fiscal</w:t>
      </w:r>
      <w:r w:rsidR="008718AB">
        <w:rPr>
          <w:rFonts w:ascii="Verdana" w:hAnsi="Verdana"/>
          <w:sz w:val="18"/>
          <w:szCs w:val="18"/>
        </w:rPr>
        <w:t>e</w:t>
      </w:r>
      <w:r w:rsidRPr="00755FF4">
        <w:rPr>
          <w:rFonts w:ascii="Verdana" w:hAnsi="Verdana"/>
          <w:sz w:val="18"/>
          <w:szCs w:val="18"/>
        </w:rPr>
        <w:t>) dossier</w:t>
      </w:r>
      <w:r>
        <w:rPr>
          <w:rFonts w:ascii="Verdana" w:hAnsi="Verdana"/>
          <w:sz w:val="18"/>
          <w:szCs w:val="18"/>
        </w:rPr>
        <w:t xml:space="preserve">. </w:t>
      </w:r>
      <w:r w:rsidR="00C07FAE">
        <w:rPr>
          <w:rFonts w:ascii="Verdana" w:hAnsi="Verdana"/>
          <w:sz w:val="18"/>
          <w:szCs w:val="18"/>
        </w:rPr>
        <w:t>Het inzagerecht is geregeld door het amendement van het lid Omtzigt c.s. dat b</w:t>
      </w:r>
      <w:r w:rsidRPr="00C07FAE" w:rsidR="00C07FAE">
        <w:rPr>
          <w:rFonts w:ascii="Verdana" w:hAnsi="Verdana"/>
          <w:sz w:val="18"/>
          <w:szCs w:val="18"/>
        </w:rPr>
        <w:t>ij de behandeling van het Belastingplan 2024 werd aangenomen</w:t>
      </w:r>
      <w:r w:rsidR="00C07FAE">
        <w:rPr>
          <w:rStyle w:val="Voetnootmarkering"/>
          <w:rFonts w:ascii="Verdana" w:hAnsi="Verdana"/>
          <w:sz w:val="18"/>
          <w:szCs w:val="18"/>
        </w:rPr>
        <w:footnoteReference w:id="5"/>
      </w:r>
      <w:r w:rsidR="00C07FAE">
        <w:rPr>
          <w:rFonts w:ascii="Verdana" w:hAnsi="Verdana"/>
          <w:sz w:val="18"/>
          <w:szCs w:val="18"/>
        </w:rPr>
        <w:t xml:space="preserve">. </w:t>
      </w:r>
      <w:r>
        <w:rPr>
          <w:rFonts w:ascii="Verdana" w:hAnsi="Verdana"/>
          <w:sz w:val="18"/>
          <w:szCs w:val="18"/>
        </w:rPr>
        <w:t xml:space="preserve">Daarnaast </w:t>
      </w:r>
      <w:r w:rsidRPr="00755FF4">
        <w:rPr>
          <w:rFonts w:ascii="Verdana" w:hAnsi="Verdana"/>
          <w:sz w:val="18"/>
          <w:szCs w:val="18"/>
        </w:rPr>
        <w:t>is toegezegd terug te komen op de groeiplannen en routekaarten</w:t>
      </w:r>
      <w:r w:rsidRPr="00755FF4">
        <w:rPr>
          <w:rFonts w:ascii="Verdana" w:hAnsi="Verdana"/>
          <w:sz w:val="18"/>
          <w:szCs w:val="18"/>
          <w:vertAlign w:val="superscript"/>
        </w:rPr>
        <w:footnoteReference w:id="6"/>
      </w:r>
      <w:r w:rsidRPr="00755FF4">
        <w:rPr>
          <w:rFonts w:ascii="Verdana" w:hAnsi="Verdana"/>
          <w:sz w:val="18"/>
          <w:szCs w:val="18"/>
        </w:rPr>
        <w:t xml:space="preserve">. </w:t>
      </w:r>
    </w:p>
    <w:p w:rsidR="008E0957" w:rsidP="008E0957" w:rsidRDefault="008E0957" w14:paraId="2B02E093" w14:textId="6798BD2B">
      <w:pPr>
        <w:ind w:left="-5"/>
        <w:rPr>
          <w:rFonts w:ascii="Verdana" w:hAnsi="Verdana"/>
          <w:sz w:val="18"/>
          <w:szCs w:val="18"/>
        </w:rPr>
      </w:pPr>
      <w:r w:rsidRPr="003C2822">
        <w:rPr>
          <w:rFonts w:ascii="Verdana" w:hAnsi="Verdana"/>
          <w:sz w:val="18"/>
          <w:szCs w:val="18"/>
        </w:rPr>
        <w:t xml:space="preserve">Implementatie vindt stapsgewijs plaats en vanaf 2026 worden als eerste beschikkingen over inkomstenbelasting (niet-winst) gefaseerd beschikbaar gesteld. </w:t>
      </w:r>
      <w:r w:rsidR="00542FEC">
        <w:rPr>
          <w:rFonts w:ascii="Verdana" w:hAnsi="Verdana"/>
          <w:sz w:val="18"/>
          <w:szCs w:val="18"/>
        </w:rPr>
        <w:t>B</w:t>
      </w:r>
      <w:r w:rsidRPr="003C2822">
        <w:rPr>
          <w:rFonts w:ascii="Verdana" w:hAnsi="Verdana"/>
          <w:sz w:val="18"/>
          <w:szCs w:val="18"/>
        </w:rPr>
        <w:t xml:space="preserve">elastingplichtigen kunnen dan </w:t>
      </w:r>
      <w:r w:rsidR="004117D9">
        <w:rPr>
          <w:rFonts w:ascii="Verdana" w:hAnsi="Verdana"/>
          <w:sz w:val="18"/>
          <w:szCs w:val="18"/>
        </w:rPr>
        <w:t xml:space="preserve">op termijn </w:t>
      </w:r>
      <w:r w:rsidRPr="004117D9" w:rsidR="004117D9">
        <w:rPr>
          <w:rFonts w:ascii="Verdana" w:hAnsi="Verdana"/>
          <w:sz w:val="18"/>
          <w:szCs w:val="18"/>
        </w:rPr>
        <w:t>bij de bekendmaking van een belastingaanslag of een voor bezwaar vatbare beschikking inzage in de op de daarop betrekking hebbende stukken word</w:t>
      </w:r>
      <w:r w:rsidR="004117D9">
        <w:rPr>
          <w:rFonts w:ascii="Verdana" w:hAnsi="Verdana"/>
          <w:sz w:val="18"/>
          <w:szCs w:val="18"/>
        </w:rPr>
        <w:t>en</w:t>
      </w:r>
      <w:r w:rsidRPr="004117D9" w:rsidR="004117D9">
        <w:rPr>
          <w:rFonts w:ascii="Verdana" w:hAnsi="Verdana"/>
          <w:sz w:val="18"/>
          <w:szCs w:val="18"/>
        </w:rPr>
        <w:t xml:space="preserve"> verleend</w:t>
      </w:r>
      <w:r w:rsidR="004117D9">
        <w:rPr>
          <w:rFonts w:ascii="Verdana" w:hAnsi="Verdana"/>
          <w:sz w:val="18"/>
          <w:szCs w:val="18"/>
        </w:rPr>
        <w:t>.</w:t>
      </w:r>
      <w:r w:rsidR="00A7765C">
        <w:rPr>
          <w:rFonts w:ascii="Verdana" w:hAnsi="Verdana"/>
          <w:sz w:val="18"/>
          <w:szCs w:val="18"/>
        </w:rPr>
        <w:t xml:space="preserve"> </w:t>
      </w:r>
      <w:r w:rsidR="004117D9">
        <w:rPr>
          <w:rFonts w:ascii="Verdana" w:hAnsi="Verdana"/>
          <w:sz w:val="18"/>
          <w:szCs w:val="18"/>
        </w:rPr>
        <w:t>M</w:t>
      </w:r>
      <w:r w:rsidRPr="003C2822">
        <w:rPr>
          <w:rFonts w:ascii="Verdana" w:hAnsi="Verdana"/>
          <w:sz w:val="18"/>
          <w:szCs w:val="18"/>
        </w:rPr>
        <w:t xml:space="preserve">its deze zijn </w:t>
      </w:r>
      <w:r w:rsidRPr="003C2822">
        <w:rPr>
          <w:rFonts w:ascii="Verdana" w:hAnsi="Verdana"/>
          <w:sz w:val="18"/>
          <w:szCs w:val="18"/>
        </w:rPr>
        <w:lastRenderedPageBreak/>
        <w:t xml:space="preserve">beoordeeld en bewerkt om </w:t>
      </w:r>
      <w:r>
        <w:rPr>
          <w:rFonts w:ascii="Verdana" w:hAnsi="Verdana"/>
          <w:sz w:val="18"/>
          <w:szCs w:val="18"/>
        </w:rPr>
        <w:t>gewichtige redenen</w:t>
      </w:r>
      <w:r w:rsidR="006F5D27">
        <w:rPr>
          <w:rFonts w:ascii="Verdana" w:hAnsi="Verdana"/>
          <w:sz w:val="18"/>
          <w:szCs w:val="18"/>
        </w:rPr>
        <w:t xml:space="preserve"> zoals privacy</w:t>
      </w:r>
      <w:r w:rsidRPr="003C2822">
        <w:rPr>
          <w:rFonts w:ascii="Verdana" w:hAnsi="Verdana"/>
          <w:sz w:val="18"/>
          <w:szCs w:val="18"/>
        </w:rPr>
        <w:t>.</w:t>
      </w:r>
      <w:r w:rsidRPr="00F22FC2" w:rsidR="00F22FC2">
        <w:rPr>
          <w:rFonts w:ascii="Verdana" w:hAnsi="Verdana"/>
          <w:sz w:val="18"/>
          <w:szCs w:val="18"/>
        </w:rPr>
        <w:t xml:space="preserve"> </w:t>
      </w:r>
      <w:r w:rsidR="00F22FC2">
        <w:rPr>
          <w:rFonts w:ascii="Verdana" w:hAnsi="Verdana"/>
          <w:sz w:val="18"/>
          <w:szCs w:val="18"/>
        </w:rPr>
        <w:t xml:space="preserve">Een voorbeeld van dit soort stukken is </w:t>
      </w:r>
      <w:r w:rsidRPr="00A7765C" w:rsidR="00F22FC2">
        <w:rPr>
          <w:rFonts w:ascii="Verdana" w:hAnsi="Verdana"/>
          <w:sz w:val="18"/>
          <w:szCs w:val="18"/>
        </w:rPr>
        <w:t>behandelverslagen.</w:t>
      </w:r>
      <w:r w:rsidRPr="004117D9" w:rsidDel="004117D9" w:rsidR="00F22FC2">
        <w:rPr>
          <w:rFonts w:ascii="Verdana" w:hAnsi="Verdana"/>
          <w:sz w:val="18"/>
          <w:szCs w:val="18"/>
        </w:rPr>
        <w:t xml:space="preserve"> </w:t>
      </w:r>
      <w:r w:rsidRPr="00755FF4">
        <w:rPr>
          <w:rFonts w:ascii="Verdana" w:hAnsi="Verdana"/>
          <w:sz w:val="18"/>
          <w:szCs w:val="18"/>
        </w:rPr>
        <w:t xml:space="preserve">Hierbij kan gedacht worden aan </w:t>
      </w:r>
      <w:r w:rsidR="007233DF">
        <w:rPr>
          <w:rFonts w:ascii="Verdana" w:hAnsi="Verdana"/>
          <w:sz w:val="18"/>
          <w:szCs w:val="18"/>
        </w:rPr>
        <w:t>het anonimiseren van</w:t>
      </w:r>
      <w:r w:rsidRPr="00755FF4">
        <w:rPr>
          <w:rFonts w:ascii="Verdana" w:hAnsi="Verdana"/>
          <w:sz w:val="18"/>
          <w:szCs w:val="18"/>
        </w:rPr>
        <w:t xml:space="preserve"> gegevens van medewerkers van de Belastingdienst</w:t>
      </w:r>
      <w:r w:rsidR="007233DF">
        <w:rPr>
          <w:rFonts w:ascii="Verdana" w:hAnsi="Verdana"/>
          <w:sz w:val="18"/>
          <w:szCs w:val="18"/>
        </w:rPr>
        <w:t xml:space="preserve"> of</w:t>
      </w:r>
      <w:r w:rsidRPr="00755FF4">
        <w:rPr>
          <w:rFonts w:ascii="Verdana" w:hAnsi="Verdana"/>
          <w:sz w:val="18"/>
          <w:szCs w:val="18"/>
        </w:rPr>
        <w:t xml:space="preserve"> van andere burgers</w:t>
      </w:r>
      <w:r>
        <w:rPr>
          <w:rFonts w:ascii="Verdana" w:hAnsi="Verdana"/>
          <w:sz w:val="18"/>
          <w:szCs w:val="18"/>
        </w:rPr>
        <w:t>,</w:t>
      </w:r>
      <w:r w:rsidRPr="00755FF4">
        <w:rPr>
          <w:rFonts w:ascii="Verdana" w:hAnsi="Verdana"/>
          <w:sz w:val="18"/>
          <w:szCs w:val="18"/>
        </w:rPr>
        <w:t xml:space="preserve"> of </w:t>
      </w:r>
      <w:r>
        <w:rPr>
          <w:rFonts w:ascii="Verdana" w:hAnsi="Verdana"/>
          <w:sz w:val="18"/>
          <w:szCs w:val="18"/>
        </w:rPr>
        <w:t xml:space="preserve">aan het voorkomen </w:t>
      </w:r>
      <w:r w:rsidR="003411EE">
        <w:rPr>
          <w:rFonts w:ascii="Verdana" w:hAnsi="Verdana"/>
          <w:sz w:val="18"/>
          <w:szCs w:val="18"/>
        </w:rPr>
        <w:t>dat inzichten worden verkregen</w:t>
      </w:r>
      <w:r w:rsidRPr="00755FF4">
        <w:rPr>
          <w:rFonts w:ascii="Verdana" w:hAnsi="Verdana"/>
          <w:sz w:val="18"/>
          <w:szCs w:val="18"/>
        </w:rPr>
        <w:t xml:space="preserve"> in de toezicht- en handhavingsstrategie van de Belastingdienst.</w:t>
      </w:r>
    </w:p>
    <w:p w:rsidR="008E0957" w:rsidP="008E0957" w:rsidRDefault="008E0957" w14:paraId="286E2A77" w14:textId="114EF56D">
      <w:pPr>
        <w:ind w:left="-5"/>
        <w:rPr>
          <w:rFonts w:ascii="Verdana" w:hAnsi="Verdana"/>
          <w:sz w:val="18"/>
          <w:szCs w:val="18"/>
        </w:rPr>
      </w:pPr>
      <w:r w:rsidRPr="003C2822">
        <w:rPr>
          <w:rFonts w:ascii="Verdana" w:hAnsi="Verdana"/>
          <w:sz w:val="18"/>
          <w:szCs w:val="18"/>
        </w:rPr>
        <w:t xml:space="preserve">De realisatie van dit programma is omvangrijk </w:t>
      </w:r>
      <w:r>
        <w:rPr>
          <w:rFonts w:ascii="Verdana" w:hAnsi="Verdana"/>
          <w:sz w:val="18"/>
          <w:szCs w:val="18"/>
        </w:rPr>
        <w:t xml:space="preserve">en </w:t>
      </w:r>
      <w:r w:rsidRPr="00755FF4">
        <w:rPr>
          <w:rFonts w:ascii="Verdana" w:hAnsi="Verdana"/>
          <w:sz w:val="18"/>
          <w:szCs w:val="18"/>
        </w:rPr>
        <w:t>is een grote opgave voor de Belastingdienst</w:t>
      </w:r>
      <w:r>
        <w:rPr>
          <w:rFonts w:ascii="Verdana" w:hAnsi="Verdana"/>
          <w:sz w:val="18"/>
          <w:szCs w:val="18"/>
        </w:rPr>
        <w:t xml:space="preserve">. Deze realisatie </w:t>
      </w:r>
      <w:r w:rsidRPr="003C2822">
        <w:rPr>
          <w:rFonts w:ascii="Verdana" w:hAnsi="Verdana"/>
          <w:sz w:val="18"/>
          <w:szCs w:val="18"/>
        </w:rPr>
        <w:t xml:space="preserve">raakt alle onderdelen van de Belastingdienst. </w:t>
      </w:r>
      <w:r w:rsidRPr="00755FF4">
        <w:rPr>
          <w:rFonts w:ascii="Verdana" w:hAnsi="Verdana"/>
          <w:sz w:val="18"/>
          <w:szCs w:val="18"/>
        </w:rPr>
        <w:t>Daarom zal bij de start van ieder</w:t>
      </w:r>
      <w:r>
        <w:rPr>
          <w:rFonts w:ascii="Verdana" w:hAnsi="Verdana"/>
          <w:sz w:val="18"/>
          <w:szCs w:val="18"/>
        </w:rPr>
        <w:t>e fase</w:t>
      </w:r>
      <w:r w:rsidRPr="00755FF4">
        <w:rPr>
          <w:rFonts w:ascii="Verdana" w:hAnsi="Verdana"/>
          <w:sz w:val="18"/>
          <w:szCs w:val="18"/>
        </w:rPr>
        <w:t xml:space="preserve"> de routekaart opnieuw beoordeeld worden. Na afronding van </w:t>
      </w:r>
      <w:r>
        <w:rPr>
          <w:rFonts w:ascii="Verdana" w:hAnsi="Verdana"/>
          <w:sz w:val="18"/>
          <w:szCs w:val="18"/>
        </w:rPr>
        <w:t>de analysefase van de eerste fase,</w:t>
      </w:r>
      <w:r w:rsidRPr="00755FF4">
        <w:rPr>
          <w:rFonts w:ascii="Verdana" w:hAnsi="Verdana"/>
          <w:sz w:val="18"/>
          <w:szCs w:val="18"/>
        </w:rPr>
        <w:t xml:space="preserve"> </w:t>
      </w:r>
      <w:r w:rsidRPr="003C2822">
        <w:rPr>
          <w:rFonts w:ascii="Verdana" w:hAnsi="Verdana"/>
          <w:sz w:val="18"/>
          <w:szCs w:val="18"/>
        </w:rPr>
        <w:t>inkomstenbelasting (niet-winst)</w:t>
      </w:r>
      <w:r>
        <w:rPr>
          <w:rFonts w:ascii="Verdana" w:hAnsi="Verdana"/>
          <w:sz w:val="18"/>
          <w:szCs w:val="18"/>
        </w:rPr>
        <w:t>,</w:t>
      </w:r>
      <w:r w:rsidRPr="003C2822">
        <w:rPr>
          <w:rFonts w:ascii="Verdana" w:hAnsi="Verdana"/>
          <w:sz w:val="18"/>
          <w:szCs w:val="18"/>
        </w:rPr>
        <w:t xml:space="preserve"> </w:t>
      </w:r>
      <w:r w:rsidRPr="00755FF4">
        <w:rPr>
          <w:rFonts w:ascii="Verdana" w:hAnsi="Verdana"/>
          <w:sz w:val="18"/>
          <w:szCs w:val="18"/>
        </w:rPr>
        <w:t xml:space="preserve">wordt </w:t>
      </w:r>
      <w:r>
        <w:rPr>
          <w:rFonts w:ascii="Verdana" w:hAnsi="Verdana"/>
          <w:sz w:val="18"/>
          <w:szCs w:val="18"/>
        </w:rPr>
        <w:t xml:space="preserve">eind 2025/begin 2026 </w:t>
      </w:r>
      <w:r w:rsidRPr="00755FF4">
        <w:rPr>
          <w:rFonts w:ascii="Verdana" w:hAnsi="Verdana"/>
          <w:sz w:val="18"/>
          <w:szCs w:val="18"/>
        </w:rPr>
        <w:t xml:space="preserve">op basis van de resultaten een addendum opgeleverd bij de uitvoeringstoets. Daarin worden de (additionele) kosten voor </w:t>
      </w:r>
      <w:r w:rsidR="00655D13">
        <w:rPr>
          <w:rFonts w:ascii="Verdana" w:hAnsi="Verdana"/>
          <w:sz w:val="18"/>
          <w:szCs w:val="18"/>
        </w:rPr>
        <w:t>de</w:t>
      </w:r>
      <w:r w:rsidRPr="00755FF4" w:rsidR="00655D13">
        <w:rPr>
          <w:rFonts w:ascii="Verdana" w:hAnsi="Verdana"/>
          <w:sz w:val="18"/>
          <w:szCs w:val="18"/>
        </w:rPr>
        <w:t xml:space="preserve"> </w:t>
      </w:r>
      <w:r w:rsidRPr="00755FF4">
        <w:rPr>
          <w:rFonts w:ascii="Verdana" w:hAnsi="Verdana"/>
          <w:sz w:val="18"/>
          <w:szCs w:val="18"/>
        </w:rPr>
        <w:t xml:space="preserve">eerste </w:t>
      </w:r>
      <w:r>
        <w:rPr>
          <w:rFonts w:ascii="Verdana" w:hAnsi="Verdana"/>
          <w:sz w:val="18"/>
          <w:szCs w:val="18"/>
        </w:rPr>
        <w:t xml:space="preserve">fase </w:t>
      </w:r>
      <w:r w:rsidRPr="00755FF4">
        <w:rPr>
          <w:rFonts w:ascii="Verdana" w:hAnsi="Verdana"/>
          <w:sz w:val="18"/>
          <w:szCs w:val="18"/>
        </w:rPr>
        <w:t>uitgewerkt. Vervolgens vindt steeds per inwerkingtredingsbesluit een uitvoeringstoets plaats</w:t>
      </w:r>
      <w:r>
        <w:rPr>
          <w:rFonts w:ascii="Verdana" w:hAnsi="Verdana"/>
          <w:sz w:val="18"/>
          <w:szCs w:val="18"/>
        </w:rPr>
        <w:t>,</w:t>
      </w:r>
      <w:r w:rsidRPr="00755FF4">
        <w:rPr>
          <w:rFonts w:ascii="Verdana" w:hAnsi="Verdana"/>
          <w:sz w:val="18"/>
          <w:szCs w:val="18"/>
        </w:rPr>
        <w:t xml:space="preserve"> waarin de kosten voor een volgend belastingmiddel worden ingeschat.</w:t>
      </w:r>
    </w:p>
    <w:p w:rsidR="008E0957" w:rsidP="008E0957" w:rsidRDefault="008E0957" w14:paraId="54D99709" w14:textId="24ABA367">
      <w:pPr>
        <w:ind w:left="-5"/>
        <w:rPr>
          <w:rFonts w:ascii="Verdana" w:hAnsi="Verdana"/>
          <w:sz w:val="18"/>
          <w:szCs w:val="18"/>
        </w:rPr>
      </w:pPr>
      <w:r w:rsidRPr="003C2822">
        <w:rPr>
          <w:rFonts w:ascii="Verdana" w:hAnsi="Verdana"/>
          <w:sz w:val="18"/>
          <w:szCs w:val="18"/>
        </w:rPr>
        <w:t xml:space="preserve">De kosten voor de eerste stap bedragen €24,6 miljoen, verdeeld over 2025 en 2026. </w:t>
      </w:r>
      <w:r w:rsidRPr="00755FF4">
        <w:rPr>
          <w:rFonts w:ascii="Verdana" w:hAnsi="Verdana"/>
          <w:sz w:val="18"/>
          <w:szCs w:val="18"/>
        </w:rPr>
        <w:t xml:space="preserve">Dit is gedekt binnen de begroting van het </w:t>
      </w:r>
      <w:r w:rsidR="009212C2">
        <w:rPr>
          <w:rFonts w:ascii="Verdana" w:hAnsi="Verdana"/>
          <w:sz w:val="18"/>
          <w:szCs w:val="18"/>
        </w:rPr>
        <w:t>M</w:t>
      </w:r>
      <w:r w:rsidRPr="00755FF4">
        <w:rPr>
          <w:rFonts w:ascii="Verdana" w:hAnsi="Verdana"/>
          <w:sz w:val="18"/>
          <w:szCs w:val="18"/>
        </w:rPr>
        <w:t>inisterie van Financiën.</w:t>
      </w:r>
      <w:r>
        <w:rPr>
          <w:rFonts w:ascii="Verdana" w:hAnsi="Verdana"/>
          <w:sz w:val="18"/>
          <w:szCs w:val="18"/>
        </w:rPr>
        <w:t xml:space="preserve"> </w:t>
      </w:r>
      <w:r w:rsidRPr="003761EE">
        <w:rPr>
          <w:rFonts w:ascii="Verdana" w:hAnsi="Verdana"/>
          <w:sz w:val="18"/>
          <w:szCs w:val="18"/>
        </w:rPr>
        <w:t>Voor het uitvoeren van volgende stappen in de routekaart is nog geen budget gereserveerd, hier moet nog (budgettaire) besluitvorming voor plaatsvinden</w:t>
      </w:r>
      <w:r>
        <w:rPr>
          <w:rFonts w:ascii="Verdana" w:hAnsi="Verdana"/>
          <w:sz w:val="18"/>
          <w:szCs w:val="18"/>
        </w:rPr>
        <w:t>.</w:t>
      </w:r>
    </w:p>
    <w:p w:rsidRPr="00C53F31" w:rsidR="00C53F31" w:rsidP="00C53F31" w:rsidRDefault="00C07FAE" w14:paraId="703B7787" w14:textId="4A204A7E">
      <w:pPr>
        <w:ind w:left="-5"/>
        <w:rPr>
          <w:rFonts w:ascii="Verdana" w:hAnsi="Verdana"/>
          <w:b/>
          <w:bCs/>
          <w:sz w:val="18"/>
          <w:szCs w:val="18"/>
        </w:rPr>
      </w:pPr>
      <w:r>
        <w:rPr>
          <w:rFonts w:ascii="Verdana" w:hAnsi="Verdana"/>
          <w:b/>
          <w:bCs/>
          <w:sz w:val="18"/>
          <w:szCs w:val="18"/>
        </w:rPr>
        <w:t>5</w:t>
      </w:r>
      <w:r w:rsidR="00C53F31">
        <w:rPr>
          <w:rFonts w:ascii="Verdana" w:hAnsi="Verdana"/>
          <w:b/>
          <w:bCs/>
          <w:sz w:val="18"/>
          <w:szCs w:val="18"/>
        </w:rPr>
        <w:t xml:space="preserve">. </w:t>
      </w:r>
      <w:r w:rsidRPr="00C53F31" w:rsidR="00C53F31">
        <w:rPr>
          <w:rFonts w:ascii="Verdana" w:hAnsi="Verdana"/>
          <w:b/>
          <w:bCs/>
          <w:sz w:val="18"/>
          <w:szCs w:val="18"/>
        </w:rPr>
        <w:t>Tijdelijke Tegemoetkoming Blokaansluiting</w:t>
      </w:r>
    </w:p>
    <w:p w:rsidRPr="00694BA5" w:rsidR="0085131F" w:rsidP="0085131F" w:rsidRDefault="0085131F" w14:paraId="1ABC0C85" w14:textId="4E76CD79">
      <w:pPr>
        <w:rPr>
          <w:rFonts w:ascii="Verdana" w:hAnsi="Verdana"/>
          <w:sz w:val="18"/>
          <w:szCs w:val="18"/>
        </w:rPr>
      </w:pPr>
      <w:r w:rsidRPr="00694BA5">
        <w:rPr>
          <w:rFonts w:ascii="Verdana" w:hAnsi="Verdana"/>
          <w:sz w:val="18"/>
          <w:szCs w:val="18"/>
        </w:rPr>
        <w:t>De Tijdelijke Tegemoetkoming Blokaansluiting (TTB) is een tegemoetkoming voor de hoge energieprijzen van 2023. De tegemoetkoming is bedoeld voor bewoners van gebouwen met een blokaansluiting. Met een blokaansluiting wordt bedoeld dat meerdere woningen gebruikmaken van één centrale energie-aansluiting.</w:t>
      </w:r>
      <w:r w:rsidRPr="00694BA5" w:rsidDel="00A113E4">
        <w:rPr>
          <w:rFonts w:ascii="Verdana" w:hAnsi="Verdana"/>
          <w:sz w:val="18"/>
          <w:szCs w:val="18"/>
        </w:rPr>
        <w:t xml:space="preserve"> </w:t>
      </w:r>
      <w:r w:rsidRPr="00694BA5">
        <w:rPr>
          <w:rFonts w:ascii="Verdana" w:hAnsi="Verdana"/>
          <w:sz w:val="18"/>
          <w:szCs w:val="18"/>
        </w:rPr>
        <w:t xml:space="preserve">Deze groep viel niet onder </w:t>
      </w:r>
      <w:r w:rsidR="008718AB">
        <w:rPr>
          <w:rFonts w:ascii="Verdana" w:hAnsi="Verdana"/>
          <w:sz w:val="18"/>
          <w:szCs w:val="18"/>
        </w:rPr>
        <w:t>de doelgroep van</w:t>
      </w:r>
      <w:r w:rsidRPr="00694BA5">
        <w:rPr>
          <w:rFonts w:ascii="Verdana" w:hAnsi="Verdana"/>
          <w:sz w:val="18"/>
          <w:szCs w:val="18"/>
        </w:rPr>
        <w:t xml:space="preserve"> het eerdere prijsplafond, de compensatie die bewoners zonder blokaansluiting wel ontvingen.</w:t>
      </w:r>
    </w:p>
    <w:p w:rsidRPr="00694BA5" w:rsidR="0085131F" w:rsidP="0085131F" w:rsidRDefault="0085131F" w14:paraId="3B38FC72" w14:textId="699E1008">
      <w:pPr>
        <w:rPr>
          <w:rFonts w:ascii="Verdana" w:hAnsi="Verdana"/>
          <w:sz w:val="18"/>
          <w:szCs w:val="18"/>
        </w:rPr>
      </w:pPr>
      <w:r w:rsidRPr="00694BA5">
        <w:rPr>
          <w:rFonts w:ascii="Verdana" w:hAnsi="Verdana"/>
          <w:sz w:val="18"/>
          <w:szCs w:val="18"/>
        </w:rPr>
        <w:t xml:space="preserve">De TTB </w:t>
      </w:r>
      <w:r w:rsidR="008718AB">
        <w:rPr>
          <w:rFonts w:ascii="Verdana" w:hAnsi="Verdana"/>
          <w:sz w:val="18"/>
          <w:szCs w:val="18"/>
        </w:rPr>
        <w:t>is</w:t>
      </w:r>
      <w:r w:rsidRPr="00694BA5">
        <w:rPr>
          <w:rFonts w:ascii="Verdana" w:hAnsi="Verdana"/>
          <w:sz w:val="18"/>
          <w:szCs w:val="18"/>
        </w:rPr>
        <w:t xml:space="preserve"> uitgevoerd door de Belastingdienst in opdracht van het Ministerie van Klimaat en Groene Groei. De contracthouder van de blokaansluiting, meestal de verhuurder of Vereniging van Eigenaren (VvE), kon de TTB tot en met oktober 2023 voor alle bewoners aanvragen via een portaal. Nadat de contracthouder de subsidie had ontvangen, verdeelde deze het bedrag onder de bewoners. De hoogte van het bedrag per wooneenheid hangt af van de manier waarop de energiekosten worden verrekend.</w:t>
      </w:r>
    </w:p>
    <w:p w:rsidRPr="00694BA5" w:rsidR="0085131F" w:rsidP="0085131F" w:rsidRDefault="0085131F" w14:paraId="143968C0" w14:textId="1796D34A">
      <w:pPr>
        <w:rPr>
          <w:rFonts w:ascii="Verdana" w:hAnsi="Verdana"/>
          <w:sz w:val="18"/>
          <w:szCs w:val="18"/>
        </w:rPr>
      </w:pPr>
      <w:r w:rsidRPr="00694BA5">
        <w:rPr>
          <w:rFonts w:ascii="Verdana" w:hAnsi="Verdana"/>
          <w:sz w:val="18"/>
          <w:szCs w:val="18"/>
        </w:rPr>
        <w:t>Een contracthouder kon een reguliere aanvraag of een bulkaanvraag indienen. Wanneer een contracthouder een aanvraag voor meer dan vijf blokaansluitingen wilde indienen, dan kon dat aan de hand van een bulkaanvraag. In totaal zijn er ruim 35.000 aanvragen ingediend, waarvan 14.000 reguliere aanvragen en 21.000 bulkaanvragen. Van het totale aantal aanvragen is ruim 89% toegewezen, tegenover circa 11% d</w:t>
      </w:r>
      <w:r w:rsidR="008718AB">
        <w:rPr>
          <w:rFonts w:ascii="Verdana" w:hAnsi="Verdana"/>
          <w:sz w:val="18"/>
          <w:szCs w:val="18"/>
        </w:rPr>
        <w:t>at</w:t>
      </w:r>
      <w:r w:rsidRPr="00694BA5">
        <w:rPr>
          <w:rFonts w:ascii="Verdana" w:hAnsi="Verdana"/>
          <w:sz w:val="18"/>
          <w:szCs w:val="18"/>
        </w:rPr>
        <w:t xml:space="preserve"> werd afgewezen. Deze aanvragen zijn grotendeels handmatig behandeld en afgerond in juni 2024. Er is in totaal ruim 700 miljoen euro aan subsidie verstrekt. Het gemiddelde bedrag per ingediende aanvraag was ongeveer 28.000 euro. </w:t>
      </w:r>
    </w:p>
    <w:p w:rsidRPr="00694BA5" w:rsidR="0085131F" w:rsidP="0085131F" w:rsidRDefault="0085131F" w14:paraId="79743E3A" w14:textId="708DEEB5">
      <w:pPr>
        <w:rPr>
          <w:rFonts w:ascii="Verdana" w:hAnsi="Verdana"/>
          <w:sz w:val="18"/>
          <w:szCs w:val="18"/>
        </w:rPr>
      </w:pPr>
      <w:r w:rsidRPr="00694BA5">
        <w:rPr>
          <w:rFonts w:ascii="Verdana" w:hAnsi="Verdana"/>
          <w:sz w:val="18"/>
          <w:szCs w:val="18"/>
        </w:rPr>
        <w:t xml:space="preserve">In de periode van september 2024 tot en met maart 2025 heeft de Belastingdienst proactief burgers achter een blokaansluiting per brief op de hoogte gebracht van hun recht op subsidie. De TTB is een subsidieregeling waarbij, nadat de aanvraag is behandeld en de subsidie is </w:t>
      </w:r>
      <w:r w:rsidRPr="0085131F">
        <w:rPr>
          <w:rFonts w:ascii="Verdana" w:hAnsi="Verdana"/>
          <w:sz w:val="18"/>
          <w:szCs w:val="18"/>
        </w:rPr>
        <w:t xml:space="preserve">toegekend en </w:t>
      </w:r>
      <w:r w:rsidRPr="00694BA5">
        <w:rPr>
          <w:rFonts w:ascii="Verdana" w:hAnsi="Verdana"/>
          <w:sz w:val="18"/>
          <w:szCs w:val="18"/>
        </w:rPr>
        <w:t>uitgekeerd, het subsidiebedrag ambtshalve wordt vastgesteld.</w:t>
      </w:r>
      <w:r>
        <w:rPr>
          <w:rFonts w:ascii="Verdana" w:hAnsi="Verdana"/>
          <w:sz w:val="18"/>
          <w:szCs w:val="18"/>
        </w:rPr>
        <w:t xml:space="preserve"> Vanaf dat moment zijn wijzigingen niet meer mogelijk. </w:t>
      </w:r>
      <w:r w:rsidRPr="00694BA5">
        <w:rPr>
          <w:rFonts w:ascii="Verdana" w:hAnsi="Verdana"/>
          <w:sz w:val="18"/>
          <w:szCs w:val="18"/>
        </w:rPr>
        <w:t xml:space="preserve">Door middel van een nacontrole wordt voor een statistisch gevalideerde selectie van aanvragen gecontroleerd of het subsidiebedrag terecht is gekomen bij de bewoners achter de blokaansluiting. Momenteel is de Belastingdienst bezig met de afronding van deze nacontrole en de verwachting is dat deze werkzaamheden in het voorjaar van 2026 worden afgerond. Wanneer deze werkzaamheden volledig zijn afgerond zal een eindrapportage worden opgesteld. De verwachting is dat deze eindrapportage in de zomer van 2026 met uw </w:t>
      </w:r>
      <w:r w:rsidR="00BD7987">
        <w:rPr>
          <w:rFonts w:ascii="Verdana" w:hAnsi="Verdana"/>
          <w:sz w:val="18"/>
          <w:szCs w:val="18"/>
        </w:rPr>
        <w:t>K</w:t>
      </w:r>
      <w:r w:rsidRPr="00694BA5">
        <w:rPr>
          <w:rFonts w:ascii="Verdana" w:hAnsi="Verdana"/>
          <w:sz w:val="18"/>
          <w:szCs w:val="18"/>
        </w:rPr>
        <w:t xml:space="preserve">amer </w:t>
      </w:r>
      <w:r w:rsidR="007A270F">
        <w:rPr>
          <w:rFonts w:ascii="Verdana" w:hAnsi="Verdana"/>
          <w:sz w:val="18"/>
          <w:szCs w:val="18"/>
        </w:rPr>
        <w:t>wordt</w:t>
      </w:r>
      <w:r w:rsidRPr="00694BA5">
        <w:rPr>
          <w:rFonts w:ascii="Verdana" w:hAnsi="Verdana"/>
          <w:sz w:val="18"/>
          <w:szCs w:val="18"/>
        </w:rPr>
        <w:t xml:space="preserve"> gedeeld.</w:t>
      </w:r>
    </w:p>
    <w:p w:rsidRPr="00CC2AFD" w:rsidR="00A85518" w:rsidP="00A85518" w:rsidRDefault="007F29E6" w14:paraId="1762D524" w14:textId="5ECEF558">
      <w:pPr>
        <w:rPr>
          <w:rFonts w:ascii="Verdana" w:hAnsi="Verdana"/>
          <w:b/>
          <w:bCs/>
          <w:sz w:val="18"/>
          <w:szCs w:val="18"/>
        </w:rPr>
      </w:pPr>
      <w:r>
        <w:rPr>
          <w:rFonts w:ascii="Verdana" w:hAnsi="Verdana"/>
          <w:b/>
          <w:bCs/>
          <w:sz w:val="18"/>
          <w:szCs w:val="18"/>
        </w:rPr>
        <w:t>6</w:t>
      </w:r>
      <w:r w:rsidR="00A85518">
        <w:rPr>
          <w:rFonts w:ascii="Verdana" w:hAnsi="Verdana"/>
          <w:b/>
          <w:bCs/>
          <w:sz w:val="18"/>
          <w:szCs w:val="18"/>
        </w:rPr>
        <w:t xml:space="preserve">. </w:t>
      </w:r>
      <w:r w:rsidRPr="00CC2AFD" w:rsidR="00A85518">
        <w:rPr>
          <w:rFonts w:ascii="Verdana" w:hAnsi="Verdana"/>
          <w:b/>
          <w:bCs/>
          <w:sz w:val="18"/>
          <w:szCs w:val="18"/>
        </w:rPr>
        <w:t>Recente</w:t>
      </w:r>
      <w:r w:rsidR="00A85518">
        <w:rPr>
          <w:rFonts w:ascii="Verdana" w:hAnsi="Verdana"/>
          <w:b/>
          <w:bCs/>
          <w:sz w:val="18"/>
          <w:szCs w:val="18"/>
        </w:rPr>
        <w:t xml:space="preserve"> rechterlijke</w:t>
      </w:r>
      <w:r w:rsidRPr="00CC2AFD" w:rsidR="00A85518">
        <w:rPr>
          <w:rFonts w:ascii="Verdana" w:hAnsi="Verdana"/>
          <w:b/>
          <w:bCs/>
          <w:sz w:val="18"/>
          <w:szCs w:val="18"/>
        </w:rPr>
        <w:t xml:space="preserve"> uitspraken pensioenpremie en btw</w:t>
      </w:r>
    </w:p>
    <w:p w:rsidRPr="00CC2AFD" w:rsidR="00A85518" w:rsidP="00A85518" w:rsidRDefault="00A85518" w14:paraId="4597925B" w14:textId="77777777">
      <w:pPr>
        <w:rPr>
          <w:rFonts w:ascii="Verdana" w:hAnsi="Verdana"/>
          <w:sz w:val="18"/>
          <w:szCs w:val="18"/>
        </w:rPr>
      </w:pPr>
      <w:r w:rsidRPr="00CC2AFD">
        <w:rPr>
          <w:rFonts w:ascii="Verdana" w:hAnsi="Verdana"/>
          <w:sz w:val="18"/>
          <w:szCs w:val="18"/>
        </w:rPr>
        <w:t>Op 30 september 2025 heeft het Hof Arnhem-Leeuwarden een tweetal uitspraken</w:t>
      </w:r>
      <w:r w:rsidRPr="00CC2AFD">
        <w:rPr>
          <w:rFonts w:ascii="Verdana" w:hAnsi="Verdana"/>
          <w:sz w:val="18"/>
          <w:szCs w:val="18"/>
          <w:vertAlign w:val="superscript"/>
        </w:rPr>
        <w:footnoteReference w:id="7"/>
      </w:r>
      <w:r w:rsidRPr="00CC2AFD">
        <w:rPr>
          <w:rFonts w:ascii="Verdana" w:hAnsi="Verdana"/>
          <w:sz w:val="18"/>
          <w:szCs w:val="18"/>
        </w:rPr>
        <w:t xml:space="preserve"> gedaan met betrekking tot pensioenuitvoering en btw. In deze uitspraken heeft het Hof - kort weergegeven - beslist dat de uitvoering van een pensioenregeling één dienst is die niet kwalificeert als een voor </w:t>
      </w:r>
      <w:r w:rsidRPr="00CC2AFD">
        <w:rPr>
          <w:rFonts w:ascii="Verdana" w:hAnsi="Verdana"/>
          <w:sz w:val="18"/>
          <w:szCs w:val="18"/>
        </w:rPr>
        <w:lastRenderedPageBreak/>
        <w:t>de btw vrijgestelde verzekeringsdienst. Dit heeft tot gevolg dat het pensioenfonds recht heeft op aftrek van voorbelasting, en dat de volledige pensioenpremie belast is met btw.</w:t>
      </w:r>
    </w:p>
    <w:p w:rsidRPr="00CC2AFD" w:rsidR="00A85518" w:rsidP="00A85518" w:rsidRDefault="00A85518" w14:paraId="62D68373" w14:textId="77777777">
      <w:pPr>
        <w:rPr>
          <w:rFonts w:ascii="Verdana" w:hAnsi="Verdana"/>
          <w:sz w:val="18"/>
          <w:szCs w:val="18"/>
        </w:rPr>
      </w:pPr>
      <w:r w:rsidRPr="00CC2AFD">
        <w:rPr>
          <w:rFonts w:ascii="Verdana" w:hAnsi="Verdana"/>
          <w:sz w:val="18"/>
          <w:szCs w:val="18"/>
        </w:rPr>
        <w:t>Via deze weg wil ik uw Kamer, mede namens de Minister van Sociale Zaken en Werkgelegenheid,  informeren dat ik deze uitspraken niet overneem als uitgangspunt voor de belastbaarheid van pensioenpremies. Mede omdat deze uitspraken tegengesteld zijn aan de uitspraak van Hof Amsterdam</w:t>
      </w:r>
      <w:r w:rsidRPr="00CC2AFD">
        <w:rPr>
          <w:rFonts w:ascii="Verdana" w:hAnsi="Verdana"/>
          <w:sz w:val="18"/>
          <w:szCs w:val="18"/>
          <w:vertAlign w:val="superscript"/>
        </w:rPr>
        <w:footnoteReference w:id="8"/>
      </w:r>
      <w:r w:rsidRPr="00CC2AFD">
        <w:rPr>
          <w:rFonts w:ascii="Verdana" w:hAnsi="Verdana"/>
          <w:sz w:val="18"/>
          <w:szCs w:val="18"/>
        </w:rPr>
        <w:t xml:space="preserve"> uit 2023 met betrekking tot eenzelfde situatie. Tegen deze uitspraak heeft belanghebbende beroep in cassatie ingesteld bij de Hoge Raad.</w:t>
      </w:r>
    </w:p>
    <w:p w:rsidRPr="00CC2AFD" w:rsidR="00A85518" w:rsidP="00A85518" w:rsidRDefault="00A85518" w14:paraId="5A7DBD2D" w14:textId="77777777">
      <w:pPr>
        <w:rPr>
          <w:rFonts w:ascii="Verdana" w:hAnsi="Verdana"/>
          <w:sz w:val="18"/>
          <w:szCs w:val="18"/>
        </w:rPr>
      </w:pPr>
      <w:r w:rsidRPr="00CC2AFD">
        <w:rPr>
          <w:rFonts w:ascii="Verdana" w:hAnsi="Verdana"/>
          <w:sz w:val="18"/>
          <w:szCs w:val="18"/>
        </w:rPr>
        <w:t>Zolang de Hoge Raad in die zaak geen uitspraak heeft gedaan, blijft het uitgangspunt voor de Belastingdienst dat de pensioenuitvoering als één vrijgestelde dienst moet worden aangemerkt, overeenkomstig de uitspraak van Hof Amsterdam:</w:t>
      </w:r>
    </w:p>
    <w:p w:rsidRPr="00CC2AFD" w:rsidR="00A85518" w:rsidP="00A85518" w:rsidRDefault="00A85518" w14:paraId="24CF3E7E" w14:textId="77777777">
      <w:pPr>
        <w:ind w:left="708"/>
        <w:rPr>
          <w:rFonts w:ascii="Verdana" w:hAnsi="Verdana"/>
          <w:sz w:val="18"/>
          <w:szCs w:val="18"/>
        </w:rPr>
      </w:pPr>
      <w:r w:rsidRPr="00CC2AFD">
        <w:rPr>
          <w:rFonts w:ascii="Verdana" w:hAnsi="Verdana"/>
          <w:sz w:val="18"/>
          <w:szCs w:val="18"/>
        </w:rPr>
        <w:t>“Onder die omstandigheden is het oordeel gerechtvaardigd dat belanghebbende, ook al is zij geen verzekeraar, prestaties verricht die de wezenlijke kenmerken hebben van een handeling ter zake van verzekering als bedoeld in artikel 11, lid 1, onderdeel k, Wet OB, welke bepaling is gebaseerd op artikel 135, lid 1, onderdeel a, Btw-richtlijn. Dit oordeel vindt ook steun in de wetsgeschiedenis van de Pensioenwet, waarin ervan uit wordt gegaan dat de uitvoeringsovereenkomst een verzekeringsovereenkomst is. Zo wordt in de memorie van toelichting bij die wet opgemerkt: ‘Bij pensioenen op grond van dit wetsvoorstel is altijd sprake van verzekeren’ en ‘Aangezien uitvoeringsovereenkomsten niets anders zijn [dan] verzekeringsovereenkomsten (…)’. Ook het gegeven dat artikel 5 Pensioenwet een regeling omtrent de samenloop van een uitvoerings- en verzekeringsovereenkomst geeft, onderstreept dat de wetgever van de Pensioenwet uitging van het karakter van een verzekeringsovereenkomst. In de memorie van toelichting bij de Invoeringswet titel 7.17 en titel 7.18 Burgerlijk Wetboek is er eveneens van uitgegaan dat ‘ook de uitvoering door een (beroeps)pensioenfonds gezien (moet) worden als het uitvoeren van verzekeringsovereenkomsten waardoor titel 7.17 en 7.18 [van het Burgerlijk Wetboek, genaamd ‘Verzekering’ respectievelijk ‘Lijfrente’] van toepassing zijn’.”</w:t>
      </w:r>
    </w:p>
    <w:p w:rsidRPr="00CC2AFD" w:rsidR="00A85518" w:rsidP="00A85518" w:rsidRDefault="00A85518" w14:paraId="3D9D24C4" w14:textId="77777777">
      <w:pPr>
        <w:rPr>
          <w:rFonts w:ascii="Verdana" w:hAnsi="Verdana"/>
          <w:sz w:val="18"/>
          <w:szCs w:val="18"/>
        </w:rPr>
      </w:pPr>
      <w:r w:rsidRPr="00CC2AFD">
        <w:rPr>
          <w:rFonts w:ascii="Verdana" w:hAnsi="Verdana"/>
          <w:sz w:val="18"/>
          <w:szCs w:val="18"/>
        </w:rPr>
        <w:t xml:space="preserve">Voor pensioenfondsen die het standpunt van de Belastingdienst (blijven) toepassen is er dus geen verplichting om btw over de pensioenpremie te berekenen. </w:t>
      </w:r>
    </w:p>
    <w:p w:rsidR="000B43E5" w:rsidP="007A5414" w:rsidRDefault="007F29E6" w14:paraId="1F455FD6" w14:textId="57539900">
      <w:pPr>
        <w:rPr>
          <w:rFonts w:ascii="Verdana" w:hAnsi="Verdana"/>
          <w:b/>
          <w:bCs/>
          <w:sz w:val="18"/>
          <w:szCs w:val="18"/>
          <w:lang w:eastAsia="nl-NL"/>
        </w:rPr>
      </w:pPr>
      <w:r>
        <w:rPr>
          <w:rFonts w:ascii="Verdana" w:hAnsi="Verdana" w:cs="Verdana"/>
          <w:b/>
          <w:bCs/>
          <w:sz w:val="18"/>
          <w:szCs w:val="18"/>
        </w:rPr>
        <w:t>7</w:t>
      </w:r>
      <w:r w:rsidRPr="00276931" w:rsidR="007A5414">
        <w:rPr>
          <w:rFonts w:ascii="Verdana" w:hAnsi="Verdana" w:cs="Verdana"/>
          <w:b/>
          <w:bCs/>
          <w:sz w:val="18"/>
          <w:szCs w:val="18"/>
        </w:rPr>
        <w:t xml:space="preserve">. </w:t>
      </w:r>
      <w:r w:rsidR="00E263CA">
        <w:rPr>
          <w:rFonts w:ascii="Verdana" w:hAnsi="Verdana" w:cs="Verdana"/>
          <w:b/>
          <w:bCs/>
          <w:sz w:val="18"/>
          <w:szCs w:val="18"/>
        </w:rPr>
        <w:t>H</w:t>
      </w:r>
      <w:r w:rsidRPr="00276931" w:rsidR="007A5414">
        <w:rPr>
          <w:rFonts w:ascii="Verdana" w:hAnsi="Verdana"/>
          <w:b/>
          <w:bCs/>
          <w:sz w:val="18"/>
          <w:szCs w:val="18"/>
          <w:lang w:eastAsia="nl-NL"/>
        </w:rPr>
        <w:t>erstelactie</w:t>
      </w:r>
      <w:r w:rsidR="000B43E5">
        <w:rPr>
          <w:rFonts w:ascii="Verdana" w:hAnsi="Verdana"/>
          <w:b/>
          <w:bCs/>
          <w:sz w:val="18"/>
          <w:szCs w:val="18"/>
          <w:lang w:eastAsia="nl-NL"/>
        </w:rPr>
        <w:t>s</w:t>
      </w:r>
      <w:r w:rsidRPr="00276931" w:rsidR="007A5414">
        <w:rPr>
          <w:rFonts w:ascii="Verdana" w:hAnsi="Verdana"/>
          <w:b/>
          <w:bCs/>
          <w:sz w:val="18"/>
          <w:szCs w:val="18"/>
          <w:lang w:eastAsia="nl-NL"/>
        </w:rPr>
        <w:t xml:space="preserve"> </w:t>
      </w:r>
    </w:p>
    <w:p w:rsidR="007C65D2" w:rsidP="007A5414" w:rsidRDefault="00987B0A" w14:paraId="30377844" w14:textId="12835BF0">
      <w:pPr>
        <w:rPr>
          <w:rFonts w:ascii="Verdana" w:hAnsi="Verdana"/>
          <w:sz w:val="18"/>
          <w:szCs w:val="18"/>
          <w:lang w:eastAsia="nl-NL"/>
        </w:rPr>
      </w:pPr>
      <w:r w:rsidRPr="00987B0A">
        <w:rPr>
          <w:rFonts w:ascii="Verdana" w:hAnsi="Verdana"/>
          <w:sz w:val="18"/>
          <w:szCs w:val="18"/>
          <w:lang w:eastAsia="nl-NL"/>
        </w:rPr>
        <w:t xml:space="preserve">De Belastingdienst vervult binnen de overheid de belangrijke maatschappelijke taak om eerlijk en zorgvuldig belastingen en premies te heffen en te innen. Zo draagt de Belastingdienst bij aan een financieel gezond Nederland. </w:t>
      </w:r>
      <w:r w:rsidR="001A0703">
        <w:rPr>
          <w:rFonts w:ascii="Verdana" w:hAnsi="Verdana"/>
          <w:sz w:val="18"/>
          <w:szCs w:val="18"/>
          <w:lang w:eastAsia="nl-NL"/>
        </w:rPr>
        <w:t>D</w:t>
      </w:r>
      <w:r w:rsidR="000D451C">
        <w:rPr>
          <w:rFonts w:ascii="Verdana" w:hAnsi="Verdana"/>
          <w:sz w:val="18"/>
          <w:szCs w:val="18"/>
          <w:lang w:eastAsia="nl-NL"/>
        </w:rPr>
        <w:t>e Belastingdienst</w:t>
      </w:r>
      <w:r w:rsidR="00A62C01">
        <w:rPr>
          <w:rFonts w:ascii="Verdana" w:hAnsi="Verdana"/>
          <w:sz w:val="18"/>
          <w:szCs w:val="18"/>
          <w:lang w:eastAsia="nl-NL"/>
        </w:rPr>
        <w:t xml:space="preserve"> </w:t>
      </w:r>
      <w:r w:rsidR="00BD7987">
        <w:rPr>
          <w:rFonts w:ascii="Verdana" w:hAnsi="Verdana"/>
          <w:sz w:val="18"/>
          <w:szCs w:val="18"/>
          <w:lang w:eastAsia="nl-NL"/>
        </w:rPr>
        <w:t>voert zijn werk</w:t>
      </w:r>
      <w:r w:rsidR="00A62C01">
        <w:rPr>
          <w:rFonts w:ascii="Verdana" w:hAnsi="Verdana"/>
          <w:sz w:val="18"/>
          <w:szCs w:val="18"/>
          <w:lang w:eastAsia="nl-NL"/>
        </w:rPr>
        <w:t xml:space="preserve"> zo zorgvuldig mogelijk</w:t>
      </w:r>
      <w:r w:rsidR="00BD7987">
        <w:rPr>
          <w:rFonts w:ascii="Verdana" w:hAnsi="Verdana"/>
          <w:sz w:val="18"/>
          <w:szCs w:val="18"/>
          <w:lang w:eastAsia="nl-NL"/>
        </w:rPr>
        <w:t xml:space="preserve"> uit</w:t>
      </w:r>
      <w:r w:rsidR="001A0703">
        <w:rPr>
          <w:rFonts w:ascii="Verdana" w:hAnsi="Verdana"/>
          <w:sz w:val="18"/>
          <w:szCs w:val="18"/>
          <w:lang w:eastAsia="nl-NL"/>
        </w:rPr>
        <w:t>, maar er kunnen fouten ontstaan</w:t>
      </w:r>
      <w:r>
        <w:rPr>
          <w:rFonts w:ascii="Verdana" w:hAnsi="Verdana"/>
          <w:sz w:val="18"/>
          <w:szCs w:val="18"/>
          <w:lang w:eastAsia="nl-NL"/>
        </w:rPr>
        <w:t xml:space="preserve">. </w:t>
      </w:r>
      <w:r w:rsidR="00A62C01">
        <w:rPr>
          <w:rFonts w:ascii="Verdana" w:hAnsi="Verdana"/>
          <w:sz w:val="18"/>
          <w:szCs w:val="18"/>
          <w:lang w:eastAsia="nl-NL"/>
        </w:rPr>
        <w:t>Wanneer dat gebeurt zorg</w:t>
      </w:r>
      <w:r w:rsidR="001A0703">
        <w:rPr>
          <w:rFonts w:ascii="Verdana" w:hAnsi="Verdana"/>
          <w:sz w:val="18"/>
          <w:szCs w:val="18"/>
          <w:lang w:eastAsia="nl-NL"/>
        </w:rPr>
        <w:t>t</w:t>
      </w:r>
      <w:r w:rsidR="000D451C">
        <w:rPr>
          <w:rFonts w:ascii="Verdana" w:hAnsi="Verdana"/>
          <w:sz w:val="18"/>
          <w:szCs w:val="18"/>
          <w:lang w:eastAsia="nl-NL"/>
        </w:rPr>
        <w:t xml:space="preserve"> de Belastingdienst</w:t>
      </w:r>
      <w:r w:rsidR="00A62C01">
        <w:rPr>
          <w:rFonts w:ascii="Verdana" w:hAnsi="Verdana"/>
          <w:sz w:val="18"/>
          <w:szCs w:val="18"/>
          <w:lang w:eastAsia="nl-NL"/>
        </w:rPr>
        <w:t xml:space="preserve"> ervoor dat </w:t>
      </w:r>
      <w:r w:rsidR="00BD7987">
        <w:rPr>
          <w:rFonts w:ascii="Verdana" w:hAnsi="Verdana"/>
          <w:sz w:val="18"/>
          <w:szCs w:val="18"/>
          <w:lang w:eastAsia="nl-NL"/>
        </w:rPr>
        <w:t xml:space="preserve">deze fouten </w:t>
      </w:r>
      <w:r w:rsidR="001A0703">
        <w:rPr>
          <w:rFonts w:ascii="Verdana" w:hAnsi="Verdana"/>
          <w:sz w:val="18"/>
          <w:szCs w:val="18"/>
          <w:lang w:eastAsia="nl-NL"/>
        </w:rPr>
        <w:t xml:space="preserve">zo snel mogelijk </w:t>
      </w:r>
      <w:r w:rsidR="00BD7987">
        <w:rPr>
          <w:rFonts w:ascii="Verdana" w:hAnsi="Verdana"/>
          <w:sz w:val="18"/>
          <w:szCs w:val="18"/>
          <w:lang w:eastAsia="nl-NL"/>
        </w:rPr>
        <w:t>worden geïdentificeerd en hersteld</w:t>
      </w:r>
      <w:r w:rsidRPr="007C65D2" w:rsidR="007C65D2">
        <w:rPr>
          <w:rFonts w:ascii="Verdana" w:hAnsi="Verdana"/>
          <w:sz w:val="18"/>
          <w:szCs w:val="18"/>
          <w:lang w:eastAsia="nl-NL"/>
        </w:rPr>
        <w:t xml:space="preserve">. </w:t>
      </w:r>
      <w:r>
        <w:rPr>
          <w:rFonts w:ascii="Verdana" w:hAnsi="Verdana"/>
          <w:sz w:val="18"/>
          <w:szCs w:val="18"/>
          <w:lang w:eastAsia="nl-NL"/>
        </w:rPr>
        <w:t xml:space="preserve">Hieronder zal ik ingaan op een aantal hersteltrajecten die momenteel lopen. </w:t>
      </w:r>
    </w:p>
    <w:p w:rsidRPr="00E263CA" w:rsidR="00E263CA" w:rsidP="00E263CA" w:rsidRDefault="00E263CA" w14:paraId="1C3AA383" w14:textId="77777777">
      <w:pPr>
        <w:spacing w:after="0"/>
        <w:rPr>
          <w:rFonts w:ascii="Verdana" w:hAnsi="Verdana"/>
          <w:i/>
          <w:iCs/>
          <w:sz w:val="18"/>
          <w:szCs w:val="18"/>
        </w:rPr>
      </w:pPr>
      <w:r w:rsidRPr="00E263CA">
        <w:rPr>
          <w:rFonts w:ascii="Verdana" w:hAnsi="Verdana" w:cs="Verdana"/>
          <w:i/>
          <w:iCs/>
          <w:sz w:val="18"/>
          <w:szCs w:val="18"/>
        </w:rPr>
        <w:t>Update herstel Minnelijke Schuldsanering Natuurlijke Personen (</w:t>
      </w:r>
      <w:r w:rsidRPr="00E263CA">
        <w:rPr>
          <w:rFonts w:ascii="Verdana" w:hAnsi="Verdana"/>
          <w:i/>
          <w:iCs/>
          <w:sz w:val="18"/>
          <w:szCs w:val="18"/>
        </w:rPr>
        <w:t>MSNP)</w:t>
      </w:r>
    </w:p>
    <w:p w:rsidRPr="00276931" w:rsidR="00E263CA" w:rsidP="00E263CA" w:rsidRDefault="00E263CA" w14:paraId="109F9848" w14:textId="546AC5A7">
      <w:pPr>
        <w:rPr>
          <w:rFonts w:ascii="Verdana" w:hAnsi="Verdana"/>
          <w:sz w:val="18"/>
          <w:szCs w:val="18"/>
        </w:rPr>
      </w:pPr>
      <w:r w:rsidRPr="00B1570B">
        <w:rPr>
          <w:rFonts w:ascii="Verdana" w:hAnsi="Verdana"/>
          <w:sz w:val="18"/>
          <w:szCs w:val="18"/>
        </w:rPr>
        <w:t>Tussen 2012 en 2021 heeft de Belastingdienst in een aantal gevallen verzoeken om mee te werken aan een MSNP onterecht afgewez</w:t>
      </w:r>
      <w:r w:rsidR="003476A4">
        <w:rPr>
          <w:rFonts w:ascii="Verdana" w:hAnsi="Verdana"/>
          <w:sz w:val="18"/>
          <w:szCs w:val="18"/>
        </w:rPr>
        <w:t xml:space="preserve">en. In zo’n regeling maakt een burger </w:t>
      </w:r>
      <w:r w:rsidRPr="003476A4" w:rsidR="003476A4">
        <w:rPr>
          <w:rFonts w:ascii="Verdana" w:hAnsi="Verdana"/>
          <w:sz w:val="18"/>
          <w:szCs w:val="18"/>
        </w:rPr>
        <w:t xml:space="preserve">vaak in samenwerking met andere schuldeisers en schuldhulpverlening een vrijwillige betalingsafspraak </w:t>
      </w:r>
      <w:r w:rsidR="003476A4">
        <w:rPr>
          <w:rFonts w:ascii="Verdana" w:hAnsi="Verdana"/>
          <w:sz w:val="18"/>
          <w:szCs w:val="18"/>
        </w:rPr>
        <w:t>met</w:t>
      </w:r>
      <w:r w:rsidRPr="003476A4" w:rsidR="003476A4">
        <w:rPr>
          <w:rFonts w:ascii="Verdana" w:hAnsi="Verdana"/>
          <w:sz w:val="18"/>
          <w:szCs w:val="18"/>
        </w:rPr>
        <w:t xml:space="preserve"> </w:t>
      </w:r>
      <w:r w:rsidR="003476A4">
        <w:rPr>
          <w:rFonts w:ascii="Verdana" w:hAnsi="Verdana"/>
          <w:sz w:val="18"/>
          <w:szCs w:val="18"/>
        </w:rPr>
        <w:t xml:space="preserve">de </w:t>
      </w:r>
      <w:r w:rsidRPr="003476A4" w:rsidR="003476A4">
        <w:rPr>
          <w:rFonts w:ascii="Verdana" w:hAnsi="Verdana"/>
          <w:sz w:val="18"/>
          <w:szCs w:val="18"/>
        </w:rPr>
        <w:t>Belastingdienst over hoe openstaande belastingschulden worden afgelost.</w:t>
      </w:r>
      <w:r w:rsidRPr="00B1570B">
        <w:rPr>
          <w:rFonts w:ascii="Verdana" w:hAnsi="Verdana"/>
          <w:sz w:val="18"/>
          <w:szCs w:val="18"/>
        </w:rPr>
        <w:t xml:space="preserve"> </w:t>
      </w:r>
      <w:r w:rsidR="003476A4">
        <w:rPr>
          <w:rFonts w:ascii="Verdana" w:hAnsi="Verdana"/>
          <w:sz w:val="18"/>
          <w:szCs w:val="18"/>
        </w:rPr>
        <w:t>Door de afwijzing kregen b</w:t>
      </w:r>
      <w:r>
        <w:rPr>
          <w:rFonts w:ascii="Verdana" w:hAnsi="Verdana"/>
          <w:sz w:val="18"/>
          <w:szCs w:val="18"/>
        </w:rPr>
        <w:t>urgers</w:t>
      </w:r>
      <w:r w:rsidRPr="00B1570B">
        <w:rPr>
          <w:rFonts w:ascii="Verdana" w:hAnsi="Verdana"/>
          <w:sz w:val="18"/>
          <w:szCs w:val="18"/>
        </w:rPr>
        <w:t xml:space="preserve"> niet de kans om een schuldenvrije start te maken. In plaats daarvan liepen schulden vaak verder op</w:t>
      </w:r>
      <w:r>
        <w:rPr>
          <w:rFonts w:ascii="Verdana" w:hAnsi="Verdana"/>
          <w:sz w:val="18"/>
          <w:szCs w:val="18"/>
        </w:rPr>
        <w:t xml:space="preserve">. Mijn ambtsvoorgangers hebben uw </w:t>
      </w:r>
      <w:r w:rsidR="008123DF">
        <w:rPr>
          <w:rFonts w:ascii="Verdana" w:hAnsi="Verdana"/>
          <w:sz w:val="18"/>
          <w:szCs w:val="18"/>
        </w:rPr>
        <w:t>K</w:t>
      </w:r>
      <w:r>
        <w:rPr>
          <w:rFonts w:ascii="Verdana" w:hAnsi="Verdana"/>
          <w:sz w:val="18"/>
          <w:szCs w:val="18"/>
        </w:rPr>
        <w:t xml:space="preserve">amer geïnformeerd over </w:t>
      </w:r>
      <w:r w:rsidRPr="00B1570B">
        <w:rPr>
          <w:rFonts w:ascii="Verdana" w:hAnsi="Verdana"/>
          <w:sz w:val="18"/>
          <w:szCs w:val="18"/>
        </w:rPr>
        <w:t xml:space="preserve">deze fout en de </w:t>
      </w:r>
      <w:r w:rsidR="008718AB">
        <w:rPr>
          <w:rFonts w:ascii="Verdana" w:hAnsi="Verdana"/>
          <w:sz w:val="18"/>
          <w:szCs w:val="18"/>
        </w:rPr>
        <w:t>gevolgen hiervan voor de betrokkenen.</w:t>
      </w:r>
      <w:r w:rsidRPr="00B1570B">
        <w:rPr>
          <w:rFonts w:ascii="Verdana" w:hAnsi="Verdana"/>
          <w:sz w:val="18"/>
          <w:szCs w:val="18"/>
        </w:rPr>
        <w:t xml:space="preserve"> Met de </w:t>
      </w:r>
      <w:r w:rsidRPr="00276931">
        <w:rPr>
          <w:rFonts w:ascii="Verdana" w:hAnsi="Verdana"/>
          <w:sz w:val="18"/>
          <w:szCs w:val="18"/>
        </w:rPr>
        <w:t xml:space="preserve">Wet onverplichte tegemoetkoming onterechte afwijzing buitengerechtelijke schuldregeling (hierna: Wet tegemoetkoming </w:t>
      </w:r>
      <w:r>
        <w:rPr>
          <w:rFonts w:ascii="Verdana" w:hAnsi="Verdana"/>
          <w:sz w:val="18"/>
          <w:szCs w:val="18"/>
        </w:rPr>
        <w:t xml:space="preserve">onterechte afwijzing </w:t>
      </w:r>
      <w:r w:rsidRPr="00276931">
        <w:rPr>
          <w:rFonts w:ascii="Verdana" w:hAnsi="Verdana"/>
          <w:sz w:val="18"/>
          <w:szCs w:val="18"/>
        </w:rPr>
        <w:t>MSNP</w:t>
      </w:r>
      <w:r>
        <w:rPr>
          <w:rFonts w:ascii="Verdana" w:hAnsi="Verdana"/>
          <w:sz w:val="18"/>
          <w:szCs w:val="18"/>
        </w:rPr>
        <w:t xml:space="preserve">), die op 22 mei 2025 door uw </w:t>
      </w:r>
      <w:r w:rsidR="000D451C">
        <w:rPr>
          <w:rFonts w:ascii="Verdana" w:hAnsi="Verdana"/>
          <w:sz w:val="18"/>
          <w:szCs w:val="18"/>
        </w:rPr>
        <w:t>K</w:t>
      </w:r>
      <w:r>
        <w:rPr>
          <w:rFonts w:ascii="Verdana" w:hAnsi="Verdana"/>
          <w:sz w:val="18"/>
          <w:szCs w:val="18"/>
        </w:rPr>
        <w:t>amer is aangenomen, is de wettelijke basis gecreëerd om de getroffen burgers herstel te bieden.</w:t>
      </w:r>
      <w:r w:rsidRPr="00B1570B">
        <w:rPr>
          <w:rFonts w:ascii="Verdana" w:hAnsi="Verdana"/>
          <w:sz w:val="18"/>
          <w:szCs w:val="18"/>
        </w:rPr>
        <w:t xml:space="preserve"> </w:t>
      </w:r>
      <w:r>
        <w:rPr>
          <w:rFonts w:ascii="Verdana" w:hAnsi="Verdana"/>
          <w:sz w:val="18"/>
          <w:szCs w:val="18"/>
        </w:rPr>
        <w:t xml:space="preserve">Aan deze burgers wordt </w:t>
      </w:r>
      <w:r w:rsidRPr="00A2090E">
        <w:rPr>
          <w:rFonts w:ascii="Verdana" w:hAnsi="Verdana"/>
          <w:sz w:val="18"/>
          <w:szCs w:val="18"/>
        </w:rPr>
        <w:t>herstel geboden door openstaande schulden kwijt te schelden of eerder betaalde bedragen terug te geven. Gedupeerden ontvangen daarnaast een forfaitaire tegemoetkoming</w:t>
      </w:r>
      <w:r w:rsidR="008718AB">
        <w:rPr>
          <w:rFonts w:ascii="Verdana" w:hAnsi="Verdana"/>
          <w:sz w:val="18"/>
          <w:szCs w:val="18"/>
        </w:rPr>
        <w:t>:</w:t>
      </w:r>
      <w:r w:rsidRPr="00A2090E">
        <w:rPr>
          <w:rFonts w:ascii="Verdana" w:hAnsi="Verdana"/>
          <w:sz w:val="18"/>
          <w:szCs w:val="18"/>
        </w:rPr>
        <w:t xml:space="preserve"> </w:t>
      </w:r>
      <w:r w:rsidRPr="00A2090E" w:rsidR="000D451C">
        <w:rPr>
          <w:rFonts w:ascii="Verdana" w:hAnsi="Verdana"/>
          <w:sz w:val="18"/>
          <w:szCs w:val="18"/>
        </w:rPr>
        <w:t xml:space="preserve">een vast bedrag van </w:t>
      </w:r>
      <w:r w:rsidRPr="00D067FC" w:rsidR="00A2090E">
        <w:rPr>
          <w:rFonts w:ascii="Verdana" w:hAnsi="Verdana"/>
          <w:sz w:val="18"/>
          <w:szCs w:val="18"/>
        </w:rPr>
        <w:t>€500 per onterechte afwijzing</w:t>
      </w:r>
      <w:r w:rsidRPr="00A2090E" w:rsidR="00A2090E">
        <w:rPr>
          <w:rFonts w:ascii="Verdana" w:hAnsi="Verdana"/>
          <w:sz w:val="18"/>
          <w:szCs w:val="18"/>
        </w:rPr>
        <w:t> (met een minimale periode van 240 dagen tussen afwijzingen</w:t>
      </w:r>
      <w:r w:rsidRPr="00A2090E" w:rsidR="000D451C">
        <w:rPr>
          <w:rFonts w:ascii="Verdana" w:hAnsi="Verdana"/>
          <w:sz w:val="18"/>
          <w:szCs w:val="18"/>
        </w:rPr>
        <w:t xml:space="preserve">) </w:t>
      </w:r>
      <w:r w:rsidRPr="00A2090E">
        <w:rPr>
          <w:rFonts w:ascii="Verdana" w:hAnsi="Verdana"/>
          <w:sz w:val="18"/>
          <w:szCs w:val="18"/>
        </w:rPr>
        <w:t>als erkenning</w:t>
      </w:r>
      <w:r w:rsidRPr="00B1570B">
        <w:rPr>
          <w:rFonts w:ascii="Verdana" w:hAnsi="Verdana"/>
          <w:sz w:val="18"/>
          <w:szCs w:val="18"/>
        </w:rPr>
        <w:t xml:space="preserve"> van het aangedane leed. Op deze manier </w:t>
      </w:r>
      <w:r w:rsidR="001A0703">
        <w:rPr>
          <w:rFonts w:ascii="Verdana" w:hAnsi="Verdana"/>
          <w:sz w:val="18"/>
          <w:szCs w:val="18"/>
        </w:rPr>
        <w:t>wordt recht gedaan</w:t>
      </w:r>
      <w:r w:rsidRPr="00B1570B">
        <w:rPr>
          <w:rFonts w:ascii="Verdana" w:hAnsi="Verdana"/>
          <w:sz w:val="18"/>
          <w:szCs w:val="18"/>
        </w:rPr>
        <w:t xml:space="preserve"> aan de getroffen burgers en bijdragen aan </w:t>
      </w:r>
      <w:r w:rsidRPr="00B1570B">
        <w:rPr>
          <w:rFonts w:ascii="Verdana" w:hAnsi="Verdana"/>
          <w:sz w:val="18"/>
          <w:szCs w:val="18"/>
        </w:rPr>
        <w:lastRenderedPageBreak/>
        <w:t>het herstel van vertrouwen in de Belastingdienst.</w:t>
      </w:r>
      <w:r>
        <w:rPr>
          <w:rFonts w:ascii="Verdana" w:hAnsi="Verdana"/>
          <w:sz w:val="18"/>
          <w:szCs w:val="18"/>
        </w:rPr>
        <w:t xml:space="preserve"> In totaal betreft het herstel van ongeveer 6</w:t>
      </w:r>
      <w:r w:rsidR="008123DF">
        <w:rPr>
          <w:rFonts w:ascii="Verdana" w:hAnsi="Verdana"/>
          <w:sz w:val="18"/>
          <w:szCs w:val="18"/>
        </w:rPr>
        <w:t>.</w:t>
      </w:r>
      <w:r>
        <w:rPr>
          <w:rFonts w:ascii="Verdana" w:hAnsi="Verdana"/>
          <w:sz w:val="18"/>
          <w:szCs w:val="18"/>
        </w:rPr>
        <w:t>000 burgers.</w:t>
      </w:r>
    </w:p>
    <w:p w:rsidRPr="00276931" w:rsidR="00E263CA" w:rsidP="00E263CA" w:rsidRDefault="00E263CA" w14:paraId="55A1C4C4" w14:textId="7041F79B">
      <w:pPr>
        <w:rPr>
          <w:rFonts w:ascii="Verdana" w:hAnsi="Verdana"/>
          <w:sz w:val="18"/>
          <w:szCs w:val="18"/>
        </w:rPr>
      </w:pPr>
      <w:r w:rsidRPr="00276931">
        <w:rPr>
          <w:rFonts w:ascii="Verdana" w:hAnsi="Verdana"/>
          <w:sz w:val="18"/>
          <w:szCs w:val="18"/>
        </w:rPr>
        <w:t xml:space="preserve">De uitvoering van de Wet tegemoetkoming </w:t>
      </w:r>
      <w:r>
        <w:rPr>
          <w:rFonts w:ascii="Verdana" w:hAnsi="Verdana"/>
          <w:sz w:val="18"/>
          <w:szCs w:val="18"/>
        </w:rPr>
        <w:t xml:space="preserve">onterechte afwijzing </w:t>
      </w:r>
      <w:r w:rsidRPr="00276931">
        <w:rPr>
          <w:rFonts w:ascii="Verdana" w:hAnsi="Verdana"/>
          <w:sz w:val="18"/>
          <w:szCs w:val="18"/>
        </w:rPr>
        <w:t>MSNP is op 1 juli 2025 van start gegaan.</w:t>
      </w:r>
      <w:r>
        <w:rPr>
          <w:rFonts w:ascii="Verdana" w:hAnsi="Verdana"/>
          <w:sz w:val="18"/>
          <w:szCs w:val="18"/>
        </w:rPr>
        <w:t xml:space="preserve"> </w:t>
      </w:r>
      <w:r w:rsidRPr="00276931">
        <w:rPr>
          <w:rFonts w:ascii="Verdana" w:hAnsi="Verdana"/>
          <w:sz w:val="18"/>
          <w:szCs w:val="18"/>
        </w:rPr>
        <w:t>Op dit moment zijn de eerste brieven verstuurd aan burgers van wie het MSNP-verzoek in het verleden onterecht is afgewezen en die niet alsnog tot een schuldregeling zijn toegelaten. De brief bevat zowel de forfaitaire tegemoetkoming</w:t>
      </w:r>
      <w:r w:rsidR="008718AB">
        <w:rPr>
          <w:rFonts w:ascii="Verdana" w:hAnsi="Verdana"/>
          <w:sz w:val="18"/>
          <w:szCs w:val="18"/>
        </w:rPr>
        <w:t>,</w:t>
      </w:r>
      <w:r w:rsidRPr="00276931">
        <w:rPr>
          <w:rFonts w:ascii="Verdana" w:hAnsi="Verdana"/>
          <w:sz w:val="18"/>
          <w:szCs w:val="18"/>
        </w:rPr>
        <w:t xml:space="preserve"> als de aankondiging van verdere herstelmaatregelen zoals kwijtschelding, terugbetaling en het financieren van de aflossing van schulden bij derden door de Belastingdienst</w:t>
      </w:r>
      <w:r>
        <w:rPr>
          <w:rFonts w:ascii="Verdana" w:hAnsi="Verdana"/>
          <w:sz w:val="18"/>
          <w:szCs w:val="18"/>
        </w:rPr>
        <w:t xml:space="preserve"> </w:t>
      </w:r>
      <w:r w:rsidRPr="00276931">
        <w:rPr>
          <w:rFonts w:ascii="Verdana" w:hAnsi="Verdana"/>
          <w:sz w:val="18"/>
          <w:szCs w:val="18"/>
        </w:rPr>
        <w:t>(zogenoemde pseudo-MSNP). Hiermee is een belangrijke eerste stap gezet in het daadwerkelijk bieden van erkenning en financieel herstel.</w:t>
      </w:r>
    </w:p>
    <w:p w:rsidRPr="00276931" w:rsidR="00E263CA" w:rsidP="00E263CA" w:rsidRDefault="00E263CA" w14:paraId="3A067F66" w14:textId="73D30E55">
      <w:pPr>
        <w:rPr>
          <w:rFonts w:ascii="Verdana" w:hAnsi="Verdana"/>
          <w:sz w:val="18"/>
          <w:szCs w:val="18"/>
        </w:rPr>
      </w:pPr>
      <w:r w:rsidRPr="00276931">
        <w:rPr>
          <w:rFonts w:ascii="Verdana" w:hAnsi="Verdana"/>
          <w:sz w:val="18"/>
          <w:szCs w:val="18"/>
        </w:rPr>
        <w:t>Naar verwachting zal het merendeel van de tegemoetkomingen tegen het begin van 2026 zijn afgerond, met uitzondering van</w:t>
      </w:r>
      <w:r>
        <w:rPr>
          <w:rFonts w:ascii="Verdana" w:hAnsi="Verdana"/>
          <w:sz w:val="18"/>
          <w:szCs w:val="18"/>
        </w:rPr>
        <w:t xml:space="preserve"> burgers met complexe situaties</w:t>
      </w:r>
      <w:r w:rsidRPr="00276931">
        <w:rPr>
          <w:rFonts w:ascii="Verdana" w:hAnsi="Verdana"/>
          <w:sz w:val="18"/>
          <w:szCs w:val="18"/>
        </w:rPr>
        <w:t xml:space="preserve"> waar aanvullende gegevens of handelingen nodig zijn.</w:t>
      </w:r>
      <w:r w:rsidR="00942584">
        <w:rPr>
          <w:rFonts w:ascii="Verdana" w:hAnsi="Verdana"/>
          <w:sz w:val="18"/>
          <w:szCs w:val="18"/>
        </w:rPr>
        <w:t xml:space="preserve"> </w:t>
      </w:r>
      <w:r w:rsidR="003167F8">
        <w:rPr>
          <w:rFonts w:ascii="Verdana" w:hAnsi="Verdana"/>
          <w:sz w:val="18"/>
          <w:szCs w:val="18"/>
        </w:rPr>
        <w:t xml:space="preserve">In totaal gaat het om iets minder dan 500 burgers. Er wordt geen extra vertraging verwacht.  </w:t>
      </w:r>
      <w:r w:rsidR="00942584">
        <w:rPr>
          <w:rFonts w:ascii="Verdana" w:hAnsi="Verdana"/>
          <w:sz w:val="18"/>
          <w:szCs w:val="18"/>
        </w:rPr>
        <w:t xml:space="preserve"> </w:t>
      </w:r>
      <w:r w:rsidR="003167F8">
        <w:rPr>
          <w:rFonts w:ascii="Verdana" w:hAnsi="Verdana"/>
          <w:sz w:val="18"/>
          <w:szCs w:val="18"/>
        </w:rPr>
        <w:t xml:space="preserve"> </w:t>
      </w:r>
      <w:r w:rsidR="00942584">
        <w:rPr>
          <w:rFonts w:ascii="Verdana" w:hAnsi="Verdana"/>
          <w:sz w:val="18"/>
          <w:szCs w:val="18"/>
        </w:rPr>
        <w:t xml:space="preserve"> </w:t>
      </w:r>
    </w:p>
    <w:p w:rsidR="00E263CA" w:rsidP="007A5414" w:rsidRDefault="00E263CA" w14:paraId="313CBE48" w14:textId="1DC61DE9">
      <w:pPr>
        <w:rPr>
          <w:rFonts w:ascii="Verdana" w:hAnsi="Verdana"/>
          <w:sz w:val="18"/>
          <w:szCs w:val="18"/>
        </w:rPr>
      </w:pPr>
      <w:r w:rsidRPr="00276931">
        <w:rPr>
          <w:rFonts w:ascii="Verdana" w:hAnsi="Verdana"/>
          <w:sz w:val="18"/>
          <w:szCs w:val="18"/>
        </w:rPr>
        <w:t xml:space="preserve">Wat betreft de </w:t>
      </w:r>
      <w:r>
        <w:rPr>
          <w:rFonts w:ascii="Verdana" w:hAnsi="Verdana"/>
          <w:sz w:val="18"/>
          <w:szCs w:val="18"/>
        </w:rPr>
        <w:t>burgers met complexe situaties</w:t>
      </w:r>
      <w:r w:rsidRPr="00276931">
        <w:rPr>
          <w:rFonts w:ascii="Verdana" w:hAnsi="Verdana"/>
          <w:sz w:val="18"/>
          <w:szCs w:val="18"/>
        </w:rPr>
        <w:t xml:space="preserve"> is de </w:t>
      </w:r>
      <w:r w:rsidR="001B10C3">
        <w:rPr>
          <w:rFonts w:ascii="Verdana" w:hAnsi="Verdana"/>
          <w:sz w:val="18"/>
          <w:szCs w:val="18"/>
        </w:rPr>
        <w:t xml:space="preserve">planning </w:t>
      </w:r>
      <w:r w:rsidRPr="00276931">
        <w:rPr>
          <w:rFonts w:ascii="Verdana" w:hAnsi="Verdana"/>
          <w:sz w:val="18"/>
          <w:szCs w:val="18"/>
        </w:rPr>
        <w:t xml:space="preserve">dat het grootste deel van de burgers </w:t>
      </w:r>
      <w:r w:rsidRPr="00276931" w:rsidR="003476A4">
        <w:rPr>
          <w:rFonts w:ascii="Verdana" w:hAnsi="Verdana"/>
          <w:sz w:val="18"/>
          <w:szCs w:val="18"/>
        </w:rPr>
        <w:t>nog dit jaar geïnformeerd en/of tegemoetgekomen word</w:t>
      </w:r>
      <w:r w:rsidR="00AD0DFD">
        <w:rPr>
          <w:rFonts w:ascii="Verdana" w:hAnsi="Verdana"/>
          <w:sz w:val="18"/>
          <w:szCs w:val="18"/>
        </w:rPr>
        <w:t>t</w:t>
      </w:r>
      <w:r w:rsidRPr="00276931" w:rsidR="003476A4">
        <w:rPr>
          <w:rFonts w:ascii="Verdana" w:hAnsi="Verdana"/>
          <w:sz w:val="18"/>
          <w:szCs w:val="18"/>
        </w:rPr>
        <w:t xml:space="preserve">. </w:t>
      </w:r>
      <w:r w:rsidR="003476A4">
        <w:rPr>
          <w:rFonts w:ascii="Verdana" w:hAnsi="Verdana"/>
          <w:sz w:val="18"/>
          <w:szCs w:val="18"/>
        </w:rPr>
        <w:t xml:space="preserve">Deze groep bestaat vooral uit burgers </w:t>
      </w:r>
      <w:r w:rsidRPr="00276931">
        <w:rPr>
          <w:rFonts w:ascii="Verdana" w:hAnsi="Verdana"/>
          <w:sz w:val="18"/>
          <w:szCs w:val="18"/>
        </w:rPr>
        <w:t>die onterecht zijn afgewezen, maar daarna alsnog zijn toegelaten tot een MSNP</w:t>
      </w:r>
      <w:r>
        <w:rPr>
          <w:rFonts w:ascii="Verdana" w:hAnsi="Verdana"/>
          <w:sz w:val="18"/>
          <w:szCs w:val="18"/>
        </w:rPr>
        <w:t>-</w:t>
      </w:r>
      <w:r w:rsidRPr="00276931">
        <w:rPr>
          <w:rFonts w:ascii="Verdana" w:hAnsi="Verdana"/>
          <w:sz w:val="18"/>
          <w:szCs w:val="18"/>
        </w:rPr>
        <w:t xml:space="preserve"> of WSNP</w:t>
      </w:r>
      <w:r>
        <w:rPr>
          <w:rStyle w:val="Voetnootmarkering"/>
          <w:rFonts w:ascii="Verdana" w:hAnsi="Verdana"/>
          <w:sz w:val="18"/>
          <w:szCs w:val="18"/>
        </w:rPr>
        <w:footnoteReference w:id="9"/>
      </w:r>
      <w:r>
        <w:rPr>
          <w:rFonts w:ascii="Verdana" w:hAnsi="Verdana"/>
          <w:sz w:val="18"/>
          <w:szCs w:val="18"/>
        </w:rPr>
        <w:t>-</w:t>
      </w:r>
      <w:r w:rsidRPr="00276931">
        <w:rPr>
          <w:rFonts w:ascii="Verdana" w:hAnsi="Verdana"/>
          <w:sz w:val="18"/>
          <w:szCs w:val="18"/>
        </w:rPr>
        <w:t>traject</w:t>
      </w:r>
      <w:r w:rsidR="003476A4">
        <w:rPr>
          <w:rFonts w:ascii="Verdana" w:hAnsi="Verdana"/>
          <w:sz w:val="18"/>
          <w:szCs w:val="18"/>
        </w:rPr>
        <w:t>,</w:t>
      </w:r>
      <w:r w:rsidRPr="00276931">
        <w:rPr>
          <w:rFonts w:ascii="Verdana" w:hAnsi="Verdana"/>
          <w:sz w:val="18"/>
          <w:szCs w:val="18"/>
        </w:rPr>
        <w:t xml:space="preserve"> en burgers die na een onterechte afwijzing alsnog een terechte afwijzing hebben ontvangen</w:t>
      </w:r>
      <w:r w:rsidR="003476A4">
        <w:rPr>
          <w:rFonts w:ascii="Verdana" w:hAnsi="Verdana"/>
          <w:sz w:val="18"/>
          <w:szCs w:val="18"/>
        </w:rPr>
        <w:t>.</w:t>
      </w:r>
      <w:r w:rsidRPr="00276931">
        <w:rPr>
          <w:rFonts w:ascii="Verdana" w:hAnsi="Verdana"/>
          <w:sz w:val="18"/>
          <w:szCs w:val="18"/>
        </w:rPr>
        <w:t xml:space="preserve"> Voor de</w:t>
      </w:r>
      <w:r w:rsidR="003476A4">
        <w:rPr>
          <w:rFonts w:ascii="Verdana" w:hAnsi="Verdana"/>
          <w:sz w:val="18"/>
          <w:szCs w:val="18"/>
        </w:rPr>
        <w:t>ze</w:t>
      </w:r>
      <w:r w:rsidRPr="00276931">
        <w:rPr>
          <w:rFonts w:ascii="Verdana" w:hAnsi="Verdana"/>
          <w:sz w:val="18"/>
          <w:szCs w:val="18"/>
        </w:rPr>
        <w:t xml:space="preserve"> </w:t>
      </w:r>
      <w:r>
        <w:rPr>
          <w:rFonts w:ascii="Verdana" w:hAnsi="Verdana"/>
          <w:sz w:val="18"/>
          <w:szCs w:val="18"/>
        </w:rPr>
        <w:t>burgers met complexe situaties</w:t>
      </w:r>
      <w:r w:rsidRPr="00276931">
        <w:rPr>
          <w:rFonts w:ascii="Verdana" w:hAnsi="Verdana"/>
          <w:sz w:val="18"/>
          <w:szCs w:val="18"/>
        </w:rPr>
        <w:t xml:space="preserve"> </w:t>
      </w:r>
      <w:r w:rsidR="001B10C3">
        <w:rPr>
          <w:rFonts w:ascii="Verdana" w:hAnsi="Verdana"/>
          <w:sz w:val="18"/>
          <w:szCs w:val="18"/>
        </w:rPr>
        <w:t>is de planning dat</w:t>
      </w:r>
      <w:r w:rsidRPr="00276931">
        <w:rPr>
          <w:rFonts w:ascii="Verdana" w:hAnsi="Verdana"/>
          <w:sz w:val="18"/>
          <w:szCs w:val="18"/>
        </w:rPr>
        <w:t xml:space="preserve"> uiterlijk in het eerste kwartaal van 2026 tot afronding </w:t>
      </w:r>
      <w:r w:rsidR="003476A4">
        <w:rPr>
          <w:rFonts w:ascii="Verdana" w:hAnsi="Verdana"/>
          <w:sz w:val="18"/>
          <w:szCs w:val="18"/>
        </w:rPr>
        <w:t xml:space="preserve">van herstel </w:t>
      </w:r>
      <w:r w:rsidRPr="00276931">
        <w:rPr>
          <w:rFonts w:ascii="Verdana" w:hAnsi="Verdana"/>
          <w:sz w:val="18"/>
          <w:szCs w:val="18"/>
        </w:rPr>
        <w:t xml:space="preserve">te komen. </w:t>
      </w:r>
    </w:p>
    <w:p w:rsidRPr="00394196" w:rsidR="00394196" w:rsidP="008D605F" w:rsidRDefault="00394196" w14:paraId="78446584" w14:textId="1F2D6BBD">
      <w:pPr>
        <w:pStyle w:val="Lijstalinea"/>
        <w:ind w:left="0"/>
        <w:rPr>
          <w:rFonts w:ascii="Verdana" w:hAnsi="Verdana"/>
          <w:bCs/>
          <w:i/>
          <w:iCs/>
          <w:sz w:val="18"/>
          <w:szCs w:val="18"/>
          <w:lang w:eastAsia="nl-NL"/>
        </w:rPr>
      </w:pPr>
      <w:r>
        <w:rPr>
          <w:rFonts w:ascii="Verdana" w:hAnsi="Verdana"/>
          <w:bCs/>
          <w:i/>
          <w:iCs/>
          <w:sz w:val="18"/>
          <w:szCs w:val="18"/>
          <w:lang w:eastAsia="nl-NL"/>
        </w:rPr>
        <w:t xml:space="preserve">Provinciale </w:t>
      </w:r>
      <w:r w:rsidR="00BD7987">
        <w:rPr>
          <w:rFonts w:ascii="Verdana" w:hAnsi="Verdana"/>
          <w:bCs/>
          <w:i/>
          <w:iCs/>
          <w:sz w:val="18"/>
          <w:szCs w:val="18"/>
          <w:lang w:eastAsia="nl-NL"/>
        </w:rPr>
        <w:t>o</w:t>
      </w:r>
      <w:r>
        <w:rPr>
          <w:rFonts w:ascii="Verdana" w:hAnsi="Verdana"/>
          <w:bCs/>
          <w:i/>
          <w:iCs/>
          <w:sz w:val="18"/>
          <w:szCs w:val="18"/>
          <w:lang w:eastAsia="nl-NL"/>
        </w:rPr>
        <w:t>pcenten</w:t>
      </w:r>
    </w:p>
    <w:p w:rsidRPr="00A51D27" w:rsidR="008D605F" w:rsidP="008D605F" w:rsidRDefault="008D605F" w14:paraId="062B2513" w14:textId="13F96CB8">
      <w:pPr>
        <w:pStyle w:val="Lijstalinea"/>
        <w:ind w:left="0"/>
        <w:rPr>
          <w:rFonts w:ascii="Verdana" w:hAnsi="Verdana"/>
          <w:sz w:val="18"/>
          <w:szCs w:val="18"/>
          <w:lang w:eastAsia="nl-NL"/>
        </w:rPr>
      </w:pPr>
      <w:bookmarkStart w:name="_Hlk209685418" w:id="7"/>
      <w:bookmarkStart w:name="_Hlk208579538" w:id="8"/>
      <w:r w:rsidRPr="00276931">
        <w:rPr>
          <w:rFonts w:ascii="Verdana" w:hAnsi="Verdana"/>
          <w:sz w:val="18"/>
          <w:szCs w:val="18"/>
          <w:lang w:eastAsia="nl-NL"/>
        </w:rPr>
        <w:t xml:space="preserve">De Belastingdienst is verantwoordelijk voor de inning van de motorrijtuigenbelasting (MRB). Dat geldt voor zowel de basisbelasting, de brandstoftoeslagen als voor de provinciale opcenten. Na een signaal van het Interprovinciaal Overleg (IPO) bleek in april </w:t>
      </w:r>
      <w:r w:rsidR="00C473A5">
        <w:rPr>
          <w:rFonts w:ascii="Verdana" w:hAnsi="Verdana"/>
          <w:sz w:val="18"/>
          <w:szCs w:val="18"/>
          <w:lang w:eastAsia="nl-NL"/>
        </w:rPr>
        <w:t>2025</w:t>
      </w:r>
      <w:r>
        <w:rPr>
          <w:rFonts w:ascii="Verdana" w:hAnsi="Verdana"/>
          <w:sz w:val="18"/>
          <w:szCs w:val="18"/>
          <w:lang w:eastAsia="nl-NL"/>
        </w:rPr>
        <w:t xml:space="preserve"> </w:t>
      </w:r>
      <w:r w:rsidRPr="00276931">
        <w:rPr>
          <w:rFonts w:ascii="Verdana" w:hAnsi="Verdana"/>
          <w:sz w:val="18"/>
          <w:szCs w:val="18"/>
          <w:lang w:eastAsia="nl-NL"/>
        </w:rPr>
        <w:t xml:space="preserve">dat bij het berekenen van de hoogte van de afdrachten over de jaren 2023, 2024 en 2025 een fout is gemaakt in de afdracht van de provinciale opcenten aan de provincies. Dit kwam doordat de brandstoftoeslag niet correct was toegerekend. Op 16 mei </w:t>
      </w:r>
      <w:r w:rsidR="00F345E4">
        <w:rPr>
          <w:rFonts w:ascii="Verdana" w:hAnsi="Verdana"/>
          <w:sz w:val="18"/>
          <w:szCs w:val="18"/>
          <w:lang w:eastAsia="nl-NL"/>
        </w:rPr>
        <w:t>jl.</w:t>
      </w:r>
      <w:r w:rsidRPr="00276931">
        <w:rPr>
          <w:rFonts w:ascii="Verdana" w:hAnsi="Verdana"/>
          <w:sz w:val="18"/>
          <w:szCs w:val="18"/>
          <w:lang w:eastAsia="nl-NL"/>
        </w:rPr>
        <w:t xml:space="preserve"> is uw Kamer geïnformeerd</w:t>
      </w:r>
      <w:r w:rsidR="007A270F">
        <w:rPr>
          <w:rFonts w:ascii="Verdana" w:hAnsi="Verdana"/>
          <w:sz w:val="18"/>
          <w:szCs w:val="18"/>
          <w:lang w:eastAsia="nl-NL"/>
        </w:rPr>
        <w:t xml:space="preserve"> over dat er, als gevolg van deze fout in de afdracht,</w:t>
      </w:r>
      <w:r w:rsidRPr="001457D0" w:rsidR="007A270F">
        <w:rPr>
          <w:rFonts w:ascii="Verdana" w:hAnsi="Verdana"/>
          <w:sz w:val="18"/>
          <w:szCs w:val="18"/>
          <w:lang w:eastAsia="nl-NL"/>
        </w:rPr>
        <w:t xml:space="preserve"> in 2024 ten laste van de motorrijtuigenbelasting circa €</w:t>
      </w:r>
      <w:r w:rsidR="007A270F">
        <w:rPr>
          <w:rFonts w:ascii="Verdana" w:hAnsi="Verdana"/>
          <w:sz w:val="18"/>
          <w:szCs w:val="18"/>
          <w:lang w:eastAsia="nl-NL"/>
        </w:rPr>
        <w:t xml:space="preserve"> </w:t>
      </w:r>
      <w:r w:rsidRPr="001457D0" w:rsidR="007A270F">
        <w:rPr>
          <w:rFonts w:ascii="Verdana" w:hAnsi="Verdana"/>
          <w:sz w:val="18"/>
          <w:szCs w:val="18"/>
          <w:lang w:eastAsia="nl-NL"/>
        </w:rPr>
        <w:t>57 miljoen te veel is afgedragen aan de provincies</w:t>
      </w:r>
      <w:r w:rsidRPr="00276931">
        <w:rPr>
          <w:rFonts w:ascii="Verdana" w:hAnsi="Verdana"/>
          <w:sz w:val="18"/>
          <w:szCs w:val="18"/>
          <w:lang w:eastAsia="nl-NL"/>
        </w:rPr>
        <w:t>.</w:t>
      </w:r>
      <w:r w:rsidRPr="00276931">
        <w:rPr>
          <w:rStyle w:val="Voetnootmarkering"/>
          <w:rFonts w:ascii="Verdana" w:hAnsi="Verdana"/>
          <w:sz w:val="18"/>
          <w:szCs w:val="18"/>
          <w:lang w:eastAsia="nl-NL"/>
        </w:rPr>
        <w:footnoteReference w:id="10"/>
      </w:r>
      <w:r w:rsidRPr="00276931">
        <w:rPr>
          <w:rFonts w:ascii="Verdana" w:hAnsi="Verdana"/>
          <w:sz w:val="18"/>
          <w:szCs w:val="18"/>
          <w:lang w:eastAsia="nl-NL"/>
        </w:rPr>
        <w:t xml:space="preserve"> </w:t>
      </w:r>
      <w:r w:rsidR="001457D0">
        <w:rPr>
          <w:rFonts w:ascii="Verdana" w:hAnsi="Verdana"/>
          <w:sz w:val="18"/>
          <w:szCs w:val="18"/>
          <w:lang w:eastAsia="nl-NL"/>
        </w:rPr>
        <w:t xml:space="preserve">In de brief is ook een splitsing gegeven van het bedrag per provincie. </w:t>
      </w:r>
      <w:r w:rsidR="00356C55">
        <w:rPr>
          <w:rFonts w:ascii="Verdana" w:hAnsi="Verdana"/>
          <w:sz w:val="18"/>
          <w:szCs w:val="18"/>
          <w:lang w:eastAsia="nl-NL"/>
        </w:rPr>
        <w:t xml:space="preserve">Na het verzenden van </w:t>
      </w:r>
      <w:r w:rsidR="00BD7987">
        <w:rPr>
          <w:rFonts w:ascii="Verdana" w:hAnsi="Verdana"/>
          <w:sz w:val="18"/>
          <w:szCs w:val="18"/>
          <w:lang w:eastAsia="nl-NL"/>
        </w:rPr>
        <w:t>deze brief</w:t>
      </w:r>
      <w:r w:rsidR="00356C55">
        <w:rPr>
          <w:rFonts w:ascii="Verdana" w:hAnsi="Verdana"/>
          <w:sz w:val="18"/>
          <w:szCs w:val="18"/>
          <w:lang w:eastAsia="nl-NL"/>
        </w:rPr>
        <w:t xml:space="preserve"> is i</w:t>
      </w:r>
      <w:r w:rsidRPr="00276931">
        <w:rPr>
          <w:rFonts w:ascii="Verdana" w:hAnsi="Verdana"/>
          <w:sz w:val="18"/>
          <w:szCs w:val="18"/>
          <w:lang w:eastAsia="nl-NL"/>
        </w:rPr>
        <w:t>n overleg met het IPO afgesproken dat het herstel</w:t>
      </w:r>
      <w:r>
        <w:rPr>
          <w:rFonts w:ascii="Verdana" w:hAnsi="Verdana"/>
          <w:sz w:val="18"/>
          <w:szCs w:val="18"/>
          <w:lang w:eastAsia="nl-NL"/>
        </w:rPr>
        <w:t xml:space="preserve"> met de afdrachten</w:t>
      </w:r>
      <w:r w:rsidRPr="00276931">
        <w:rPr>
          <w:rFonts w:ascii="Verdana" w:hAnsi="Verdana"/>
          <w:sz w:val="18"/>
          <w:szCs w:val="18"/>
          <w:lang w:eastAsia="nl-NL"/>
        </w:rPr>
        <w:t xml:space="preserve"> via verrekeningen van juni tot en met december van dit jaar z</w:t>
      </w:r>
      <w:r>
        <w:rPr>
          <w:rFonts w:ascii="Verdana" w:hAnsi="Verdana"/>
          <w:sz w:val="18"/>
          <w:szCs w:val="18"/>
          <w:lang w:eastAsia="nl-NL"/>
        </w:rPr>
        <w:t>al</w:t>
      </w:r>
      <w:r w:rsidRPr="00276931">
        <w:rPr>
          <w:rFonts w:ascii="Verdana" w:hAnsi="Verdana"/>
          <w:sz w:val="18"/>
          <w:szCs w:val="18"/>
          <w:lang w:eastAsia="nl-NL"/>
        </w:rPr>
        <w:t xml:space="preserve"> plaatsvinden. </w:t>
      </w:r>
      <w:r w:rsidR="0019177B">
        <w:rPr>
          <w:rFonts w:ascii="Verdana" w:hAnsi="Verdana"/>
          <w:sz w:val="18"/>
          <w:szCs w:val="18"/>
          <w:lang w:eastAsia="nl-NL"/>
        </w:rPr>
        <w:t xml:space="preserve">Daarmee wordt de </w:t>
      </w:r>
      <w:r w:rsidRPr="00276931" w:rsidR="0019177B">
        <w:rPr>
          <w:rFonts w:ascii="Verdana" w:hAnsi="Verdana"/>
          <w:sz w:val="18"/>
          <w:szCs w:val="18"/>
          <w:lang w:eastAsia="nl-NL"/>
        </w:rPr>
        <w:t>fout in de afdracht van de provinciale opcenten</w:t>
      </w:r>
      <w:r w:rsidR="0019177B">
        <w:rPr>
          <w:rFonts w:ascii="Verdana" w:hAnsi="Verdana"/>
          <w:sz w:val="18"/>
          <w:szCs w:val="18"/>
          <w:lang w:eastAsia="nl-NL"/>
        </w:rPr>
        <w:t xml:space="preserve"> nog dit jaar helemaal hersteld.</w:t>
      </w:r>
      <w:r w:rsidRPr="00276931">
        <w:rPr>
          <w:rFonts w:ascii="Verdana" w:hAnsi="Verdana"/>
          <w:sz w:val="18"/>
          <w:szCs w:val="18"/>
          <w:lang w:eastAsia="nl-NL"/>
        </w:rPr>
        <w:br/>
      </w:r>
      <w:r w:rsidRPr="00276931">
        <w:rPr>
          <w:rFonts w:ascii="Verdana" w:hAnsi="Verdana"/>
          <w:sz w:val="18"/>
          <w:szCs w:val="18"/>
          <w:lang w:eastAsia="nl-NL"/>
        </w:rPr>
        <w:br/>
      </w:r>
      <w:r w:rsidRPr="00A403E3">
        <w:rPr>
          <w:rFonts w:ascii="Verdana" w:hAnsi="Verdana"/>
          <w:sz w:val="18"/>
          <w:szCs w:val="18"/>
          <w:lang w:eastAsia="nl-NL"/>
        </w:rPr>
        <w:t xml:space="preserve">De Belastingdienst heeft maatregelen genomen om dit soort fouten in de toekomst te voorkomen. Zo is de interne controle op de berekening van de periodieke afdrachten verbeterd en wordt het convenant met het IPO opnieuw bekeken via een herijking. Bij deze herijking wordt gekeken hoe het proces en de regels voor de </w:t>
      </w:r>
      <w:r w:rsidR="005D57FE">
        <w:rPr>
          <w:rFonts w:ascii="Verdana" w:hAnsi="Verdana"/>
          <w:sz w:val="18"/>
          <w:szCs w:val="18"/>
          <w:lang w:eastAsia="nl-NL"/>
        </w:rPr>
        <w:t>p</w:t>
      </w:r>
      <w:r w:rsidRPr="00A403E3">
        <w:rPr>
          <w:rFonts w:ascii="Verdana" w:hAnsi="Verdana"/>
          <w:sz w:val="18"/>
          <w:szCs w:val="18"/>
          <w:lang w:eastAsia="nl-NL"/>
        </w:rPr>
        <w:t xml:space="preserve">rovinciale </w:t>
      </w:r>
      <w:r w:rsidR="005D57FE">
        <w:rPr>
          <w:rFonts w:ascii="Verdana" w:hAnsi="Verdana"/>
          <w:sz w:val="18"/>
          <w:szCs w:val="18"/>
          <w:lang w:eastAsia="nl-NL"/>
        </w:rPr>
        <w:t>o</w:t>
      </w:r>
      <w:r w:rsidRPr="00A403E3">
        <w:rPr>
          <w:rFonts w:ascii="Verdana" w:hAnsi="Verdana"/>
          <w:sz w:val="18"/>
          <w:szCs w:val="18"/>
          <w:lang w:eastAsia="nl-NL"/>
        </w:rPr>
        <w:t xml:space="preserve">pcenten eenvoudiger kunnen worden gemaakt. Naar verwachting worden in de loop van 2026 nieuwe afspraken </w:t>
      </w:r>
      <w:r>
        <w:rPr>
          <w:rFonts w:ascii="Verdana" w:hAnsi="Verdana"/>
          <w:sz w:val="18"/>
          <w:szCs w:val="18"/>
          <w:lang w:eastAsia="nl-NL"/>
        </w:rPr>
        <w:t xml:space="preserve">tussen de Belastingdienst en het IPO </w:t>
      </w:r>
      <w:r w:rsidRPr="00A403E3">
        <w:rPr>
          <w:rFonts w:ascii="Verdana" w:hAnsi="Verdana"/>
          <w:sz w:val="18"/>
          <w:szCs w:val="18"/>
          <w:lang w:eastAsia="nl-NL"/>
        </w:rPr>
        <w:t>vastgelegd. Ook werkt de Belastingdienst aan meer automatisering bij de berekeningen, zodat de kans op fouten nog kleiner wordt.</w:t>
      </w:r>
      <w:bookmarkEnd w:id="7"/>
    </w:p>
    <w:p w:rsidR="00394196" w:rsidP="00394196" w:rsidRDefault="00394196" w14:paraId="02D964E8" w14:textId="77777777">
      <w:pPr>
        <w:pStyle w:val="Lijstalinea"/>
        <w:ind w:left="0"/>
        <w:rPr>
          <w:rFonts w:ascii="Verdana" w:hAnsi="Verdana"/>
          <w:i/>
          <w:iCs/>
          <w:sz w:val="18"/>
          <w:szCs w:val="18"/>
          <w:lang w:eastAsia="nl-NL"/>
        </w:rPr>
      </w:pPr>
    </w:p>
    <w:p w:rsidRPr="00E2202B" w:rsidR="00394196" w:rsidP="00E2202B" w:rsidRDefault="00394196" w14:paraId="21F32585" w14:textId="5218E7D8">
      <w:pPr>
        <w:pStyle w:val="Lijstalinea"/>
        <w:spacing w:after="0"/>
        <w:ind w:left="0"/>
        <w:rPr>
          <w:rFonts w:ascii="Verdana" w:hAnsi="Verdana"/>
          <w:i/>
          <w:iCs/>
          <w:sz w:val="18"/>
          <w:szCs w:val="18"/>
          <w:lang w:eastAsia="nl-NL"/>
        </w:rPr>
      </w:pPr>
      <w:r w:rsidRPr="00394196">
        <w:rPr>
          <w:rFonts w:ascii="Verdana" w:hAnsi="Verdana"/>
          <w:i/>
          <w:iCs/>
          <w:sz w:val="18"/>
          <w:szCs w:val="18"/>
          <w:lang w:eastAsia="nl-NL"/>
        </w:rPr>
        <w:t>Belastingrente</w:t>
      </w:r>
    </w:p>
    <w:p w:rsidR="00D82C92" w:rsidP="00F14ED6" w:rsidRDefault="00D82C92" w14:paraId="3EFAFB2E" w14:textId="124C7680">
      <w:pPr>
        <w:rPr>
          <w:rFonts w:ascii="Verdana" w:hAnsi="Verdana"/>
          <w:sz w:val="18"/>
          <w:szCs w:val="18"/>
          <w:lang w:eastAsia="nl-NL"/>
        </w:rPr>
      </w:pPr>
      <w:r>
        <w:rPr>
          <w:rFonts w:ascii="Verdana" w:hAnsi="Verdana"/>
          <w:sz w:val="18"/>
          <w:szCs w:val="18"/>
          <w:lang w:eastAsia="nl-NL"/>
        </w:rPr>
        <w:t>I</w:t>
      </w:r>
      <w:r w:rsidRPr="00276931" w:rsidR="007A5414">
        <w:rPr>
          <w:rFonts w:ascii="Verdana" w:hAnsi="Verdana"/>
          <w:sz w:val="18"/>
          <w:szCs w:val="18"/>
          <w:lang w:eastAsia="nl-NL"/>
        </w:rPr>
        <w:t xml:space="preserve">n augustus 2024 </w:t>
      </w:r>
      <w:r>
        <w:rPr>
          <w:rFonts w:ascii="Verdana" w:hAnsi="Verdana"/>
          <w:sz w:val="18"/>
          <w:szCs w:val="18"/>
          <w:lang w:eastAsia="nl-NL"/>
        </w:rPr>
        <w:t xml:space="preserve">heeft </w:t>
      </w:r>
      <w:r w:rsidRPr="00276931" w:rsidR="007A5414">
        <w:rPr>
          <w:rFonts w:ascii="Verdana" w:hAnsi="Verdana"/>
          <w:sz w:val="18"/>
          <w:szCs w:val="18"/>
          <w:lang w:eastAsia="nl-NL"/>
        </w:rPr>
        <w:t>een complexe verstoring plaatsgevonden bij het opleggen van de voorlopige aanslagen voor het belastingjaar 2023.</w:t>
      </w:r>
      <w:r w:rsidR="00F14ED6">
        <w:rPr>
          <w:rFonts w:ascii="Verdana" w:hAnsi="Verdana"/>
          <w:sz w:val="18"/>
          <w:szCs w:val="18"/>
          <w:lang w:eastAsia="nl-NL"/>
        </w:rPr>
        <w:t xml:space="preserve"> Door</w:t>
      </w:r>
      <w:r w:rsidRPr="00F14ED6" w:rsidR="00F14ED6">
        <w:rPr>
          <w:rFonts w:ascii="Verdana" w:hAnsi="Verdana"/>
          <w:sz w:val="18"/>
          <w:szCs w:val="18"/>
          <w:lang w:eastAsia="nl-NL"/>
        </w:rPr>
        <w:t xml:space="preserve"> een onjuiste berekening in het</w:t>
      </w:r>
      <w:r w:rsidR="00F14ED6">
        <w:rPr>
          <w:rFonts w:ascii="Verdana" w:hAnsi="Verdana"/>
          <w:sz w:val="18"/>
          <w:szCs w:val="18"/>
          <w:lang w:eastAsia="nl-NL"/>
        </w:rPr>
        <w:t xml:space="preserve"> </w:t>
      </w:r>
      <w:r w:rsidRPr="00F14ED6" w:rsidR="00F14ED6">
        <w:rPr>
          <w:rFonts w:ascii="Verdana" w:hAnsi="Verdana"/>
          <w:sz w:val="18"/>
          <w:szCs w:val="18"/>
          <w:lang w:eastAsia="nl-NL"/>
        </w:rPr>
        <w:t xml:space="preserve">verwerkingssysteem Aanslag Belasting Systeem (ABS) </w:t>
      </w:r>
      <w:r w:rsidR="00F14ED6">
        <w:rPr>
          <w:rFonts w:ascii="Verdana" w:hAnsi="Verdana"/>
          <w:sz w:val="18"/>
          <w:szCs w:val="18"/>
          <w:lang w:eastAsia="nl-NL"/>
        </w:rPr>
        <w:t xml:space="preserve">is </w:t>
      </w:r>
      <w:r w:rsidRPr="00F14ED6" w:rsidR="00F14ED6">
        <w:rPr>
          <w:rFonts w:ascii="Verdana" w:hAnsi="Verdana"/>
          <w:sz w:val="18"/>
          <w:szCs w:val="18"/>
          <w:lang w:eastAsia="nl-NL"/>
        </w:rPr>
        <w:t>in 9.592 gevallen een</w:t>
      </w:r>
      <w:r w:rsidR="00F14ED6">
        <w:rPr>
          <w:rFonts w:ascii="Verdana" w:hAnsi="Verdana"/>
          <w:sz w:val="18"/>
          <w:szCs w:val="18"/>
          <w:lang w:eastAsia="nl-NL"/>
        </w:rPr>
        <w:t xml:space="preserve"> </w:t>
      </w:r>
      <w:r w:rsidRPr="00F14ED6" w:rsidR="00F14ED6">
        <w:rPr>
          <w:rFonts w:ascii="Verdana" w:hAnsi="Verdana"/>
          <w:sz w:val="18"/>
          <w:szCs w:val="18"/>
          <w:lang w:eastAsia="nl-NL"/>
        </w:rPr>
        <w:t xml:space="preserve">onjuiste </w:t>
      </w:r>
      <w:r w:rsidR="00F14ED6">
        <w:rPr>
          <w:rFonts w:ascii="Verdana" w:hAnsi="Verdana"/>
          <w:sz w:val="18"/>
          <w:szCs w:val="18"/>
          <w:lang w:eastAsia="nl-NL"/>
        </w:rPr>
        <w:t>a</w:t>
      </w:r>
      <w:r w:rsidRPr="00F14ED6" w:rsidR="00F14ED6">
        <w:rPr>
          <w:rFonts w:ascii="Verdana" w:hAnsi="Verdana"/>
          <w:sz w:val="18"/>
          <w:szCs w:val="18"/>
          <w:lang w:eastAsia="nl-NL"/>
        </w:rPr>
        <w:t>utomatische voorlopige aanslag over 2023 opgelegd.</w:t>
      </w:r>
      <w:r w:rsidRPr="00276931" w:rsidR="007A5414">
        <w:rPr>
          <w:rFonts w:ascii="Verdana" w:hAnsi="Verdana"/>
          <w:sz w:val="18"/>
          <w:szCs w:val="18"/>
          <w:lang w:eastAsia="nl-NL"/>
        </w:rPr>
        <w:t xml:space="preserve"> In de periode september 2024 tot en met februari 2025 </w:t>
      </w:r>
      <w:r>
        <w:rPr>
          <w:rFonts w:ascii="Verdana" w:hAnsi="Verdana"/>
          <w:sz w:val="18"/>
          <w:szCs w:val="18"/>
          <w:lang w:eastAsia="nl-NL"/>
        </w:rPr>
        <w:t>is de fout van</w:t>
      </w:r>
      <w:r w:rsidRPr="00276931" w:rsidR="007A5414">
        <w:rPr>
          <w:rFonts w:ascii="Verdana" w:hAnsi="Verdana"/>
          <w:sz w:val="18"/>
          <w:szCs w:val="18"/>
          <w:lang w:eastAsia="nl-NL"/>
        </w:rPr>
        <w:t xml:space="preserve"> deze verstoring </w:t>
      </w:r>
      <w:r>
        <w:rPr>
          <w:rFonts w:ascii="Verdana" w:hAnsi="Verdana"/>
          <w:sz w:val="18"/>
          <w:szCs w:val="18"/>
          <w:lang w:eastAsia="nl-NL"/>
        </w:rPr>
        <w:t>hersteld</w:t>
      </w:r>
      <w:r w:rsidRPr="00276931" w:rsidR="007A5414">
        <w:rPr>
          <w:rFonts w:ascii="Verdana" w:hAnsi="Verdana"/>
          <w:sz w:val="18"/>
          <w:szCs w:val="18"/>
          <w:lang w:eastAsia="nl-NL"/>
        </w:rPr>
        <w:t xml:space="preserve">. </w:t>
      </w:r>
    </w:p>
    <w:p w:rsidRPr="00276931" w:rsidR="001457D0" w:rsidP="00F14ED6" w:rsidRDefault="007A5414" w14:paraId="48397F4C" w14:textId="5476447E">
      <w:pPr>
        <w:rPr>
          <w:rFonts w:ascii="Verdana" w:hAnsi="Verdana"/>
          <w:sz w:val="18"/>
          <w:szCs w:val="18"/>
        </w:rPr>
      </w:pPr>
      <w:r w:rsidRPr="00276931">
        <w:rPr>
          <w:rFonts w:ascii="Verdana" w:hAnsi="Verdana"/>
          <w:sz w:val="18"/>
          <w:szCs w:val="18"/>
          <w:lang w:eastAsia="nl-NL"/>
        </w:rPr>
        <w:t>Bij het herstel</w:t>
      </w:r>
      <w:r w:rsidR="003476A4">
        <w:rPr>
          <w:rFonts w:ascii="Verdana" w:hAnsi="Verdana"/>
          <w:sz w:val="18"/>
          <w:szCs w:val="18"/>
          <w:lang w:eastAsia="nl-NL"/>
        </w:rPr>
        <w:t xml:space="preserve"> van de bovengenoemde groep</w:t>
      </w:r>
      <w:r w:rsidRPr="00276931">
        <w:rPr>
          <w:rFonts w:ascii="Verdana" w:hAnsi="Verdana"/>
          <w:sz w:val="18"/>
          <w:szCs w:val="18"/>
          <w:lang w:eastAsia="nl-NL"/>
        </w:rPr>
        <w:t xml:space="preserve"> is</w:t>
      </w:r>
      <w:r w:rsidR="003476A4">
        <w:rPr>
          <w:rFonts w:ascii="Verdana" w:hAnsi="Verdana"/>
          <w:sz w:val="18"/>
          <w:szCs w:val="18"/>
          <w:lang w:eastAsia="nl-NL"/>
        </w:rPr>
        <w:t xml:space="preserve"> later</w:t>
      </w:r>
      <w:r w:rsidRPr="00276931">
        <w:rPr>
          <w:rFonts w:ascii="Verdana" w:hAnsi="Verdana"/>
          <w:sz w:val="18"/>
          <w:szCs w:val="18"/>
          <w:lang w:eastAsia="nl-NL"/>
        </w:rPr>
        <w:t xml:space="preserve"> in 4.355 gevallen ten onrechte belastingrente in rekening gebracht. De omvang varieert per aanslag tussen de €</w:t>
      </w:r>
      <w:r w:rsidR="00AA2219">
        <w:rPr>
          <w:rFonts w:ascii="Verdana" w:hAnsi="Verdana"/>
          <w:sz w:val="18"/>
          <w:szCs w:val="18"/>
          <w:lang w:eastAsia="nl-NL"/>
        </w:rPr>
        <w:t xml:space="preserve"> </w:t>
      </w:r>
      <w:r w:rsidRPr="00276931">
        <w:rPr>
          <w:rFonts w:ascii="Verdana" w:hAnsi="Verdana"/>
          <w:sz w:val="18"/>
          <w:szCs w:val="18"/>
          <w:lang w:eastAsia="nl-NL"/>
        </w:rPr>
        <w:t>1 en €</w:t>
      </w:r>
      <w:r w:rsidR="00AA2219">
        <w:rPr>
          <w:rFonts w:ascii="Verdana" w:hAnsi="Verdana"/>
          <w:sz w:val="18"/>
          <w:szCs w:val="18"/>
          <w:lang w:eastAsia="nl-NL"/>
        </w:rPr>
        <w:t xml:space="preserve"> </w:t>
      </w:r>
      <w:r w:rsidRPr="00276931">
        <w:rPr>
          <w:rFonts w:ascii="Verdana" w:hAnsi="Verdana"/>
          <w:sz w:val="18"/>
          <w:szCs w:val="18"/>
          <w:lang w:eastAsia="nl-NL"/>
        </w:rPr>
        <w:t>1.576 en betreft in totaal €</w:t>
      </w:r>
      <w:r w:rsidR="00AA2219">
        <w:rPr>
          <w:rFonts w:ascii="Verdana" w:hAnsi="Verdana"/>
          <w:sz w:val="18"/>
          <w:szCs w:val="18"/>
          <w:lang w:eastAsia="nl-NL"/>
        </w:rPr>
        <w:t xml:space="preserve"> </w:t>
      </w:r>
      <w:r w:rsidRPr="00276931">
        <w:rPr>
          <w:rFonts w:ascii="Verdana" w:hAnsi="Verdana"/>
          <w:sz w:val="18"/>
          <w:szCs w:val="18"/>
          <w:lang w:eastAsia="nl-NL"/>
        </w:rPr>
        <w:t>112.200. Het herstel</w:t>
      </w:r>
      <w:r w:rsidR="00B32A0D">
        <w:rPr>
          <w:rFonts w:ascii="Verdana" w:hAnsi="Verdana"/>
          <w:sz w:val="18"/>
          <w:szCs w:val="18"/>
          <w:lang w:eastAsia="nl-NL"/>
        </w:rPr>
        <w:t xml:space="preserve"> van deze onterecht in rekening gebrachte rent</w:t>
      </w:r>
      <w:r w:rsidR="007410A8">
        <w:rPr>
          <w:rFonts w:ascii="Verdana" w:hAnsi="Verdana"/>
          <w:sz w:val="18"/>
          <w:szCs w:val="18"/>
          <w:lang w:eastAsia="nl-NL"/>
        </w:rPr>
        <w:t>e</w:t>
      </w:r>
      <w:r w:rsidRPr="00276931">
        <w:rPr>
          <w:rFonts w:ascii="Verdana" w:hAnsi="Verdana"/>
          <w:sz w:val="18"/>
          <w:szCs w:val="18"/>
          <w:lang w:eastAsia="nl-NL"/>
        </w:rPr>
        <w:t xml:space="preserve"> is eind juli 2025 afgerond. De gedupeerde burgers hebben een excuusbrief ontvangen en halverwege augustus 2025 is </w:t>
      </w:r>
      <w:r w:rsidR="00D82C92">
        <w:rPr>
          <w:rFonts w:ascii="Verdana" w:hAnsi="Verdana"/>
          <w:sz w:val="18"/>
          <w:szCs w:val="18"/>
          <w:lang w:eastAsia="nl-NL"/>
        </w:rPr>
        <w:t>de ten onrechte in rekening gebrachte rente</w:t>
      </w:r>
      <w:r w:rsidRPr="00276931">
        <w:rPr>
          <w:rFonts w:ascii="Verdana" w:hAnsi="Verdana"/>
          <w:sz w:val="18"/>
          <w:szCs w:val="18"/>
          <w:lang w:eastAsia="nl-NL"/>
        </w:rPr>
        <w:t xml:space="preserve"> </w:t>
      </w:r>
      <w:r w:rsidR="004F10FB">
        <w:rPr>
          <w:rFonts w:ascii="Verdana" w:hAnsi="Verdana"/>
          <w:sz w:val="18"/>
          <w:szCs w:val="18"/>
          <w:lang w:eastAsia="nl-NL"/>
        </w:rPr>
        <w:t>aan deze burgers terugbetaald</w:t>
      </w:r>
      <w:r w:rsidRPr="00276931">
        <w:rPr>
          <w:rFonts w:ascii="Verdana" w:hAnsi="Verdana"/>
          <w:sz w:val="18"/>
          <w:szCs w:val="18"/>
          <w:lang w:eastAsia="nl-NL"/>
        </w:rPr>
        <w:t xml:space="preserve">. </w:t>
      </w:r>
      <w:bookmarkEnd w:id="8"/>
      <w:r w:rsidRPr="00276931">
        <w:rPr>
          <w:rFonts w:ascii="Verdana" w:hAnsi="Verdana"/>
          <w:sz w:val="18"/>
          <w:szCs w:val="18"/>
        </w:rPr>
        <w:t xml:space="preserve"> </w:t>
      </w:r>
    </w:p>
    <w:p w:rsidRPr="00E2202B" w:rsidR="00394196" w:rsidP="00E2202B" w:rsidRDefault="00394196" w14:paraId="61BD321F" w14:textId="09047842">
      <w:pPr>
        <w:spacing w:after="0" w:line="278" w:lineRule="auto"/>
        <w:rPr>
          <w:rFonts w:ascii="Verdana" w:hAnsi="Verdana"/>
          <w:bCs/>
          <w:i/>
          <w:iCs/>
          <w:sz w:val="18"/>
          <w:szCs w:val="18"/>
          <w:lang w:eastAsia="nl-NL"/>
        </w:rPr>
      </w:pPr>
      <w:r>
        <w:rPr>
          <w:rFonts w:ascii="Verdana" w:hAnsi="Verdana" w:cs="Verdana"/>
          <w:bCs/>
          <w:i/>
          <w:iCs/>
          <w:sz w:val="18"/>
          <w:szCs w:val="18"/>
        </w:rPr>
        <w:t>Betaalverzuimboetes</w:t>
      </w:r>
    </w:p>
    <w:p w:rsidRPr="00276931" w:rsidR="000D1951" w:rsidP="007A5414" w:rsidRDefault="00E138A1" w14:paraId="46DD50E7" w14:textId="29843470">
      <w:pPr>
        <w:rPr>
          <w:rFonts w:ascii="Verdana" w:hAnsi="Verdana"/>
          <w:sz w:val="18"/>
          <w:szCs w:val="18"/>
          <w:lang w:eastAsia="nl-NL"/>
        </w:rPr>
      </w:pPr>
      <w:r w:rsidRPr="00276931">
        <w:rPr>
          <w:rFonts w:ascii="Verdana" w:hAnsi="Verdana"/>
          <w:sz w:val="18"/>
          <w:szCs w:val="18"/>
          <w:lang w:eastAsia="nl-NL"/>
        </w:rPr>
        <w:lastRenderedPageBreak/>
        <w:t xml:space="preserve">Op het moment dat een belastingschuldige </w:t>
      </w:r>
      <w:r w:rsidR="00477B87">
        <w:rPr>
          <w:rFonts w:ascii="Verdana" w:hAnsi="Verdana"/>
          <w:sz w:val="18"/>
          <w:szCs w:val="18"/>
          <w:lang w:eastAsia="nl-NL"/>
        </w:rPr>
        <w:t>de</w:t>
      </w:r>
      <w:r w:rsidRPr="00276931">
        <w:rPr>
          <w:rFonts w:ascii="Verdana" w:hAnsi="Verdana"/>
          <w:sz w:val="18"/>
          <w:szCs w:val="18"/>
          <w:lang w:eastAsia="nl-NL"/>
        </w:rPr>
        <w:t xml:space="preserve"> betalingsverplichting naar aanleiding van een belastingaanslag niet of niet tijdig nakomt, kan er een betaalverzuimboete worden opgelegd door de Belastingdienst</w:t>
      </w:r>
      <w:r>
        <w:rPr>
          <w:rFonts w:ascii="Verdana" w:hAnsi="Verdana"/>
          <w:sz w:val="18"/>
          <w:szCs w:val="18"/>
          <w:lang w:eastAsia="nl-NL"/>
        </w:rPr>
        <w:t xml:space="preserve">. </w:t>
      </w:r>
      <w:r w:rsidR="00B32A0D">
        <w:rPr>
          <w:rFonts w:ascii="Verdana" w:hAnsi="Verdana"/>
          <w:sz w:val="18"/>
          <w:szCs w:val="18"/>
          <w:lang w:eastAsia="nl-NL"/>
        </w:rPr>
        <w:t xml:space="preserve">Op 1 juli 2021 is </w:t>
      </w:r>
      <w:r w:rsidRPr="000D1951" w:rsidR="00477B87">
        <w:rPr>
          <w:rFonts w:ascii="Verdana" w:hAnsi="Verdana"/>
          <w:sz w:val="18"/>
          <w:szCs w:val="18"/>
          <w:lang w:eastAsia="nl-NL"/>
        </w:rPr>
        <w:t>de Leidraad Invordering 2008 aangepast</w:t>
      </w:r>
      <w:r w:rsidR="00B32A0D">
        <w:rPr>
          <w:rFonts w:ascii="Verdana" w:hAnsi="Verdana"/>
          <w:sz w:val="18"/>
          <w:szCs w:val="18"/>
          <w:lang w:eastAsia="nl-NL"/>
        </w:rPr>
        <w:t xml:space="preserve"> waardoor deze betaalverzuimboetes lager werden</w:t>
      </w:r>
      <w:r w:rsidR="00BD7A2B">
        <w:rPr>
          <w:rStyle w:val="Voetnootmarkering"/>
          <w:rFonts w:ascii="Verdana" w:hAnsi="Verdana"/>
          <w:sz w:val="18"/>
          <w:szCs w:val="18"/>
          <w:lang w:eastAsia="nl-NL"/>
        </w:rPr>
        <w:footnoteReference w:id="11"/>
      </w:r>
      <w:r w:rsidR="00B32A0D">
        <w:rPr>
          <w:rFonts w:ascii="Verdana" w:hAnsi="Verdana"/>
          <w:sz w:val="18"/>
          <w:szCs w:val="18"/>
          <w:lang w:eastAsia="nl-NL"/>
        </w:rPr>
        <w:t xml:space="preserve">. Er </w:t>
      </w:r>
      <w:r w:rsidR="00477B87">
        <w:rPr>
          <w:rFonts w:ascii="Verdana" w:hAnsi="Verdana"/>
          <w:sz w:val="18"/>
          <w:szCs w:val="18"/>
          <w:lang w:eastAsia="nl-NL"/>
        </w:rPr>
        <w:t>ontstond een probleem</w:t>
      </w:r>
      <w:r w:rsidRPr="000D1951" w:rsidR="00477B87">
        <w:rPr>
          <w:rFonts w:ascii="Verdana" w:hAnsi="Verdana"/>
          <w:sz w:val="18"/>
          <w:szCs w:val="18"/>
          <w:lang w:eastAsia="nl-NL"/>
        </w:rPr>
        <w:t xml:space="preserve"> omdat een noodzakelijke wijziging in het automatiseringssysteem niet werd doorgevoerd. </w:t>
      </w:r>
      <w:r w:rsidR="000D1951">
        <w:rPr>
          <w:rFonts w:ascii="Verdana" w:hAnsi="Verdana"/>
          <w:sz w:val="18"/>
          <w:szCs w:val="18"/>
          <w:lang w:eastAsia="nl-NL"/>
        </w:rPr>
        <w:t>V</w:t>
      </w:r>
      <w:r w:rsidRPr="00276931" w:rsidR="002C4501">
        <w:rPr>
          <w:rFonts w:ascii="Verdana" w:hAnsi="Verdana"/>
          <w:sz w:val="18"/>
          <w:szCs w:val="18"/>
          <w:lang w:eastAsia="nl-NL"/>
        </w:rPr>
        <w:t xml:space="preserve">anaf 1 juli 2021 tot nu </w:t>
      </w:r>
      <w:r w:rsidR="000D1951">
        <w:rPr>
          <w:rFonts w:ascii="Verdana" w:hAnsi="Verdana"/>
          <w:sz w:val="18"/>
          <w:szCs w:val="18"/>
          <w:lang w:eastAsia="nl-NL"/>
        </w:rPr>
        <w:t>zijn ongeveer</w:t>
      </w:r>
      <w:r w:rsidRPr="00276931" w:rsidR="002C4501">
        <w:rPr>
          <w:rFonts w:ascii="Verdana" w:hAnsi="Verdana"/>
          <w:sz w:val="18"/>
          <w:szCs w:val="18"/>
          <w:lang w:eastAsia="nl-NL"/>
        </w:rPr>
        <w:t xml:space="preserve"> 15.000 betaalverzuimboetes ten onrechte </w:t>
      </w:r>
      <w:r w:rsidR="002C4501">
        <w:rPr>
          <w:rFonts w:ascii="Verdana" w:hAnsi="Verdana"/>
          <w:sz w:val="18"/>
          <w:szCs w:val="18"/>
          <w:lang w:eastAsia="nl-NL"/>
        </w:rPr>
        <w:t xml:space="preserve">niet </w:t>
      </w:r>
      <w:r w:rsidRPr="00276931" w:rsidR="002C4501">
        <w:rPr>
          <w:rFonts w:ascii="Verdana" w:hAnsi="Verdana"/>
          <w:sz w:val="18"/>
          <w:szCs w:val="18"/>
          <w:lang w:eastAsia="nl-NL"/>
        </w:rPr>
        <w:t>verlaagd</w:t>
      </w:r>
      <w:r w:rsidR="002C4501">
        <w:rPr>
          <w:rFonts w:ascii="Verdana" w:hAnsi="Verdana"/>
          <w:sz w:val="18"/>
          <w:szCs w:val="18"/>
          <w:lang w:eastAsia="nl-NL"/>
        </w:rPr>
        <w:t>.</w:t>
      </w:r>
      <w:r w:rsidRPr="00477B87" w:rsidR="00477B87">
        <w:rPr>
          <w:rFonts w:ascii="Verdana" w:hAnsi="Verdana"/>
          <w:sz w:val="18"/>
          <w:szCs w:val="18"/>
          <w:lang w:eastAsia="nl-NL"/>
        </w:rPr>
        <w:t xml:space="preserve"> </w:t>
      </w:r>
      <w:r w:rsidRPr="000D1951">
        <w:rPr>
          <w:rFonts w:ascii="Verdana" w:hAnsi="Verdana"/>
          <w:sz w:val="18"/>
          <w:szCs w:val="18"/>
          <w:lang w:eastAsia="nl-NL"/>
        </w:rPr>
        <w:t xml:space="preserve">Om dit te corrigeren, </w:t>
      </w:r>
      <w:r w:rsidRPr="00276931" w:rsidR="002C4501">
        <w:rPr>
          <w:rFonts w:ascii="Verdana" w:hAnsi="Verdana"/>
          <w:sz w:val="18"/>
          <w:szCs w:val="18"/>
          <w:lang w:eastAsia="nl-NL"/>
        </w:rPr>
        <w:t xml:space="preserve">is </w:t>
      </w:r>
      <w:r w:rsidR="00477B87">
        <w:rPr>
          <w:rFonts w:ascii="Verdana" w:hAnsi="Verdana"/>
          <w:sz w:val="18"/>
          <w:szCs w:val="18"/>
          <w:lang w:eastAsia="nl-NL"/>
        </w:rPr>
        <w:t xml:space="preserve">de Belastingdienst </w:t>
      </w:r>
      <w:r w:rsidR="002C4501">
        <w:rPr>
          <w:rFonts w:ascii="Verdana" w:hAnsi="Verdana"/>
          <w:sz w:val="18"/>
          <w:szCs w:val="18"/>
          <w:lang w:eastAsia="nl-NL"/>
        </w:rPr>
        <w:t>in september</w:t>
      </w:r>
      <w:r w:rsidRPr="00276931" w:rsidR="002C4501">
        <w:rPr>
          <w:rFonts w:ascii="Verdana" w:hAnsi="Verdana"/>
          <w:sz w:val="18"/>
          <w:szCs w:val="18"/>
          <w:lang w:eastAsia="nl-NL"/>
        </w:rPr>
        <w:t xml:space="preserve"> </w:t>
      </w:r>
      <w:r w:rsidR="00CA7DA0">
        <w:rPr>
          <w:rFonts w:ascii="Verdana" w:hAnsi="Verdana"/>
          <w:sz w:val="18"/>
          <w:szCs w:val="18"/>
          <w:lang w:eastAsia="nl-NL"/>
        </w:rPr>
        <w:t xml:space="preserve">2025 </w:t>
      </w:r>
      <w:r>
        <w:rPr>
          <w:rFonts w:ascii="Verdana" w:hAnsi="Verdana"/>
          <w:sz w:val="18"/>
          <w:szCs w:val="18"/>
          <w:lang w:eastAsia="nl-NL"/>
        </w:rPr>
        <w:t>begonnen met herstelwerkzaamheden. Deze herstelwerkzaamheden</w:t>
      </w:r>
      <w:r w:rsidRPr="00276931" w:rsidR="002C4501">
        <w:rPr>
          <w:rFonts w:ascii="Verdana" w:hAnsi="Verdana"/>
          <w:sz w:val="18"/>
          <w:szCs w:val="18"/>
          <w:lang w:eastAsia="nl-NL"/>
        </w:rPr>
        <w:t xml:space="preserve"> </w:t>
      </w:r>
      <w:r>
        <w:rPr>
          <w:rFonts w:ascii="Verdana" w:hAnsi="Verdana"/>
          <w:sz w:val="18"/>
          <w:szCs w:val="18"/>
          <w:lang w:eastAsia="nl-NL"/>
        </w:rPr>
        <w:t>worden</w:t>
      </w:r>
      <w:r w:rsidRPr="00276931">
        <w:rPr>
          <w:rFonts w:ascii="Verdana" w:hAnsi="Verdana"/>
          <w:sz w:val="18"/>
          <w:szCs w:val="18"/>
          <w:lang w:eastAsia="nl-NL"/>
        </w:rPr>
        <w:t xml:space="preserve"> </w:t>
      </w:r>
      <w:r w:rsidRPr="00276931" w:rsidR="002C4501">
        <w:rPr>
          <w:rFonts w:ascii="Verdana" w:hAnsi="Verdana"/>
          <w:sz w:val="18"/>
          <w:szCs w:val="18"/>
          <w:lang w:eastAsia="nl-NL"/>
        </w:rPr>
        <w:t xml:space="preserve">in het vierde kwartaal van 2025 afgerond. </w:t>
      </w:r>
      <w:r w:rsidRPr="00276931">
        <w:rPr>
          <w:rFonts w:ascii="Verdana" w:hAnsi="Verdana"/>
          <w:sz w:val="18"/>
          <w:szCs w:val="18"/>
          <w:lang w:eastAsia="nl-NL"/>
        </w:rPr>
        <w:t>Het totale herstelbedrag komt uit op ca. €</w:t>
      </w:r>
      <w:r w:rsidR="00AA2219">
        <w:rPr>
          <w:rFonts w:ascii="Verdana" w:hAnsi="Verdana"/>
          <w:sz w:val="18"/>
          <w:szCs w:val="18"/>
          <w:lang w:eastAsia="nl-NL"/>
        </w:rPr>
        <w:t xml:space="preserve"> </w:t>
      </w:r>
      <w:r w:rsidRPr="00276931">
        <w:rPr>
          <w:rFonts w:ascii="Verdana" w:hAnsi="Verdana"/>
          <w:sz w:val="18"/>
          <w:szCs w:val="18"/>
          <w:lang w:eastAsia="nl-NL"/>
        </w:rPr>
        <w:t>3,5 tot 4 miljoen</w:t>
      </w:r>
      <w:r>
        <w:rPr>
          <w:rFonts w:ascii="Verdana" w:hAnsi="Verdana"/>
          <w:sz w:val="18"/>
          <w:szCs w:val="18"/>
          <w:lang w:eastAsia="nl-NL"/>
        </w:rPr>
        <w:t xml:space="preserve"> en dit wordt </w:t>
      </w:r>
      <w:r w:rsidRPr="00276931">
        <w:rPr>
          <w:rFonts w:ascii="Verdana" w:hAnsi="Verdana"/>
          <w:sz w:val="18"/>
          <w:szCs w:val="18"/>
          <w:lang w:eastAsia="nl-NL"/>
        </w:rPr>
        <w:t>gedekt binnen de niet-belastingontvangsten van artikel 1 van de Financiënbegroting</w:t>
      </w:r>
      <w:r w:rsidRPr="00276931" w:rsidR="007A5414">
        <w:rPr>
          <w:rFonts w:ascii="Verdana" w:hAnsi="Verdana"/>
          <w:sz w:val="18"/>
          <w:szCs w:val="18"/>
          <w:lang w:eastAsia="nl-NL"/>
        </w:rPr>
        <w:t xml:space="preserve">. </w:t>
      </w:r>
    </w:p>
    <w:p w:rsidRPr="00E2202B" w:rsidR="00394196" w:rsidP="00E2202B" w:rsidRDefault="00394196" w14:paraId="109E7B23" w14:textId="585E583E">
      <w:pPr>
        <w:spacing w:after="0"/>
        <w:rPr>
          <w:rFonts w:ascii="Verdana" w:hAnsi="Verdana"/>
          <w:bCs/>
          <w:i/>
          <w:iCs/>
          <w:sz w:val="18"/>
          <w:szCs w:val="18"/>
        </w:rPr>
      </w:pPr>
      <w:r w:rsidRPr="00394196">
        <w:rPr>
          <w:rFonts w:ascii="Verdana" w:hAnsi="Verdana"/>
          <w:bCs/>
          <w:i/>
          <w:iCs/>
          <w:sz w:val="18"/>
          <w:szCs w:val="18"/>
        </w:rPr>
        <w:t>Waardering Onroerende Zaken</w:t>
      </w:r>
      <w:r>
        <w:rPr>
          <w:rFonts w:ascii="Verdana" w:hAnsi="Verdana"/>
          <w:bCs/>
          <w:i/>
          <w:iCs/>
          <w:sz w:val="18"/>
          <w:szCs w:val="18"/>
        </w:rPr>
        <w:t xml:space="preserve"> (WOZ)</w:t>
      </w:r>
    </w:p>
    <w:p w:rsidR="003C2080" w:rsidP="003C2080" w:rsidRDefault="00C53F31" w14:paraId="1A64E7EB" w14:textId="75B01E92">
      <w:pPr>
        <w:rPr>
          <w:rFonts w:ascii="Verdana" w:hAnsi="Verdana"/>
          <w:sz w:val="18"/>
          <w:szCs w:val="18"/>
        </w:rPr>
      </w:pPr>
      <w:r>
        <w:rPr>
          <w:rFonts w:ascii="Verdana" w:hAnsi="Verdana"/>
          <w:sz w:val="18"/>
          <w:szCs w:val="18"/>
        </w:rPr>
        <w:t xml:space="preserve">De Belastingdienst verwerkt wijzigingen in de WOZ-waarden die gemeentes maken automatisch in aanslagen voor inkomstenbelasting. </w:t>
      </w:r>
      <w:r w:rsidR="00FE4C3D">
        <w:rPr>
          <w:rFonts w:ascii="Verdana" w:hAnsi="Verdana"/>
          <w:sz w:val="18"/>
          <w:szCs w:val="18"/>
        </w:rPr>
        <w:t>Door de overgang van een oud</w:t>
      </w:r>
      <w:r w:rsidR="00705592">
        <w:rPr>
          <w:rFonts w:ascii="Verdana" w:hAnsi="Verdana"/>
          <w:sz w:val="18"/>
          <w:szCs w:val="18"/>
        </w:rPr>
        <w:t>e</w:t>
      </w:r>
      <w:r w:rsidR="00FE4C3D">
        <w:rPr>
          <w:rFonts w:ascii="Verdana" w:hAnsi="Verdana"/>
          <w:sz w:val="18"/>
          <w:szCs w:val="18"/>
        </w:rPr>
        <w:t xml:space="preserve"> naar </w:t>
      </w:r>
      <w:r w:rsidR="00705592">
        <w:rPr>
          <w:rFonts w:ascii="Verdana" w:hAnsi="Verdana"/>
          <w:sz w:val="18"/>
          <w:szCs w:val="18"/>
        </w:rPr>
        <w:t xml:space="preserve">een </w:t>
      </w:r>
      <w:r w:rsidR="00FE4C3D">
        <w:rPr>
          <w:rFonts w:ascii="Verdana" w:hAnsi="Verdana"/>
          <w:sz w:val="18"/>
          <w:szCs w:val="18"/>
        </w:rPr>
        <w:t>nieuw</w:t>
      </w:r>
      <w:r w:rsidR="00705592">
        <w:rPr>
          <w:rFonts w:ascii="Verdana" w:hAnsi="Verdana"/>
          <w:sz w:val="18"/>
          <w:szCs w:val="18"/>
        </w:rPr>
        <w:t>e</w:t>
      </w:r>
      <w:r w:rsidR="00FE4C3D">
        <w:rPr>
          <w:rFonts w:ascii="Verdana" w:hAnsi="Verdana"/>
          <w:sz w:val="18"/>
          <w:szCs w:val="18"/>
        </w:rPr>
        <w:t xml:space="preserve"> IV-voorziening zijn voor</w:t>
      </w:r>
      <w:r w:rsidRPr="003C2080" w:rsidR="003C2080">
        <w:rPr>
          <w:rFonts w:ascii="Verdana" w:hAnsi="Verdana"/>
          <w:sz w:val="18"/>
          <w:szCs w:val="18"/>
        </w:rPr>
        <w:t xml:space="preserve"> de belastingjaren 2021 tot en met 2023 wijzigingen in WOZ-waarden die gemeenten pas na afloop van het belastingjaar hebben doorgevoerd, niet </w:t>
      </w:r>
      <w:r w:rsidR="00FE4C3D">
        <w:rPr>
          <w:rFonts w:ascii="Verdana" w:hAnsi="Verdana"/>
          <w:sz w:val="18"/>
          <w:szCs w:val="18"/>
        </w:rPr>
        <w:t>ambtshalve</w:t>
      </w:r>
      <w:r w:rsidR="00705592">
        <w:rPr>
          <w:rFonts w:ascii="Verdana" w:hAnsi="Verdana"/>
          <w:sz w:val="18"/>
          <w:szCs w:val="18"/>
        </w:rPr>
        <w:t xml:space="preserve"> </w:t>
      </w:r>
      <w:r w:rsidRPr="003C2080" w:rsidR="00705592">
        <w:rPr>
          <w:rFonts w:ascii="Verdana" w:hAnsi="Verdana"/>
          <w:sz w:val="18"/>
          <w:szCs w:val="18"/>
        </w:rPr>
        <w:t xml:space="preserve">(dus automatisch door de Belastingdienst) </w:t>
      </w:r>
      <w:r w:rsidRPr="003C2080" w:rsidR="003C2080">
        <w:rPr>
          <w:rFonts w:ascii="Verdana" w:hAnsi="Verdana"/>
          <w:sz w:val="18"/>
          <w:szCs w:val="18"/>
        </w:rPr>
        <w:t>verwerkt. Dit is in strijd met artikel 18a van de Algemene wet inzake rijksbelastingen (AWR), waarin staat dat zulke wijzigingen ambtshalve moeten worden meegenomen.</w:t>
      </w:r>
      <w:r w:rsidR="003C2080">
        <w:rPr>
          <w:rFonts w:ascii="Verdana" w:hAnsi="Verdana"/>
          <w:sz w:val="18"/>
          <w:szCs w:val="18"/>
        </w:rPr>
        <w:t xml:space="preserve"> </w:t>
      </w:r>
      <w:r w:rsidRPr="003C2080" w:rsidR="003C2080">
        <w:rPr>
          <w:rFonts w:ascii="Verdana" w:hAnsi="Verdana"/>
          <w:sz w:val="18"/>
          <w:szCs w:val="18"/>
        </w:rPr>
        <w:t>Vanaf het belastingjaar 2024 worden aanpassingen in de WOZ-waarde weer correct verwerkt in de ambtshalve aanslagen.</w:t>
      </w:r>
    </w:p>
    <w:p w:rsidRPr="00276931" w:rsidR="00276931" w:rsidP="00E2202B" w:rsidRDefault="00276931" w14:paraId="2F65FA4A" w14:textId="3526532C">
      <w:pPr>
        <w:rPr>
          <w:rFonts w:ascii="Verdana" w:hAnsi="Verdana"/>
          <w:sz w:val="18"/>
          <w:szCs w:val="18"/>
        </w:rPr>
      </w:pPr>
      <w:r w:rsidRPr="00276931">
        <w:rPr>
          <w:rFonts w:ascii="Verdana" w:hAnsi="Verdana"/>
          <w:sz w:val="18"/>
          <w:szCs w:val="18"/>
        </w:rPr>
        <w:t xml:space="preserve">Hoewel burgers zelf correcties kunnen doorvoeren of bezwaar kunnen maken, leidt het ontbreken van automatische verwerking ertoe dat </w:t>
      </w:r>
      <w:r w:rsidR="00FE4C3D">
        <w:rPr>
          <w:rFonts w:ascii="Verdana" w:hAnsi="Verdana"/>
          <w:sz w:val="18"/>
          <w:szCs w:val="18"/>
        </w:rPr>
        <w:t xml:space="preserve">een aantal </w:t>
      </w:r>
      <w:r w:rsidRPr="00276931">
        <w:rPr>
          <w:rFonts w:ascii="Verdana" w:hAnsi="Verdana"/>
          <w:sz w:val="18"/>
          <w:szCs w:val="18"/>
        </w:rPr>
        <w:t>aanslagen niet ambtshalve worden aangepast. Burgers kunnen hierdoor een te hoge of te lage aanslag hebben ontvangen. Tijdens de parlementaire behandeling van de Wet herwaardering proceskostenvergoedingen WOZ en BPM in 2023 is hier aandacht voor geweest. Inmiddels is er een oplossing gevonden en zijn de voorbereidingen voor de herstelwerkzaamheden in gang gezet.</w:t>
      </w:r>
      <w:r w:rsidRPr="00276931">
        <w:rPr>
          <w:rFonts w:ascii="Verdana" w:hAnsi="Verdana"/>
          <w:sz w:val="18"/>
          <w:szCs w:val="18"/>
        </w:rPr>
        <w:br/>
      </w:r>
      <w:r w:rsidRPr="00276931">
        <w:rPr>
          <w:rFonts w:ascii="Verdana" w:hAnsi="Verdana"/>
          <w:sz w:val="18"/>
          <w:szCs w:val="18"/>
        </w:rPr>
        <w:br/>
        <w:t>Het herstel betreft de jaren 2021 tot en met 2023. In totaal zijn 7.543 aanslagen geraakt bij 12.522 burgers. De totale geschatte teruggaaf bedraagt circa €</w:t>
      </w:r>
      <w:r w:rsidR="00AA2219">
        <w:rPr>
          <w:rFonts w:ascii="Verdana" w:hAnsi="Verdana"/>
          <w:sz w:val="18"/>
          <w:szCs w:val="18"/>
        </w:rPr>
        <w:t xml:space="preserve"> </w:t>
      </w:r>
      <w:r w:rsidRPr="00276931">
        <w:rPr>
          <w:rFonts w:ascii="Verdana" w:hAnsi="Verdana"/>
          <w:sz w:val="18"/>
          <w:szCs w:val="18"/>
        </w:rPr>
        <w:t>1.200.000. Van dit bedrag heeft ongeveer €</w:t>
      </w:r>
      <w:r w:rsidR="00AA2219">
        <w:rPr>
          <w:rFonts w:ascii="Verdana" w:hAnsi="Verdana"/>
          <w:sz w:val="18"/>
          <w:szCs w:val="18"/>
        </w:rPr>
        <w:t xml:space="preserve"> </w:t>
      </w:r>
      <w:r w:rsidRPr="00276931">
        <w:rPr>
          <w:rFonts w:ascii="Verdana" w:hAnsi="Verdana"/>
          <w:sz w:val="18"/>
          <w:szCs w:val="18"/>
        </w:rPr>
        <w:t>460.000 betrekking op box 1, wat neerkomt op circa 90% van de gevallen. De overige 10% heeft betrekking op box 3 en bedraagt €</w:t>
      </w:r>
      <w:r w:rsidR="00AA2219">
        <w:rPr>
          <w:rFonts w:ascii="Verdana" w:hAnsi="Verdana"/>
          <w:sz w:val="18"/>
          <w:szCs w:val="18"/>
        </w:rPr>
        <w:t xml:space="preserve"> </w:t>
      </w:r>
      <w:r w:rsidRPr="00276931">
        <w:rPr>
          <w:rFonts w:ascii="Verdana" w:hAnsi="Verdana"/>
          <w:sz w:val="18"/>
          <w:szCs w:val="18"/>
        </w:rPr>
        <w:t>740.000.</w:t>
      </w:r>
    </w:p>
    <w:p w:rsidRPr="00276931" w:rsidR="00276931" w:rsidP="00276931" w:rsidRDefault="00276931" w14:paraId="763FA413" w14:textId="33CA276F">
      <w:pPr>
        <w:pStyle w:val="Normaalweb"/>
        <w:spacing w:before="120" w:beforeAutospacing="0" w:after="0" w:afterAutospacing="0"/>
        <w:rPr>
          <w:rFonts w:ascii="Verdana" w:hAnsi="Verdana"/>
          <w:sz w:val="18"/>
          <w:szCs w:val="18"/>
        </w:rPr>
      </w:pPr>
      <w:r w:rsidRPr="00276931">
        <w:rPr>
          <w:rFonts w:ascii="Verdana" w:hAnsi="Verdana"/>
          <w:sz w:val="18"/>
          <w:szCs w:val="18"/>
        </w:rPr>
        <w:t>De teruggaaf per aanslag verschilt afhankelijk van de mate van waardedaling. Voor box 1-woningen varieert de teruggaaf van minimaal €</w:t>
      </w:r>
      <w:r w:rsidR="00AA2219">
        <w:rPr>
          <w:rFonts w:ascii="Verdana" w:hAnsi="Verdana"/>
          <w:sz w:val="18"/>
          <w:szCs w:val="18"/>
        </w:rPr>
        <w:t xml:space="preserve"> </w:t>
      </w:r>
      <w:r w:rsidRPr="00276931">
        <w:rPr>
          <w:rFonts w:ascii="Verdana" w:hAnsi="Verdana"/>
          <w:sz w:val="18"/>
          <w:szCs w:val="18"/>
        </w:rPr>
        <w:t>38 tot maximaal €</w:t>
      </w:r>
      <w:r w:rsidR="00AA2219">
        <w:rPr>
          <w:rFonts w:ascii="Verdana" w:hAnsi="Verdana"/>
          <w:sz w:val="18"/>
          <w:szCs w:val="18"/>
        </w:rPr>
        <w:t xml:space="preserve"> </w:t>
      </w:r>
      <w:r w:rsidRPr="00276931">
        <w:rPr>
          <w:rFonts w:ascii="Verdana" w:hAnsi="Verdana"/>
          <w:sz w:val="18"/>
          <w:szCs w:val="18"/>
        </w:rPr>
        <w:t>96. De gemiddelde teruggaaf in box 1 bedraagt circa €</w:t>
      </w:r>
      <w:r w:rsidR="00776566">
        <w:rPr>
          <w:rFonts w:ascii="Verdana" w:hAnsi="Verdana"/>
          <w:sz w:val="18"/>
          <w:szCs w:val="18"/>
        </w:rPr>
        <w:t xml:space="preserve"> </w:t>
      </w:r>
      <w:r w:rsidRPr="00276931">
        <w:rPr>
          <w:rFonts w:ascii="Verdana" w:hAnsi="Verdana"/>
          <w:sz w:val="18"/>
          <w:szCs w:val="18"/>
        </w:rPr>
        <w:t>61. Voor box 3 varieert de teruggaaf van minimaal €</w:t>
      </w:r>
      <w:r w:rsidR="00AA2219">
        <w:rPr>
          <w:rFonts w:ascii="Verdana" w:hAnsi="Verdana"/>
          <w:sz w:val="18"/>
          <w:szCs w:val="18"/>
        </w:rPr>
        <w:t xml:space="preserve"> </w:t>
      </w:r>
      <w:r w:rsidRPr="00276931">
        <w:rPr>
          <w:rFonts w:ascii="Verdana" w:hAnsi="Verdana"/>
          <w:sz w:val="18"/>
          <w:szCs w:val="18"/>
        </w:rPr>
        <w:t>328 tot maximaal €</w:t>
      </w:r>
      <w:r w:rsidR="00776566">
        <w:rPr>
          <w:rFonts w:ascii="Verdana" w:hAnsi="Verdana"/>
          <w:sz w:val="18"/>
          <w:szCs w:val="18"/>
        </w:rPr>
        <w:t> </w:t>
      </w:r>
      <w:r w:rsidRPr="00276931">
        <w:rPr>
          <w:rFonts w:ascii="Verdana" w:hAnsi="Verdana"/>
          <w:sz w:val="18"/>
          <w:szCs w:val="18"/>
        </w:rPr>
        <w:t>1.631. De gemiddelde teruggaaf in box 3 bedraagt circa €</w:t>
      </w:r>
      <w:r w:rsidR="00AA2219">
        <w:rPr>
          <w:rFonts w:ascii="Verdana" w:hAnsi="Verdana"/>
          <w:sz w:val="18"/>
          <w:szCs w:val="18"/>
        </w:rPr>
        <w:t xml:space="preserve"> </w:t>
      </w:r>
      <w:r w:rsidRPr="00276931">
        <w:rPr>
          <w:rFonts w:ascii="Verdana" w:hAnsi="Verdana"/>
          <w:sz w:val="18"/>
          <w:szCs w:val="18"/>
        </w:rPr>
        <w:t>982.</w:t>
      </w:r>
    </w:p>
    <w:p w:rsidRPr="00276931" w:rsidR="00276931" w:rsidP="00276931" w:rsidRDefault="00276931" w14:paraId="028670C8" w14:textId="29BB0E80">
      <w:pPr>
        <w:pStyle w:val="Normaalweb"/>
        <w:spacing w:before="120" w:beforeAutospacing="0" w:after="0" w:afterAutospacing="0"/>
        <w:rPr>
          <w:rFonts w:ascii="Verdana" w:hAnsi="Verdana"/>
          <w:sz w:val="18"/>
          <w:szCs w:val="18"/>
        </w:rPr>
      </w:pPr>
      <w:r w:rsidRPr="00276931">
        <w:rPr>
          <w:rFonts w:ascii="Verdana" w:hAnsi="Verdana"/>
          <w:sz w:val="18"/>
          <w:szCs w:val="18"/>
        </w:rPr>
        <w:t>In minder dan 1% van de gevallen is sprake van een stijging van de WOZ-waarde. Voor deze gevallen wordt geen navordering opgelegd, aangezien de wettelijke termijn hiervoor is verstreken.</w:t>
      </w:r>
    </w:p>
    <w:p w:rsidR="00C57029" w:rsidP="00BD7A2B" w:rsidRDefault="00276931" w14:paraId="2C2C209D" w14:textId="42A80B29">
      <w:pPr>
        <w:pStyle w:val="Normaalweb"/>
        <w:spacing w:before="120" w:beforeAutospacing="0" w:after="0" w:afterAutospacing="0"/>
        <w:rPr>
          <w:rFonts w:ascii="Verdana" w:hAnsi="Verdana"/>
          <w:sz w:val="18"/>
          <w:szCs w:val="18"/>
        </w:rPr>
      </w:pPr>
      <w:r w:rsidRPr="00276931">
        <w:rPr>
          <w:rFonts w:ascii="Verdana" w:hAnsi="Verdana"/>
          <w:sz w:val="18"/>
          <w:szCs w:val="18"/>
        </w:rPr>
        <w:t xml:space="preserve">Wijzigingen van de WOZ-waarden worden inmiddels correct verwerkt, waardoor vanaf 2024 de juiste WOZ-waardewijzigingen zijn meegenomen in de ambtshalve aanslag. </w:t>
      </w:r>
      <w:r w:rsidR="00787469">
        <w:rPr>
          <w:rFonts w:ascii="Verdana" w:hAnsi="Verdana"/>
          <w:sz w:val="18"/>
          <w:szCs w:val="18"/>
        </w:rPr>
        <w:t xml:space="preserve">Er </w:t>
      </w:r>
      <w:r w:rsidRPr="00276931" w:rsidR="00787469">
        <w:rPr>
          <w:rFonts w:ascii="Verdana" w:hAnsi="Verdana"/>
          <w:sz w:val="18"/>
          <w:szCs w:val="18"/>
        </w:rPr>
        <w:t xml:space="preserve">wordt gewerkt </w:t>
      </w:r>
      <w:r w:rsidR="00787469">
        <w:rPr>
          <w:rFonts w:ascii="Verdana" w:hAnsi="Verdana"/>
          <w:sz w:val="18"/>
          <w:szCs w:val="18"/>
        </w:rPr>
        <w:t>a</w:t>
      </w:r>
      <w:r w:rsidRPr="00276931">
        <w:rPr>
          <w:rFonts w:ascii="Verdana" w:hAnsi="Verdana"/>
          <w:sz w:val="18"/>
          <w:szCs w:val="18"/>
        </w:rPr>
        <w:t>an een duurzame systeemoplossing. Daarnaast zijn de voorbereidingen voor de herstelwerkzaamheden in gang gezet. Medewerkers zijn opgeleid om deze werkzaamheden handmatig uit te voeren. In oktober</w:t>
      </w:r>
      <w:r w:rsidR="00787469">
        <w:rPr>
          <w:rFonts w:ascii="Verdana" w:hAnsi="Verdana"/>
          <w:sz w:val="18"/>
          <w:szCs w:val="18"/>
        </w:rPr>
        <w:t xml:space="preserve"> dit jaar is</w:t>
      </w:r>
      <w:r w:rsidRPr="00276931">
        <w:rPr>
          <w:rFonts w:ascii="Verdana" w:hAnsi="Verdana"/>
          <w:sz w:val="18"/>
          <w:szCs w:val="18"/>
        </w:rPr>
        <w:t xml:space="preserve"> gestart met de uitvoering van het herstel en de verwachting is dat in juli 2026 de herstelwerkzaamheden worden afgerond. Elke belastingplichtige waar de WOZ-waarde van is hersteld, ontvangt een bericht met uitleg. </w:t>
      </w:r>
      <w:r w:rsidRPr="00276931">
        <w:rPr>
          <w:rFonts w:ascii="Verdana" w:hAnsi="Verdana"/>
          <w:sz w:val="18"/>
          <w:szCs w:val="18"/>
        </w:rPr>
        <w:br/>
      </w:r>
      <w:r w:rsidRPr="00276931">
        <w:rPr>
          <w:rFonts w:ascii="Verdana" w:hAnsi="Verdana"/>
          <w:sz w:val="18"/>
          <w:szCs w:val="18"/>
        </w:rPr>
        <w:br/>
      </w:r>
      <w:r w:rsidR="00820690">
        <w:rPr>
          <w:rFonts w:ascii="Verdana" w:hAnsi="Verdana"/>
          <w:sz w:val="18"/>
          <w:szCs w:val="18"/>
        </w:rPr>
        <w:t>Deze verstoring</w:t>
      </w:r>
      <w:r w:rsidRPr="00276931">
        <w:rPr>
          <w:rFonts w:ascii="Verdana" w:hAnsi="Verdana"/>
          <w:sz w:val="18"/>
          <w:szCs w:val="18"/>
        </w:rPr>
        <w:t xml:space="preserve"> raakt </w:t>
      </w:r>
      <w:r w:rsidR="00B34E09">
        <w:rPr>
          <w:rFonts w:ascii="Verdana" w:hAnsi="Verdana"/>
          <w:sz w:val="18"/>
          <w:szCs w:val="18"/>
        </w:rPr>
        <w:t xml:space="preserve">ook </w:t>
      </w:r>
      <w:r w:rsidRPr="00276931">
        <w:rPr>
          <w:rFonts w:ascii="Verdana" w:hAnsi="Verdana"/>
          <w:sz w:val="18"/>
          <w:szCs w:val="18"/>
        </w:rPr>
        <w:t>aan de schenk- en erfbelasting</w:t>
      </w:r>
      <w:r w:rsidR="00B34E09">
        <w:rPr>
          <w:rFonts w:ascii="Verdana" w:hAnsi="Verdana"/>
          <w:sz w:val="18"/>
          <w:szCs w:val="18"/>
        </w:rPr>
        <w:t>.</w:t>
      </w:r>
      <w:r w:rsidRPr="00276931">
        <w:rPr>
          <w:rFonts w:ascii="Verdana" w:hAnsi="Verdana"/>
          <w:sz w:val="18"/>
          <w:szCs w:val="18"/>
        </w:rPr>
        <w:t xml:space="preserve"> </w:t>
      </w:r>
      <w:r w:rsidR="00B34E09">
        <w:rPr>
          <w:rFonts w:ascii="Verdana" w:hAnsi="Verdana"/>
          <w:sz w:val="18"/>
          <w:szCs w:val="18"/>
        </w:rPr>
        <w:t>D</w:t>
      </w:r>
      <w:r w:rsidRPr="00276931">
        <w:rPr>
          <w:rFonts w:ascii="Verdana" w:hAnsi="Verdana"/>
          <w:sz w:val="18"/>
          <w:szCs w:val="18"/>
        </w:rPr>
        <w:t xml:space="preserve">e gevolgen </w:t>
      </w:r>
      <w:r w:rsidR="00B34E09">
        <w:rPr>
          <w:rFonts w:ascii="Verdana" w:hAnsi="Verdana"/>
          <w:sz w:val="18"/>
          <w:szCs w:val="18"/>
        </w:rPr>
        <w:t>hierv</w:t>
      </w:r>
      <w:r w:rsidR="00820690">
        <w:rPr>
          <w:rFonts w:ascii="Verdana" w:hAnsi="Verdana"/>
          <w:sz w:val="18"/>
          <w:szCs w:val="18"/>
        </w:rPr>
        <w:t>an</w:t>
      </w:r>
      <w:r w:rsidR="00B34E09">
        <w:rPr>
          <w:rFonts w:ascii="Verdana" w:hAnsi="Verdana"/>
          <w:sz w:val="18"/>
          <w:szCs w:val="18"/>
        </w:rPr>
        <w:t xml:space="preserve"> </w:t>
      </w:r>
      <w:r w:rsidRPr="00276931">
        <w:rPr>
          <w:rFonts w:ascii="Verdana" w:hAnsi="Verdana"/>
          <w:sz w:val="18"/>
          <w:szCs w:val="18"/>
        </w:rPr>
        <w:t>worden momenteel onderzocht. Als er aanleiding voor is, zal ik uw Kamer hierover informeren.</w:t>
      </w:r>
    </w:p>
    <w:p w:rsidR="00383CCA" w:rsidP="00383CCA" w:rsidRDefault="00383CCA" w14:paraId="5A846E4A" w14:textId="77777777">
      <w:pPr>
        <w:spacing w:after="0"/>
        <w:rPr>
          <w:rFonts w:ascii="Verdana" w:hAnsi="Verdana"/>
          <w:b/>
          <w:bCs/>
          <w:sz w:val="18"/>
          <w:szCs w:val="18"/>
        </w:rPr>
      </w:pPr>
    </w:p>
    <w:p w:rsidRPr="00D905B4" w:rsidR="00383CCA" w:rsidP="00383CCA" w:rsidRDefault="00383CCA" w14:paraId="797B49EA" w14:textId="5AAA8385">
      <w:pPr>
        <w:spacing w:after="0"/>
        <w:rPr>
          <w:rFonts w:ascii="Verdana" w:hAnsi="Verdana"/>
          <w:i/>
          <w:iCs/>
          <w:sz w:val="18"/>
          <w:szCs w:val="18"/>
        </w:rPr>
      </w:pPr>
      <w:r w:rsidRPr="00D905B4">
        <w:rPr>
          <w:rFonts w:ascii="Verdana" w:hAnsi="Verdana"/>
          <w:i/>
          <w:iCs/>
          <w:sz w:val="18"/>
          <w:szCs w:val="18"/>
        </w:rPr>
        <w:t>Tegemoetkomingsbeleid Fraudesignaleringsvoorziening</w:t>
      </w:r>
    </w:p>
    <w:p w:rsidRPr="001E66C9" w:rsidR="00A26FEA" w:rsidP="00A26FEA" w:rsidRDefault="00A26FEA" w14:paraId="74292287" w14:textId="43C10E85">
      <w:pPr>
        <w:rPr>
          <w:rFonts w:ascii="Verdana" w:hAnsi="Verdana"/>
          <w:sz w:val="18"/>
          <w:szCs w:val="18"/>
        </w:rPr>
      </w:pPr>
      <w:r w:rsidRPr="001E66C9">
        <w:rPr>
          <w:rFonts w:ascii="Verdana" w:hAnsi="Verdana"/>
          <w:sz w:val="18"/>
          <w:szCs w:val="18"/>
        </w:rPr>
        <w:t xml:space="preserve">De Raad van State heeft op 18 juni </w:t>
      </w:r>
      <w:r>
        <w:rPr>
          <w:rFonts w:ascii="Verdana" w:hAnsi="Verdana"/>
          <w:sz w:val="18"/>
          <w:szCs w:val="18"/>
        </w:rPr>
        <w:t xml:space="preserve">jl. </w:t>
      </w:r>
      <w:r w:rsidRPr="001E66C9">
        <w:rPr>
          <w:rFonts w:ascii="Verdana" w:hAnsi="Verdana"/>
          <w:sz w:val="18"/>
          <w:szCs w:val="18"/>
        </w:rPr>
        <w:t xml:space="preserve">een uitspraak gedaan </w:t>
      </w:r>
      <w:r>
        <w:rPr>
          <w:rFonts w:ascii="Verdana" w:hAnsi="Verdana"/>
          <w:sz w:val="18"/>
          <w:szCs w:val="18"/>
        </w:rPr>
        <w:t>die raakt aan</w:t>
      </w:r>
      <w:r w:rsidRPr="001E66C9">
        <w:rPr>
          <w:rFonts w:ascii="Verdana" w:hAnsi="Verdana"/>
          <w:sz w:val="18"/>
          <w:szCs w:val="18"/>
        </w:rPr>
        <w:t xml:space="preserve"> </w:t>
      </w:r>
      <w:r>
        <w:rPr>
          <w:rFonts w:ascii="Verdana" w:hAnsi="Verdana"/>
          <w:sz w:val="18"/>
          <w:szCs w:val="18"/>
        </w:rPr>
        <w:t>het Fraudesignaleringsvoorziening (FSV)-tegemoetkomingsbeleid</w:t>
      </w:r>
      <w:r w:rsidRPr="001E66C9">
        <w:rPr>
          <w:rStyle w:val="Voetnootmarkering"/>
          <w:rFonts w:ascii="Verdana" w:hAnsi="Verdana"/>
          <w:sz w:val="18"/>
          <w:szCs w:val="18"/>
        </w:rPr>
        <w:footnoteReference w:id="12"/>
      </w:r>
      <w:r w:rsidRPr="001E66C9">
        <w:rPr>
          <w:rFonts w:ascii="Verdana" w:hAnsi="Verdana"/>
          <w:sz w:val="18"/>
          <w:szCs w:val="18"/>
        </w:rPr>
        <w:t xml:space="preserve">. De FSV was een applicatie die de Belastingdienst sinds 2012 gebruikte om uiteenlopende </w:t>
      </w:r>
      <w:r>
        <w:rPr>
          <w:rFonts w:ascii="Verdana" w:hAnsi="Verdana"/>
          <w:sz w:val="18"/>
          <w:szCs w:val="18"/>
        </w:rPr>
        <w:t>(fraude)</w:t>
      </w:r>
      <w:r w:rsidRPr="001E66C9">
        <w:rPr>
          <w:rFonts w:ascii="Verdana" w:hAnsi="Verdana"/>
          <w:sz w:val="18"/>
          <w:szCs w:val="18"/>
        </w:rPr>
        <w:t>signalen te registreren. In februari 2020 is de FSV stopgezet</w:t>
      </w:r>
      <w:r>
        <w:rPr>
          <w:rFonts w:ascii="Verdana" w:hAnsi="Verdana"/>
          <w:sz w:val="18"/>
          <w:szCs w:val="18"/>
        </w:rPr>
        <w:t xml:space="preserve"> en is nagegaan of de </w:t>
      </w:r>
      <w:r w:rsidRPr="001E66C9">
        <w:rPr>
          <w:rFonts w:ascii="Verdana" w:hAnsi="Verdana"/>
          <w:sz w:val="18"/>
          <w:szCs w:val="18"/>
        </w:rPr>
        <w:t xml:space="preserve">ongeveer 290.000 mensen </w:t>
      </w:r>
      <w:r>
        <w:rPr>
          <w:rFonts w:ascii="Verdana" w:hAnsi="Verdana"/>
          <w:sz w:val="18"/>
          <w:szCs w:val="18"/>
        </w:rPr>
        <w:t xml:space="preserve">die in FSV waren opgenomen, hier nadelige of onterechte effecten van hebben ondervonden en of zij in aanmerking komen voor een tegemoetkoming. Deze burgers zijn hierover </w:t>
      </w:r>
      <w:r w:rsidRPr="001E66C9">
        <w:rPr>
          <w:rFonts w:ascii="Verdana" w:hAnsi="Verdana"/>
          <w:sz w:val="18"/>
          <w:szCs w:val="18"/>
        </w:rPr>
        <w:t>geïnformeerd</w:t>
      </w:r>
      <w:r>
        <w:rPr>
          <w:rFonts w:ascii="Verdana" w:hAnsi="Verdana"/>
          <w:sz w:val="18"/>
          <w:szCs w:val="18"/>
        </w:rPr>
        <w:t xml:space="preserve"> met een </w:t>
      </w:r>
      <w:r w:rsidRPr="001E66C9">
        <w:rPr>
          <w:rFonts w:ascii="Verdana" w:hAnsi="Verdana"/>
          <w:sz w:val="18"/>
          <w:szCs w:val="18"/>
        </w:rPr>
        <w:lastRenderedPageBreak/>
        <w:t>zogeheten ‘afsluitende brief’.</w:t>
      </w:r>
      <w:r>
        <w:rPr>
          <w:rFonts w:ascii="Verdana" w:hAnsi="Verdana"/>
          <w:sz w:val="18"/>
          <w:szCs w:val="18"/>
        </w:rPr>
        <w:t xml:space="preserve"> Over de tijdlijn van het stopzetten van FSV en het opzetten van het tegemoetkomingsbeleid is uw Kamer onder andere in de </w:t>
      </w:r>
      <w:r w:rsidR="00DC5DFF">
        <w:rPr>
          <w:rFonts w:ascii="Verdana" w:hAnsi="Verdana"/>
          <w:sz w:val="18"/>
          <w:szCs w:val="18"/>
        </w:rPr>
        <w:t xml:space="preserve">stand-van-zakenbrief </w:t>
      </w:r>
      <w:r>
        <w:rPr>
          <w:rFonts w:ascii="Verdana" w:hAnsi="Verdana"/>
          <w:sz w:val="18"/>
          <w:szCs w:val="18"/>
        </w:rPr>
        <w:t>van 6 maart 2025 geïnformeerd via de ‘</w:t>
      </w:r>
      <w:r w:rsidRPr="00D0533F">
        <w:rPr>
          <w:rFonts w:ascii="Verdana" w:hAnsi="Verdana"/>
          <w:sz w:val="18"/>
          <w:szCs w:val="18"/>
        </w:rPr>
        <w:t>Aanvulling Eindrapport Motie Snels</w:t>
      </w:r>
      <w:r>
        <w:rPr>
          <w:rFonts w:ascii="Verdana" w:hAnsi="Verdana"/>
          <w:sz w:val="18"/>
          <w:szCs w:val="18"/>
        </w:rPr>
        <w:t>’</w:t>
      </w:r>
      <w:r>
        <w:rPr>
          <w:rStyle w:val="Voetnootmarkering"/>
          <w:rFonts w:ascii="Verdana" w:hAnsi="Verdana"/>
          <w:sz w:val="18"/>
          <w:szCs w:val="18"/>
        </w:rPr>
        <w:footnoteReference w:id="13"/>
      </w:r>
      <w:r>
        <w:rPr>
          <w:rFonts w:ascii="Verdana" w:hAnsi="Verdana"/>
          <w:sz w:val="18"/>
          <w:szCs w:val="18"/>
        </w:rPr>
        <w:t>.</w:t>
      </w:r>
    </w:p>
    <w:p w:rsidRPr="001E66C9" w:rsidR="00A26FEA" w:rsidP="00A26FEA" w:rsidRDefault="00A26FEA" w14:paraId="691E8B94" w14:textId="5C7BFC1B">
      <w:pPr>
        <w:rPr>
          <w:rFonts w:ascii="Verdana" w:hAnsi="Verdana"/>
          <w:sz w:val="18"/>
          <w:szCs w:val="18"/>
        </w:rPr>
      </w:pPr>
      <w:r>
        <w:rPr>
          <w:rFonts w:ascii="Verdana" w:hAnsi="Verdana"/>
          <w:sz w:val="18"/>
          <w:szCs w:val="18"/>
        </w:rPr>
        <w:t>De Raad van State heeft op 18 juni jl.</w:t>
      </w:r>
      <w:r w:rsidRPr="001E66C9">
        <w:rPr>
          <w:rFonts w:ascii="Verdana" w:hAnsi="Verdana"/>
          <w:sz w:val="18"/>
          <w:szCs w:val="18"/>
        </w:rPr>
        <w:t xml:space="preserve"> </w:t>
      </w:r>
      <w:r>
        <w:rPr>
          <w:rFonts w:ascii="Verdana" w:hAnsi="Verdana"/>
          <w:sz w:val="18"/>
          <w:szCs w:val="18"/>
        </w:rPr>
        <w:t xml:space="preserve">een uitspraak gedaan waaruit blijkt </w:t>
      </w:r>
      <w:r w:rsidRPr="001E66C9">
        <w:rPr>
          <w:rFonts w:ascii="Verdana" w:hAnsi="Verdana"/>
          <w:sz w:val="18"/>
          <w:szCs w:val="18"/>
        </w:rPr>
        <w:t>dat de</w:t>
      </w:r>
      <w:r>
        <w:rPr>
          <w:rFonts w:ascii="Verdana" w:hAnsi="Verdana"/>
          <w:sz w:val="18"/>
          <w:szCs w:val="18"/>
        </w:rPr>
        <w:t>ze afsluitende brief</w:t>
      </w:r>
      <w:r w:rsidRPr="001E66C9">
        <w:rPr>
          <w:rFonts w:ascii="Verdana" w:hAnsi="Verdana"/>
          <w:sz w:val="18"/>
          <w:szCs w:val="18"/>
        </w:rPr>
        <w:t xml:space="preserve"> </w:t>
      </w:r>
      <w:r>
        <w:rPr>
          <w:rFonts w:ascii="Verdana" w:hAnsi="Verdana"/>
          <w:sz w:val="18"/>
          <w:szCs w:val="18"/>
        </w:rPr>
        <w:t xml:space="preserve">een bestuursrechtelijk </w:t>
      </w:r>
      <w:r w:rsidRPr="001E66C9">
        <w:rPr>
          <w:rFonts w:ascii="Verdana" w:hAnsi="Verdana"/>
          <w:sz w:val="18"/>
          <w:szCs w:val="18"/>
        </w:rPr>
        <w:t xml:space="preserve">besluit is waartegen in FSV geregistreerde burgers bezwaar </w:t>
      </w:r>
      <w:r>
        <w:rPr>
          <w:rFonts w:ascii="Verdana" w:hAnsi="Verdana"/>
          <w:sz w:val="18"/>
          <w:szCs w:val="18"/>
        </w:rPr>
        <w:t xml:space="preserve">kunnen maken bij de Belastingdienst </w:t>
      </w:r>
      <w:r w:rsidRPr="001E66C9">
        <w:rPr>
          <w:rFonts w:ascii="Verdana" w:hAnsi="Verdana"/>
          <w:sz w:val="18"/>
          <w:szCs w:val="18"/>
        </w:rPr>
        <w:t xml:space="preserve">en beroep kunnen </w:t>
      </w:r>
      <w:r>
        <w:rPr>
          <w:rFonts w:ascii="Verdana" w:hAnsi="Verdana"/>
          <w:sz w:val="18"/>
          <w:szCs w:val="18"/>
        </w:rPr>
        <w:t xml:space="preserve">instellen </w:t>
      </w:r>
      <w:r w:rsidRPr="001E66C9">
        <w:rPr>
          <w:rFonts w:ascii="Verdana" w:hAnsi="Verdana"/>
          <w:sz w:val="18"/>
          <w:szCs w:val="18"/>
        </w:rPr>
        <w:t>bij de bestuursrechter.</w:t>
      </w:r>
      <w:r>
        <w:rPr>
          <w:rFonts w:ascii="Verdana" w:hAnsi="Verdana"/>
          <w:sz w:val="18"/>
          <w:szCs w:val="18"/>
        </w:rPr>
        <w:t xml:space="preserve"> De Belastingdienst volgt deze uitspraak en zal op een later moment een ruime termijn kenbaar maken waarbinnen deze burgers bezwaar kunnen maken tegen hun afsluitende brief. Die termijn wordt op een later moment aangekondigd, aangezien er op dit moment nog verschillende rechts- en (hoger) beroepszaken lopen over het FSV-tegemoetkomingsbeleid. Uitspraken in deze zaken kunnen invloed hebben op het tegemoetkomingsbeleid. Ik hou</w:t>
      </w:r>
      <w:r w:rsidR="007410A8">
        <w:rPr>
          <w:rFonts w:ascii="Verdana" w:hAnsi="Verdana"/>
          <w:sz w:val="18"/>
          <w:szCs w:val="18"/>
        </w:rPr>
        <w:t>d</w:t>
      </w:r>
      <w:r>
        <w:rPr>
          <w:rFonts w:ascii="Verdana" w:hAnsi="Verdana"/>
          <w:sz w:val="18"/>
          <w:szCs w:val="18"/>
        </w:rPr>
        <w:t xml:space="preserve"> uw Kamer op de hoogte van de verdere afhandeling van het FSV-tegemoetkomingsbeleid.</w:t>
      </w:r>
    </w:p>
    <w:p w:rsidR="00383CCA" w:rsidP="00BD7A2B" w:rsidRDefault="00383CCA" w14:paraId="1DB3100B" w14:textId="77777777">
      <w:pPr>
        <w:pStyle w:val="Normaalweb"/>
        <w:spacing w:before="120" w:beforeAutospacing="0" w:after="0" w:afterAutospacing="0"/>
        <w:rPr>
          <w:rFonts w:ascii="Verdana" w:hAnsi="Verdana"/>
          <w:sz w:val="18"/>
          <w:szCs w:val="18"/>
        </w:rPr>
      </w:pPr>
    </w:p>
    <w:p w:rsidR="00383CCA" w:rsidRDefault="00383CCA" w14:paraId="6D3A2713" w14:textId="238C2D79">
      <w:pPr>
        <w:rPr>
          <w:rFonts w:ascii="Verdana" w:hAnsi="Verdana" w:eastAsia="Times New Roman" w:cs="Aptos"/>
          <w:b/>
          <w:bCs/>
          <w:sz w:val="18"/>
          <w:szCs w:val="18"/>
          <w14:ligatures w14:val="standardContextual"/>
        </w:rPr>
      </w:pPr>
      <w:r>
        <w:rPr>
          <w:rFonts w:ascii="Verdana" w:hAnsi="Verdana" w:eastAsia="Times New Roman" w:cs="Aptos"/>
          <w:b/>
          <w:bCs/>
          <w:sz w:val="18"/>
          <w:szCs w:val="18"/>
          <w14:ligatures w14:val="standardContextual"/>
        </w:rPr>
        <w:br w:type="page"/>
      </w:r>
    </w:p>
    <w:p w:rsidRPr="00D94D6A" w:rsidR="007A5414" w:rsidP="00D94D6A" w:rsidRDefault="00D94D6A" w14:paraId="0D42EA52" w14:textId="6A8E3953">
      <w:pPr>
        <w:spacing w:after="0" w:line="240" w:lineRule="auto"/>
        <w:rPr>
          <w:rFonts w:ascii="Verdana" w:hAnsi="Verdana" w:eastAsia="Times New Roman" w:cs="Aptos"/>
          <w:b/>
          <w:bCs/>
          <w:sz w:val="18"/>
          <w:szCs w:val="18"/>
          <w14:ligatures w14:val="standardContextual"/>
        </w:rPr>
      </w:pPr>
      <w:r w:rsidRPr="00D94D6A">
        <w:rPr>
          <w:rFonts w:ascii="Verdana" w:hAnsi="Verdana" w:eastAsia="Times New Roman" w:cs="Aptos"/>
          <w:b/>
          <w:bCs/>
          <w:sz w:val="18"/>
          <w:szCs w:val="18"/>
          <w14:ligatures w14:val="standardContextual"/>
        </w:rPr>
        <w:lastRenderedPageBreak/>
        <w:t xml:space="preserve">II. </w:t>
      </w:r>
      <w:r w:rsidRPr="00D94D6A" w:rsidR="00276931">
        <w:rPr>
          <w:rFonts w:ascii="Verdana" w:hAnsi="Verdana" w:eastAsia="Times New Roman" w:cs="Aptos"/>
          <w:b/>
          <w:bCs/>
          <w:sz w:val="18"/>
          <w:szCs w:val="18"/>
          <w14:ligatures w14:val="standardContextual"/>
        </w:rPr>
        <w:t>Basis op orde</w:t>
      </w:r>
    </w:p>
    <w:p w:rsidRPr="00276931" w:rsidR="00276931" w:rsidP="00276931" w:rsidRDefault="00276931" w14:paraId="680EF9C3" w14:textId="77777777">
      <w:pPr>
        <w:pStyle w:val="Lijstalinea"/>
        <w:spacing w:after="0" w:line="240" w:lineRule="auto"/>
        <w:rPr>
          <w:rFonts w:ascii="Verdana" w:hAnsi="Verdana" w:eastAsia="Times New Roman" w:cs="Aptos"/>
          <w:b/>
          <w:bCs/>
          <w:sz w:val="18"/>
          <w:szCs w:val="18"/>
          <w14:ligatures w14:val="standardContextual"/>
        </w:rPr>
      </w:pPr>
    </w:p>
    <w:p w:rsidRPr="00276931" w:rsidR="000114EC" w:rsidP="000114EC" w:rsidRDefault="007F29E6" w14:paraId="4ADBC13A" w14:textId="4732D971">
      <w:pPr>
        <w:rPr>
          <w:rFonts w:ascii="Verdana" w:hAnsi="Verdana" w:eastAsia="Verdana" w:cs="Verdana"/>
          <w:b/>
          <w:bCs/>
          <w:sz w:val="18"/>
          <w:szCs w:val="18"/>
        </w:rPr>
      </w:pPr>
      <w:r>
        <w:rPr>
          <w:rFonts w:ascii="Verdana" w:hAnsi="Verdana" w:eastAsia="Verdana" w:cs="Verdana"/>
          <w:b/>
          <w:bCs/>
          <w:sz w:val="18"/>
          <w:szCs w:val="18"/>
        </w:rPr>
        <w:t>8</w:t>
      </w:r>
      <w:r w:rsidRPr="00276931" w:rsidR="000114EC">
        <w:rPr>
          <w:rFonts w:ascii="Verdana" w:hAnsi="Verdana" w:eastAsia="Verdana" w:cs="Verdana"/>
          <w:b/>
          <w:bCs/>
          <w:sz w:val="18"/>
          <w:szCs w:val="18"/>
        </w:rPr>
        <w:t>. Platform GDA</w:t>
      </w:r>
    </w:p>
    <w:p w:rsidRPr="00276931" w:rsidR="00B12093" w:rsidP="00B12093" w:rsidRDefault="000114EC" w14:paraId="13E10A45" w14:textId="2541BF99">
      <w:pPr>
        <w:rPr>
          <w:rFonts w:ascii="Verdana" w:hAnsi="Verdana"/>
          <w:sz w:val="18"/>
          <w:szCs w:val="18"/>
        </w:rPr>
      </w:pPr>
      <w:r w:rsidRPr="00B12093">
        <w:rPr>
          <w:rFonts w:ascii="Verdana" w:hAnsi="Verdana"/>
          <w:sz w:val="18"/>
          <w:szCs w:val="18"/>
        </w:rPr>
        <w:t xml:space="preserve">Het op orde brengen van de archivering bij de Belastingdienst is essentieel </w:t>
      </w:r>
      <w:r w:rsidR="002637AA">
        <w:rPr>
          <w:rFonts w:ascii="Verdana" w:hAnsi="Verdana"/>
          <w:sz w:val="18"/>
          <w:szCs w:val="18"/>
        </w:rPr>
        <w:t>om burgers en ondernemers sneller te kunnen helpen en</w:t>
      </w:r>
      <w:r w:rsidRPr="00B12093" w:rsidR="002637AA">
        <w:rPr>
          <w:rFonts w:ascii="Verdana" w:hAnsi="Verdana"/>
          <w:sz w:val="18"/>
          <w:szCs w:val="18"/>
        </w:rPr>
        <w:t xml:space="preserve"> </w:t>
      </w:r>
      <w:r w:rsidRPr="00B12093">
        <w:rPr>
          <w:rFonts w:ascii="Verdana" w:hAnsi="Verdana"/>
          <w:sz w:val="18"/>
          <w:szCs w:val="18"/>
        </w:rPr>
        <w:t>om informatie gecontroleerd te gebruiken en transparantie te bevorderen.</w:t>
      </w:r>
      <w:r w:rsidR="0077327B">
        <w:rPr>
          <w:rFonts w:ascii="Verdana" w:hAnsi="Verdana"/>
          <w:sz w:val="18"/>
          <w:szCs w:val="18"/>
        </w:rPr>
        <w:t xml:space="preserve"> </w:t>
      </w:r>
      <w:r w:rsidRPr="00B12093" w:rsidR="00B12093">
        <w:rPr>
          <w:rFonts w:ascii="Verdana" w:hAnsi="Verdana"/>
          <w:sz w:val="18"/>
          <w:szCs w:val="18"/>
        </w:rPr>
        <w:t xml:space="preserve">Daarom is op 22 augustus </w:t>
      </w:r>
      <w:r w:rsidR="003A162A">
        <w:rPr>
          <w:rFonts w:ascii="Verdana" w:hAnsi="Verdana"/>
          <w:sz w:val="18"/>
          <w:szCs w:val="18"/>
        </w:rPr>
        <w:t>dit jaar</w:t>
      </w:r>
      <w:r w:rsidRPr="00B12093" w:rsidR="00B12093">
        <w:rPr>
          <w:rFonts w:ascii="Verdana" w:hAnsi="Verdana"/>
          <w:sz w:val="18"/>
          <w:szCs w:val="18"/>
        </w:rPr>
        <w:t xml:space="preserve"> een nieuw systeem in gebruik genomen</w:t>
      </w:r>
      <w:r w:rsidR="005D57FE">
        <w:rPr>
          <w:rFonts w:ascii="Verdana" w:hAnsi="Verdana"/>
          <w:sz w:val="18"/>
          <w:szCs w:val="18"/>
        </w:rPr>
        <w:t>, het</w:t>
      </w:r>
      <w:r w:rsidRPr="00B12093" w:rsidR="00B12093">
        <w:rPr>
          <w:rFonts w:ascii="Verdana" w:hAnsi="Verdana"/>
          <w:sz w:val="18"/>
          <w:szCs w:val="18"/>
        </w:rPr>
        <w:t xml:space="preserve"> </w:t>
      </w:r>
      <w:r w:rsidRPr="00B12093">
        <w:rPr>
          <w:rFonts w:ascii="Verdana" w:hAnsi="Verdana"/>
          <w:sz w:val="18"/>
          <w:szCs w:val="18"/>
        </w:rPr>
        <w:t>Generiek platform voor Document en Archiefbeheer (GDA)</w:t>
      </w:r>
      <w:r w:rsidR="00164F2F">
        <w:rPr>
          <w:rFonts w:ascii="Verdana" w:hAnsi="Verdana"/>
          <w:sz w:val="18"/>
          <w:szCs w:val="18"/>
        </w:rPr>
        <w:t>.</w:t>
      </w:r>
      <w:r w:rsidRPr="00B12093">
        <w:rPr>
          <w:rFonts w:ascii="Verdana" w:hAnsi="Verdana"/>
          <w:sz w:val="18"/>
          <w:szCs w:val="18"/>
        </w:rPr>
        <w:t xml:space="preserve"> </w:t>
      </w:r>
      <w:r w:rsidRPr="002B2C94" w:rsidR="00B12093">
        <w:rPr>
          <w:rFonts w:ascii="Verdana" w:hAnsi="Verdana" w:cs="Segoe UI"/>
          <w:color w:val="242424"/>
          <w:sz w:val="18"/>
          <w:szCs w:val="18"/>
        </w:rPr>
        <w:t>Dit systeem helpt om ontvangen en verzonden documenten automatisch op te slaan en terug te vinden. Medewerkers kunnen zo gemakkelijk de juiste documenten opzoeken</w:t>
      </w:r>
      <w:r w:rsidR="00B12093">
        <w:rPr>
          <w:rFonts w:ascii="Verdana" w:hAnsi="Verdana" w:cs="Segoe UI"/>
          <w:color w:val="242424"/>
          <w:sz w:val="18"/>
          <w:szCs w:val="18"/>
        </w:rPr>
        <w:t xml:space="preserve"> en veilig </w:t>
      </w:r>
      <w:r w:rsidRPr="00B12093" w:rsidR="00B12093">
        <w:rPr>
          <w:rFonts w:ascii="Verdana" w:hAnsi="Verdana"/>
          <w:sz w:val="18"/>
          <w:szCs w:val="18"/>
        </w:rPr>
        <w:t xml:space="preserve">duurzaam archiveren. </w:t>
      </w:r>
      <w:r w:rsidR="00164F2F">
        <w:rPr>
          <w:rFonts w:ascii="Verdana" w:hAnsi="Verdana"/>
          <w:sz w:val="18"/>
          <w:szCs w:val="18"/>
        </w:rPr>
        <w:t>M</w:t>
      </w:r>
      <w:r w:rsidRPr="00B12093" w:rsidR="00164F2F">
        <w:rPr>
          <w:rFonts w:ascii="Verdana" w:hAnsi="Verdana"/>
          <w:sz w:val="18"/>
          <w:szCs w:val="18"/>
        </w:rPr>
        <w:t xml:space="preserve">et deze nieuwe, centrale voorziening </w:t>
      </w:r>
      <w:r w:rsidR="00164F2F">
        <w:rPr>
          <w:rFonts w:ascii="Verdana" w:hAnsi="Verdana"/>
          <w:sz w:val="18"/>
          <w:szCs w:val="18"/>
        </w:rPr>
        <w:t xml:space="preserve">worden medewerkers </w:t>
      </w:r>
      <w:r w:rsidRPr="00B12093" w:rsidR="00164F2F">
        <w:rPr>
          <w:rFonts w:ascii="Verdana" w:hAnsi="Verdana"/>
          <w:sz w:val="18"/>
          <w:szCs w:val="18"/>
        </w:rPr>
        <w:t xml:space="preserve">ondersteund bij het op orde brengen van hun informatiehuishouding. </w:t>
      </w:r>
      <w:r w:rsidRPr="00B12093" w:rsidR="00B12093">
        <w:rPr>
          <w:rFonts w:ascii="Verdana" w:hAnsi="Verdana"/>
          <w:sz w:val="18"/>
          <w:szCs w:val="18"/>
        </w:rPr>
        <w:t>Daarmee wordt een belangrijke stap gezet richting een toekomstbestendige informatievoorziening die</w:t>
      </w:r>
      <w:r w:rsidR="00FF651C">
        <w:rPr>
          <w:rFonts w:ascii="Verdana" w:hAnsi="Verdana"/>
          <w:sz w:val="18"/>
          <w:szCs w:val="18"/>
        </w:rPr>
        <w:t xml:space="preserve"> ook in de toekomst</w:t>
      </w:r>
      <w:r w:rsidRPr="00B12093" w:rsidR="00B12093">
        <w:rPr>
          <w:rFonts w:ascii="Verdana" w:hAnsi="Verdana"/>
          <w:sz w:val="18"/>
          <w:szCs w:val="18"/>
        </w:rPr>
        <w:t xml:space="preserve"> voldoet aan wet- en regelgeving, waaronder de Modernisering Elektronisch Berichtenverkeer, de Keuzeregeling Elektronisch Berichtenverkeer en</w:t>
      </w:r>
      <w:r w:rsidRPr="00276931" w:rsidR="00B12093">
        <w:rPr>
          <w:rFonts w:ascii="Verdana" w:hAnsi="Verdana"/>
          <w:sz w:val="18"/>
          <w:szCs w:val="18"/>
        </w:rPr>
        <w:t xml:space="preserve"> de in 2025 aangenomen nieuwe Archiefwet.</w:t>
      </w:r>
      <w:r w:rsidR="007D1341">
        <w:rPr>
          <w:rFonts w:ascii="Verdana" w:hAnsi="Verdana"/>
          <w:sz w:val="18"/>
          <w:szCs w:val="18"/>
        </w:rPr>
        <w:t xml:space="preserve"> De ontwikkeling van het platform GDA was dan ook een belangrijk project in het </w:t>
      </w:r>
      <w:r w:rsidRPr="007D1341" w:rsidR="007D1341">
        <w:rPr>
          <w:rFonts w:ascii="Verdana" w:hAnsi="Verdana"/>
          <w:sz w:val="18"/>
          <w:szCs w:val="18"/>
        </w:rPr>
        <w:t>Meerjarenplan Openbaarheid en Informatiehuishouding ministerie van Financiën 2025-2026</w:t>
      </w:r>
      <w:r w:rsidR="007D1341">
        <w:rPr>
          <w:rFonts w:ascii="Verdana" w:hAnsi="Verdana"/>
          <w:sz w:val="18"/>
          <w:szCs w:val="18"/>
        </w:rPr>
        <w:t xml:space="preserve">, wat als </w:t>
      </w:r>
      <w:r w:rsidRPr="007D1341" w:rsidR="007D1341">
        <w:rPr>
          <w:rFonts w:ascii="Verdana" w:hAnsi="Verdana"/>
          <w:sz w:val="18"/>
          <w:szCs w:val="18"/>
        </w:rPr>
        <w:t>doel</w:t>
      </w:r>
      <w:r w:rsidR="007D1341">
        <w:rPr>
          <w:rFonts w:ascii="Verdana" w:hAnsi="Verdana"/>
          <w:sz w:val="18"/>
          <w:szCs w:val="18"/>
        </w:rPr>
        <w:t xml:space="preserve"> heeft</w:t>
      </w:r>
      <w:r w:rsidRPr="007D1341" w:rsidR="007D1341">
        <w:rPr>
          <w:rFonts w:ascii="Verdana" w:hAnsi="Verdana"/>
          <w:sz w:val="18"/>
          <w:szCs w:val="18"/>
        </w:rPr>
        <w:t xml:space="preserve"> de informatiehuishouding en de informatievoorziening te verbeteren</w:t>
      </w:r>
      <w:r w:rsidR="007D1341">
        <w:rPr>
          <w:rStyle w:val="Voetnootmarkering"/>
          <w:rFonts w:ascii="Verdana" w:hAnsi="Verdana"/>
          <w:sz w:val="18"/>
          <w:szCs w:val="18"/>
        </w:rPr>
        <w:footnoteReference w:id="14"/>
      </w:r>
      <w:r w:rsidRPr="007D1341" w:rsidR="007D1341">
        <w:rPr>
          <w:rFonts w:ascii="Verdana" w:hAnsi="Verdana"/>
          <w:sz w:val="18"/>
          <w:szCs w:val="18"/>
        </w:rPr>
        <w:t>.</w:t>
      </w:r>
    </w:p>
    <w:p w:rsidRPr="00276931" w:rsidR="000114EC" w:rsidP="000114EC" w:rsidRDefault="000114EC" w14:paraId="2A356869" w14:textId="1B837120">
      <w:pPr>
        <w:ind w:left="-5"/>
        <w:rPr>
          <w:rFonts w:ascii="Verdana" w:hAnsi="Verdana"/>
          <w:sz w:val="18"/>
          <w:szCs w:val="18"/>
        </w:rPr>
      </w:pPr>
      <w:r w:rsidRPr="00276931">
        <w:rPr>
          <w:rFonts w:ascii="Verdana" w:hAnsi="Verdana"/>
          <w:sz w:val="18"/>
          <w:szCs w:val="18"/>
        </w:rPr>
        <w:t>Samen met de keten</w:t>
      </w:r>
      <w:r w:rsidR="00CA7DA0">
        <w:rPr>
          <w:rFonts w:ascii="Verdana" w:hAnsi="Verdana"/>
          <w:sz w:val="18"/>
          <w:szCs w:val="18"/>
        </w:rPr>
        <w:t>s</w:t>
      </w:r>
      <w:r w:rsidRPr="00276931">
        <w:rPr>
          <w:rFonts w:ascii="Verdana" w:hAnsi="Verdana"/>
          <w:sz w:val="18"/>
          <w:szCs w:val="18"/>
        </w:rPr>
        <w:t xml:space="preserve"> Omzetbelasting</w:t>
      </w:r>
      <w:r w:rsidR="00CA7DA0">
        <w:rPr>
          <w:rFonts w:ascii="Verdana" w:hAnsi="Verdana"/>
          <w:sz w:val="18"/>
          <w:szCs w:val="18"/>
        </w:rPr>
        <w:t xml:space="preserve"> (OB)</w:t>
      </w:r>
      <w:r w:rsidR="00260E80">
        <w:rPr>
          <w:rFonts w:ascii="Verdana" w:hAnsi="Verdana"/>
          <w:sz w:val="18"/>
          <w:szCs w:val="18"/>
        </w:rPr>
        <w:t xml:space="preserve"> en S</w:t>
      </w:r>
      <w:r w:rsidR="00CA7DA0">
        <w:rPr>
          <w:rFonts w:ascii="Verdana" w:hAnsi="Verdana"/>
          <w:sz w:val="18"/>
          <w:szCs w:val="18"/>
        </w:rPr>
        <w:t>chenk- en Erfbelasting (S&amp;E)</w:t>
      </w:r>
      <w:r w:rsidRPr="00276931">
        <w:rPr>
          <w:rFonts w:ascii="Verdana" w:hAnsi="Verdana"/>
          <w:sz w:val="18"/>
          <w:szCs w:val="18"/>
        </w:rPr>
        <w:t xml:space="preserve"> is de eerste aansluiting op GDA gerealiseerd. Documenten </w:t>
      </w:r>
      <w:r w:rsidR="00BB5DF0">
        <w:rPr>
          <w:rFonts w:ascii="Verdana" w:hAnsi="Verdana"/>
          <w:sz w:val="18"/>
          <w:szCs w:val="18"/>
        </w:rPr>
        <w:t>uit deze keten</w:t>
      </w:r>
      <w:r w:rsidR="007410A8">
        <w:rPr>
          <w:rFonts w:ascii="Verdana" w:hAnsi="Verdana"/>
          <w:sz w:val="18"/>
          <w:szCs w:val="18"/>
        </w:rPr>
        <w:t>s</w:t>
      </w:r>
      <w:r w:rsidR="00BB5DF0">
        <w:rPr>
          <w:rFonts w:ascii="Verdana" w:hAnsi="Verdana"/>
          <w:sz w:val="18"/>
          <w:szCs w:val="18"/>
        </w:rPr>
        <w:t xml:space="preserve"> </w:t>
      </w:r>
      <w:r w:rsidRPr="00276931">
        <w:rPr>
          <w:rFonts w:ascii="Verdana" w:hAnsi="Verdana"/>
          <w:sz w:val="18"/>
          <w:szCs w:val="18"/>
        </w:rPr>
        <w:t>worden na opmaak en verzending, automatisch gearchiveerd in GDA. Geautoriseerde gebruikers van de keten kunnen zo eenvoudig de verzonden documenten opzoeken en inzien.</w:t>
      </w:r>
    </w:p>
    <w:p w:rsidRPr="001D1A3B" w:rsidR="00D34A1B" w:rsidP="002B2C94" w:rsidRDefault="00DA6FDA" w14:paraId="677A4D4D" w14:textId="0D51BC12">
      <w:pPr>
        <w:rPr>
          <w:rFonts w:ascii="Segoe UI" w:hAnsi="Segoe UI" w:cs="Segoe UI"/>
          <w:color w:val="242424"/>
          <w:sz w:val="21"/>
          <w:szCs w:val="21"/>
        </w:rPr>
      </w:pPr>
      <w:r>
        <w:rPr>
          <w:rFonts w:ascii="Verdana" w:hAnsi="Verdana"/>
          <w:sz w:val="18"/>
          <w:szCs w:val="18"/>
        </w:rPr>
        <w:t xml:space="preserve">De Belastingdienst heeft in 2024 een advies ontvangen </w:t>
      </w:r>
      <w:r w:rsidR="00B12093">
        <w:rPr>
          <w:rFonts w:ascii="Verdana" w:hAnsi="Verdana"/>
          <w:sz w:val="18"/>
          <w:szCs w:val="18"/>
        </w:rPr>
        <w:t xml:space="preserve">van </w:t>
      </w:r>
      <w:r w:rsidR="00201307">
        <w:rPr>
          <w:rFonts w:ascii="Verdana" w:hAnsi="Verdana"/>
          <w:sz w:val="18"/>
          <w:szCs w:val="18"/>
        </w:rPr>
        <w:t>het</w:t>
      </w:r>
      <w:r w:rsidR="00B12093">
        <w:rPr>
          <w:rFonts w:ascii="Verdana" w:hAnsi="Verdana"/>
          <w:sz w:val="18"/>
          <w:szCs w:val="18"/>
        </w:rPr>
        <w:t xml:space="preserve"> </w:t>
      </w:r>
      <w:r w:rsidRPr="00276931" w:rsidR="000114EC">
        <w:rPr>
          <w:rFonts w:ascii="Verdana" w:hAnsi="Verdana"/>
          <w:sz w:val="18"/>
          <w:szCs w:val="18"/>
        </w:rPr>
        <w:t>Adviesco</w:t>
      </w:r>
      <w:r w:rsidR="00201307">
        <w:rPr>
          <w:rFonts w:ascii="Verdana" w:hAnsi="Verdana"/>
          <w:sz w:val="18"/>
          <w:szCs w:val="18"/>
        </w:rPr>
        <w:t>llege</w:t>
      </w:r>
      <w:r w:rsidRPr="00276931" w:rsidR="000114EC">
        <w:rPr>
          <w:rFonts w:ascii="Verdana" w:hAnsi="Verdana"/>
          <w:sz w:val="18"/>
          <w:szCs w:val="18"/>
        </w:rPr>
        <w:t xml:space="preserve"> ICT</w:t>
      </w:r>
      <w:r w:rsidR="006846AD">
        <w:rPr>
          <w:rFonts w:ascii="Verdana" w:hAnsi="Verdana"/>
          <w:sz w:val="18"/>
          <w:szCs w:val="18"/>
        </w:rPr>
        <w:t>-Toetsing</w:t>
      </w:r>
      <w:r w:rsidRPr="00276931" w:rsidR="000114EC">
        <w:rPr>
          <w:rFonts w:ascii="Verdana" w:hAnsi="Verdana"/>
          <w:sz w:val="18"/>
          <w:szCs w:val="18"/>
        </w:rPr>
        <w:t xml:space="preserve"> (AcICT)</w:t>
      </w:r>
      <w:r>
        <w:rPr>
          <w:rFonts w:ascii="Verdana" w:hAnsi="Verdana"/>
          <w:sz w:val="18"/>
          <w:szCs w:val="18"/>
        </w:rPr>
        <w:t xml:space="preserve"> over GDA</w:t>
      </w:r>
      <w:r w:rsidRPr="00276931" w:rsidR="000114EC">
        <w:rPr>
          <w:rFonts w:ascii="Verdana" w:hAnsi="Verdana"/>
          <w:sz w:val="18"/>
          <w:szCs w:val="18"/>
        </w:rPr>
        <w:t xml:space="preserve">. Mijn ambtsvoorganger heeft </w:t>
      </w:r>
      <w:r w:rsidRPr="00276931" w:rsidR="00B44A5B">
        <w:rPr>
          <w:rFonts w:ascii="Verdana" w:hAnsi="Verdana"/>
          <w:sz w:val="18"/>
          <w:szCs w:val="18"/>
        </w:rPr>
        <w:t xml:space="preserve">uw Kamer hierover </w:t>
      </w:r>
      <w:r w:rsidRPr="00276931" w:rsidR="000114EC">
        <w:rPr>
          <w:rFonts w:ascii="Verdana" w:hAnsi="Verdana"/>
          <w:sz w:val="18"/>
          <w:szCs w:val="18"/>
        </w:rPr>
        <w:t>op 11 maart 202</w:t>
      </w:r>
      <w:r w:rsidR="00DC5DFF">
        <w:rPr>
          <w:rFonts w:ascii="Verdana" w:hAnsi="Verdana"/>
          <w:sz w:val="18"/>
          <w:szCs w:val="18"/>
        </w:rPr>
        <w:t>4</w:t>
      </w:r>
      <w:r w:rsidRPr="00276931" w:rsidR="000114EC">
        <w:rPr>
          <w:rFonts w:ascii="Verdana" w:hAnsi="Verdana"/>
          <w:sz w:val="18"/>
          <w:szCs w:val="18"/>
        </w:rPr>
        <w:t xml:space="preserve">  geïnformeerd en </w:t>
      </w:r>
      <w:r w:rsidR="00D92493">
        <w:rPr>
          <w:rFonts w:ascii="Verdana" w:hAnsi="Verdana"/>
          <w:sz w:val="18"/>
          <w:szCs w:val="18"/>
        </w:rPr>
        <w:t>a</w:t>
      </w:r>
      <w:r w:rsidRPr="006846AD" w:rsidR="006846AD">
        <w:rPr>
          <w:rFonts w:ascii="Verdana" w:hAnsi="Verdana"/>
          <w:sz w:val="18"/>
          <w:szCs w:val="18"/>
        </w:rPr>
        <w:t xml:space="preserve">angegeven welke acties </w:t>
      </w:r>
      <w:r w:rsidR="00B44A5B">
        <w:rPr>
          <w:rFonts w:ascii="Verdana" w:hAnsi="Verdana"/>
          <w:sz w:val="18"/>
          <w:szCs w:val="18"/>
        </w:rPr>
        <w:t xml:space="preserve">de Belastingdienst </w:t>
      </w:r>
      <w:r w:rsidRPr="006846AD" w:rsidR="006846AD">
        <w:rPr>
          <w:rFonts w:ascii="Verdana" w:hAnsi="Verdana"/>
          <w:sz w:val="18"/>
          <w:szCs w:val="18"/>
        </w:rPr>
        <w:t>aan d</w:t>
      </w:r>
      <w:r w:rsidR="00201307">
        <w:rPr>
          <w:rFonts w:ascii="Verdana" w:hAnsi="Verdana"/>
          <w:sz w:val="18"/>
          <w:szCs w:val="18"/>
        </w:rPr>
        <w:t>it</w:t>
      </w:r>
      <w:r w:rsidRPr="006846AD" w:rsidR="006846AD">
        <w:rPr>
          <w:rFonts w:ascii="Verdana" w:hAnsi="Verdana"/>
          <w:sz w:val="18"/>
          <w:szCs w:val="18"/>
        </w:rPr>
        <w:t xml:space="preserve"> advie</w:t>
      </w:r>
      <w:r w:rsidR="00201307">
        <w:rPr>
          <w:rFonts w:ascii="Verdana" w:hAnsi="Verdana"/>
          <w:sz w:val="18"/>
          <w:szCs w:val="18"/>
        </w:rPr>
        <w:t>s</w:t>
      </w:r>
      <w:r w:rsidRPr="006846AD" w:rsidR="006846AD">
        <w:rPr>
          <w:rFonts w:ascii="Verdana" w:hAnsi="Verdana"/>
          <w:sz w:val="18"/>
          <w:szCs w:val="18"/>
        </w:rPr>
        <w:t xml:space="preserve"> </w:t>
      </w:r>
      <w:r w:rsidR="005D57FE">
        <w:rPr>
          <w:rFonts w:ascii="Verdana" w:hAnsi="Verdana"/>
          <w:sz w:val="18"/>
          <w:szCs w:val="18"/>
        </w:rPr>
        <w:t xml:space="preserve">heeft </w:t>
      </w:r>
      <w:r w:rsidRPr="006846AD" w:rsidR="006846AD">
        <w:rPr>
          <w:rFonts w:ascii="Verdana" w:hAnsi="Verdana"/>
          <w:sz w:val="18"/>
          <w:szCs w:val="18"/>
        </w:rPr>
        <w:t>verbonden</w:t>
      </w:r>
      <w:r w:rsidRPr="00276931" w:rsidR="000114EC">
        <w:rPr>
          <w:rFonts w:ascii="Verdana" w:hAnsi="Verdana"/>
          <w:sz w:val="18"/>
          <w:szCs w:val="18"/>
        </w:rPr>
        <w:t>.</w:t>
      </w:r>
      <w:r w:rsidR="00DC5DFF">
        <w:rPr>
          <w:rStyle w:val="Voetnootmarkering"/>
          <w:rFonts w:ascii="Verdana" w:hAnsi="Verdana"/>
          <w:sz w:val="18"/>
          <w:szCs w:val="18"/>
        </w:rPr>
        <w:footnoteReference w:id="15"/>
      </w:r>
      <w:r w:rsidRPr="00276931" w:rsidR="000114EC">
        <w:rPr>
          <w:rFonts w:ascii="Verdana" w:hAnsi="Verdana"/>
          <w:sz w:val="18"/>
          <w:szCs w:val="18"/>
        </w:rPr>
        <w:t xml:space="preserve"> </w:t>
      </w:r>
      <w:bookmarkStart w:name="_Hlk212544761" w:id="9"/>
      <w:r w:rsidRPr="00276931" w:rsidR="000114EC">
        <w:rPr>
          <w:rFonts w:ascii="Verdana" w:hAnsi="Verdana"/>
          <w:sz w:val="18"/>
          <w:szCs w:val="18"/>
        </w:rPr>
        <w:t>Mede dankzij de</w:t>
      </w:r>
      <w:r>
        <w:rPr>
          <w:rFonts w:ascii="Verdana" w:hAnsi="Verdana"/>
          <w:sz w:val="18"/>
          <w:szCs w:val="18"/>
        </w:rPr>
        <w:t>ze</w:t>
      </w:r>
      <w:r w:rsidRPr="00276931" w:rsidR="000114EC">
        <w:rPr>
          <w:rFonts w:ascii="Verdana" w:hAnsi="Verdana"/>
          <w:sz w:val="18"/>
          <w:szCs w:val="18"/>
        </w:rPr>
        <w:t xml:space="preserve"> </w:t>
      </w:r>
      <w:r>
        <w:rPr>
          <w:rFonts w:ascii="Verdana" w:hAnsi="Verdana"/>
          <w:sz w:val="18"/>
          <w:szCs w:val="18"/>
        </w:rPr>
        <w:t xml:space="preserve">ingezette acties </w:t>
      </w:r>
      <w:r w:rsidR="00B44A5B">
        <w:rPr>
          <w:rFonts w:ascii="Verdana" w:hAnsi="Verdana"/>
          <w:sz w:val="18"/>
          <w:szCs w:val="18"/>
        </w:rPr>
        <w:t>is</w:t>
      </w:r>
      <w:r w:rsidRPr="00276931" w:rsidR="000114EC">
        <w:rPr>
          <w:rFonts w:ascii="Verdana" w:hAnsi="Verdana"/>
          <w:sz w:val="18"/>
          <w:szCs w:val="18"/>
        </w:rPr>
        <w:t xml:space="preserve"> het programma </w:t>
      </w:r>
      <w:r w:rsidR="00B44A5B">
        <w:rPr>
          <w:rFonts w:ascii="Verdana" w:hAnsi="Verdana"/>
          <w:sz w:val="18"/>
          <w:szCs w:val="18"/>
        </w:rPr>
        <w:t>versneld</w:t>
      </w:r>
      <w:r w:rsidRPr="00276931" w:rsidR="000114EC">
        <w:rPr>
          <w:rFonts w:ascii="Verdana" w:hAnsi="Verdana"/>
          <w:sz w:val="18"/>
          <w:szCs w:val="18"/>
        </w:rPr>
        <w:t xml:space="preserve"> en is de eerste versie van GDA conform planning opgeleverd.</w:t>
      </w:r>
      <w:bookmarkEnd w:id="9"/>
      <w:r w:rsidRPr="00276931" w:rsidR="000114EC">
        <w:rPr>
          <w:rFonts w:ascii="Verdana" w:hAnsi="Verdana"/>
          <w:sz w:val="18"/>
          <w:szCs w:val="18"/>
        </w:rPr>
        <w:t xml:space="preserve"> </w:t>
      </w:r>
      <w:bookmarkStart w:name="_Hlk212544834" w:id="10"/>
      <w:r w:rsidRPr="00D067FC" w:rsidR="001D1A3B">
        <w:rPr>
          <w:rFonts w:ascii="Verdana" w:hAnsi="Verdana"/>
          <w:sz w:val="18"/>
          <w:szCs w:val="18"/>
        </w:rPr>
        <w:t xml:space="preserve">Er worden vanaf nu continu nieuwe ketens en stromen op GDA aangesloten. Dit jaar </w:t>
      </w:r>
      <w:r>
        <w:rPr>
          <w:rFonts w:ascii="Verdana" w:hAnsi="Verdana"/>
          <w:sz w:val="18"/>
          <w:szCs w:val="18"/>
        </w:rPr>
        <w:t>worden</w:t>
      </w:r>
      <w:r w:rsidRPr="00D067FC" w:rsidR="001D1A3B">
        <w:rPr>
          <w:rFonts w:ascii="Verdana" w:hAnsi="Verdana"/>
          <w:sz w:val="18"/>
          <w:szCs w:val="18"/>
        </w:rPr>
        <w:t xml:space="preserve"> </w:t>
      </w:r>
      <w:r w:rsidR="001D1A3B">
        <w:rPr>
          <w:rFonts w:ascii="Verdana" w:hAnsi="Verdana"/>
          <w:sz w:val="18"/>
          <w:szCs w:val="18"/>
        </w:rPr>
        <w:t>de systemen van Lage-Inkomensvoordeel aa</w:t>
      </w:r>
      <w:r w:rsidRPr="00D067FC" w:rsidR="001D1A3B">
        <w:rPr>
          <w:rFonts w:ascii="Verdana" w:hAnsi="Verdana"/>
          <w:sz w:val="18"/>
          <w:szCs w:val="18"/>
        </w:rPr>
        <w:t>n</w:t>
      </w:r>
      <w:r>
        <w:rPr>
          <w:rFonts w:ascii="Verdana" w:hAnsi="Verdana"/>
          <w:sz w:val="18"/>
          <w:szCs w:val="18"/>
        </w:rPr>
        <w:t>gesloten</w:t>
      </w:r>
      <w:r w:rsidR="00B44A5B">
        <w:rPr>
          <w:rFonts w:ascii="Verdana" w:hAnsi="Verdana"/>
          <w:sz w:val="18"/>
          <w:szCs w:val="18"/>
        </w:rPr>
        <w:t xml:space="preserve"> en b</w:t>
      </w:r>
      <w:r w:rsidRPr="00D067FC" w:rsidR="001D1A3B">
        <w:rPr>
          <w:rFonts w:ascii="Verdana" w:hAnsi="Verdana"/>
          <w:sz w:val="18"/>
          <w:szCs w:val="18"/>
        </w:rPr>
        <w:t xml:space="preserve">egin volgend jaar </w:t>
      </w:r>
      <w:r>
        <w:rPr>
          <w:rFonts w:ascii="Verdana" w:hAnsi="Verdana"/>
          <w:sz w:val="18"/>
          <w:szCs w:val="18"/>
        </w:rPr>
        <w:t xml:space="preserve">volgen </w:t>
      </w:r>
      <w:r w:rsidRPr="00D067FC" w:rsidR="001D1A3B">
        <w:rPr>
          <w:rFonts w:ascii="Verdana" w:hAnsi="Verdana"/>
          <w:sz w:val="18"/>
          <w:szCs w:val="18"/>
        </w:rPr>
        <w:t xml:space="preserve">de portalen van </w:t>
      </w:r>
      <w:r w:rsidR="001D1A3B">
        <w:rPr>
          <w:rFonts w:ascii="Verdana" w:hAnsi="Verdana"/>
          <w:sz w:val="18"/>
          <w:szCs w:val="18"/>
        </w:rPr>
        <w:t xml:space="preserve">de keten </w:t>
      </w:r>
      <w:r w:rsidRPr="00D067FC" w:rsidR="001D1A3B">
        <w:rPr>
          <w:rFonts w:ascii="Verdana" w:hAnsi="Verdana"/>
          <w:sz w:val="18"/>
          <w:szCs w:val="18"/>
        </w:rPr>
        <w:t>Interactie</w:t>
      </w:r>
      <w:r w:rsidR="001D1A3B">
        <w:rPr>
          <w:rFonts w:ascii="Verdana" w:hAnsi="Verdana"/>
          <w:sz w:val="18"/>
          <w:szCs w:val="18"/>
        </w:rPr>
        <w:t>.</w:t>
      </w:r>
      <w:bookmarkStart w:name="_Hlk212544861" w:id="11"/>
      <w:bookmarkEnd w:id="10"/>
      <w:r w:rsidR="005A3E38">
        <w:rPr>
          <w:rFonts w:ascii="Verdana" w:hAnsi="Verdana"/>
          <w:sz w:val="18"/>
          <w:szCs w:val="18"/>
        </w:rPr>
        <w:t xml:space="preserve"> </w:t>
      </w:r>
      <w:r w:rsidRPr="005A3E38" w:rsidR="005A3E38">
        <w:rPr>
          <w:rFonts w:ascii="Verdana" w:hAnsi="Verdana"/>
          <w:sz w:val="18"/>
          <w:szCs w:val="18"/>
        </w:rPr>
        <w:t xml:space="preserve">Het streven is om </w:t>
      </w:r>
      <w:r w:rsidR="00B44A5B">
        <w:rPr>
          <w:rFonts w:ascii="Verdana" w:hAnsi="Verdana"/>
          <w:sz w:val="18"/>
          <w:szCs w:val="18"/>
        </w:rPr>
        <w:t>in 2026</w:t>
      </w:r>
      <w:r w:rsidRPr="005A3E38" w:rsidR="005A3E38">
        <w:rPr>
          <w:rFonts w:ascii="Verdana" w:hAnsi="Verdana"/>
          <w:sz w:val="18"/>
          <w:szCs w:val="18"/>
        </w:rPr>
        <w:t xml:space="preserve"> voor elke keten</w:t>
      </w:r>
      <w:r w:rsidR="005A3E38">
        <w:rPr>
          <w:rFonts w:ascii="Verdana" w:hAnsi="Verdana"/>
          <w:sz w:val="18"/>
          <w:szCs w:val="18"/>
        </w:rPr>
        <w:t xml:space="preserve"> van de Belastingdienst</w:t>
      </w:r>
      <w:r w:rsidRPr="005A3E38" w:rsidR="005A3E38">
        <w:rPr>
          <w:rFonts w:ascii="Verdana" w:hAnsi="Verdana"/>
          <w:sz w:val="18"/>
          <w:szCs w:val="18"/>
        </w:rPr>
        <w:t xml:space="preserve"> minimaal 1 stroom aangesloten te hebben</w:t>
      </w:r>
      <w:r w:rsidR="005A3E38">
        <w:rPr>
          <w:rFonts w:ascii="Verdana" w:hAnsi="Verdana"/>
          <w:sz w:val="18"/>
          <w:szCs w:val="18"/>
        </w:rPr>
        <w:t>.</w:t>
      </w:r>
      <w:r w:rsidR="00C32C0A">
        <w:rPr>
          <w:rFonts w:ascii="Verdana" w:hAnsi="Verdana"/>
          <w:sz w:val="18"/>
          <w:szCs w:val="18"/>
        </w:rPr>
        <w:t xml:space="preserve"> </w:t>
      </w:r>
      <w:bookmarkStart w:name="_Hlk213318425" w:id="12"/>
      <w:r w:rsidR="00C32C0A">
        <w:rPr>
          <w:rFonts w:ascii="Verdana" w:hAnsi="Verdana"/>
          <w:sz w:val="18"/>
          <w:szCs w:val="18"/>
        </w:rPr>
        <w:t xml:space="preserve">Het programma loopt tot 2029 en de verwachting is dat nagenoeg alle documentstromen tegen die tijd zullen zijn overgeplaatst naar GDA. </w:t>
      </w:r>
      <w:bookmarkEnd w:id="12"/>
    </w:p>
    <w:p w:rsidRPr="00276931" w:rsidR="008E0957" w:rsidP="008E0957" w:rsidRDefault="007F29E6" w14:paraId="75C80BE2" w14:textId="373CB7BC">
      <w:pPr>
        <w:rPr>
          <w:rFonts w:ascii="Verdana" w:hAnsi="Verdana" w:eastAsia="Verdana" w:cs="Verdana"/>
          <w:b/>
          <w:bCs/>
          <w:sz w:val="18"/>
          <w:szCs w:val="18"/>
        </w:rPr>
      </w:pPr>
      <w:bookmarkStart w:name="_Hlk210050601" w:id="13"/>
      <w:bookmarkStart w:name="_Hlk210294437" w:id="14"/>
      <w:bookmarkEnd w:id="11"/>
      <w:r>
        <w:rPr>
          <w:rFonts w:ascii="Verdana" w:hAnsi="Verdana" w:eastAsia="Verdana" w:cs="Verdana"/>
          <w:b/>
          <w:bCs/>
          <w:sz w:val="18"/>
          <w:szCs w:val="18"/>
        </w:rPr>
        <w:t>9</w:t>
      </w:r>
      <w:r w:rsidRPr="00276931" w:rsidR="008E0957">
        <w:rPr>
          <w:rFonts w:ascii="Verdana" w:hAnsi="Verdana" w:eastAsia="Verdana" w:cs="Verdana"/>
          <w:b/>
          <w:bCs/>
          <w:sz w:val="18"/>
          <w:szCs w:val="18"/>
        </w:rPr>
        <w:t>. Omzetbelasting: modernisering, EU btw e-Commerce en EU KOR2025</w:t>
      </w:r>
    </w:p>
    <w:bookmarkEnd w:id="13"/>
    <w:p w:rsidR="008E0957" w:rsidP="008E0957" w:rsidRDefault="008E0957" w14:paraId="167CDBCF" w14:textId="33DC14EE">
      <w:pPr>
        <w:rPr>
          <w:rFonts w:ascii="Verdana" w:hAnsi="Verdana" w:eastAsia="Verdana" w:cs="Verdana"/>
          <w:sz w:val="18"/>
          <w:szCs w:val="18"/>
        </w:rPr>
      </w:pPr>
      <w:r w:rsidRPr="00E72F55">
        <w:rPr>
          <w:rFonts w:ascii="Verdana" w:hAnsi="Verdana" w:eastAsia="Verdana" w:cs="Verdana"/>
          <w:sz w:val="18"/>
          <w:szCs w:val="18"/>
        </w:rPr>
        <w:t>In 2020 is een moderniseringstraject gestart om het sterk verouderde omzetbelasting (OB)</w:t>
      </w:r>
      <w:r w:rsidR="00674C49">
        <w:rPr>
          <w:rFonts w:ascii="Verdana" w:hAnsi="Verdana" w:eastAsia="Verdana" w:cs="Verdana"/>
          <w:sz w:val="18"/>
          <w:szCs w:val="18"/>
        </w:rPr>
        <w:t>-</w:t>
      </w:r>
      <w:r w:rsidRPr="00E72F55">
        <w:rPr>
          <w:rFonts w:ascii="Verdana" w:hAnsi="Verdana" w:eastAsia="Verdana" w:cs="Verdana"/>
          <w:sz w:val="18"/>
          <w:szCs w:val="18"/>
        </w:rPr>
        <w:t>systeem te vervangen. Uw Kamer is via verschillende brieven geïnformeerd dat na zorgvuldige analyse is besloten tot het implementeren van een pakketoplossing.</w:t>
      </w:r>
      <w:r w:rsidRPr="00E72F55">
        <w:rPr>
          <w:rFonts w:ascii="Verdana" w:hAnsi="Verdana" w:eastAsia="Verdana" w:cs="Verdana"/>
          <w:sz w:val="18"/>
          <w:szCs w:val="18"/>
          <w:vertAlign w:val="superscript"/>
        </w:rPr>
        <w:footnoteReference w:id="16"/>
      </w:r>
      <w:r w:rsidRPr="00E72F55">
        <w:rPr>
          <w:rFonts w:ascii="Verdana" w:hAnsi="Verdana" w:eastAsia="Verdana" w:cs="Verdana"/>
          <w:sz w:val="18"/>
          <w:szCs w:val="18"/>
        </w:rPr>
        <w:t xml:space="preserve"> In maart 2025 is het aanbestedingstraject afgerond en is het contract met de geselecteerde leverancier ondertekend. In de planning zijn de volgende tijdslijnen vastgelegd voor de implementatie van de OB-processen in het pakket Gentax:</w:t>
      </w:r>
    </w:p>
    <w:tbl>
      <w:tblPr>
        <w:tblStyle w:val="Tabelraster"/>
        <w:tblW w:w="0" w:type="auto"/>
        <w:tblLook w:val="04A0" w:firstRow="1" w:lastRow="0" w:firstColumn="1" w:lastColumn="0" w:noHBand="0" w:noVBand="1"/>
      </w:tblPr>
      <w:tblGrid>
        <w:gridCol w:w="1129"/>
        <w:gridCol w:w="7887"/>
      </w:tblGrid>
      <w:tr w:rsidR="008E0957" w:rsidTr="00F27292" w14:paraId="0F1CA3F6" w14:textId="77777777">
        <w:tc>
          <w:tcPr>
            <w:tcW w:w="1129" w:type="dxa"/>
          </w:tcPr>
          <w:p w:rsidR="008E0957" w:rsidP="00383C32" w:rsidRDefault="00EB26BC" w14:paraId="4F094DAB" w14:textId="75D7E90C">
            <w:pPr>
              <w:rPr>
                <w:rFonts w:ascii="Verdana" w:hAnsi="Verdana" w:eastAsia="Verdana" w:cs="Verdana"/>
                <w:sz w:val="18"/>
                <w:szCs w:val="18"/>
              </w:rPr>
            </w:pPr>
            <w:r>
              <w:rPr>
                <w:rFonts w:ascii="Verdana" w:hAnsi="Verdana" w:eastAsia="Verdana" w:cs="Verdana"/>
                <w:sz w:val="18"/>
                <w:szCs w:val="18"/>
              </w:rPr>
              <w:t>J</w:t>
            </w:r>
            <w:r w:rsidR="008E0957">
              <w:rPr>
                <w:rFonts w:ascii="Verdana" w:hAnsi="Verdana" w:eastAsia="Verdana" w:cs="Verdana"/>
                <w:sz w:val="18"/>
                <w:szCs w:val="18"/>
              </w:rPr>
              <w:t>uli 2026</w:t>
            </w:r>
          </w:p>
        </w:tc>
        <w:tc>
          <w:tcPr>
            <w:tcW w:w="7887" w:type="dxa"/>
          </w:tcPr>
          <w:p w:rsidR="008E0957" w:rsidP="00383C32" w:rsidRDefault="008E0957" w14:paraId="32F57F2D" w14:textId="1435C438">
            <w:pPr>
              <w:rPr>
                <w:rFonts w:ascii="Verdana" w:hAnsi="Verdana" w:eastAsia="Verdana" w:cs="Verdana"/>
                <w:sz w:val="18"/>
                <w:szCs w:val="18"/>
              </w:rPr>
            </w:pPr>
            <w:r w:rsidRPr="004F6C3A">
              <w:rPr>
                <w:rFonts w:ascii="Verdana" w:hAnsi="Verdana" w:eastAsia="Verdana" w:cs="Verdana"/>
                <w:b/>
                <w:bCs/>
                <w:sz w:val="18"/>
                <w:szCs w:val="18"/>
              </w:rPr>
              <w:t xml:space="preserve">1. </w:t>
            </w:r>
            <w:r w:rsidRPr="00F27292">
              <w:rPr>
                <w:rFonts w:ascii="Verdana" w:hAnsi="Verdana" w:eastAsia="Verdana" w:cs="Verdana"/>
                <w:b/>
                <w:bCs/>
                <w:sz w:val="18"/>
                <w:szCs w:val="18"/>
              </w:rPr>
              <w:t>VAT-refund</w:t>
            </w:r>
            <w:r>
              <w:rPr>
                <w:rFonts w:ascii="Verdana" w:hAnsi="Verdana" w:eastAsia="Verdana" w:cs="Verdana"/>
                <w:b/>
                <w:bCs/>
                <w:sz w:val="18"/>
                <w:szCs w:val="18"/>
              </w:rPr>
              <w:t>:</w:t>
            </w:r>
            <w:r>
              <w:rPr>
                <w:rFonts w:ascii="Verdana" w:hAnsi="Verdana" w:eastAsia="Verdana" w:cs="Verdana"/>
                <w:sz w:val="18"/>
                <w:szCs w:val="18"/>
              </w:rPr>
              <w:t xml:space="preserve"> </w:t>
            </w:r>
            <w:r w:rsidR="00CD5BC1">
              <w:rPr>
                <w:rFonts w:ascii="Verdana" w:hAnsi="Verdana" w:eastAsia="Verdana" w:cs="Verdana"/>
                <w:sz w:val="18"/>
                <w:szCs w:val="18"/>
              </w:rPr>
              <w:t xml:space="preserve">btw-teruggave </w:t>
            </w:r>
            <w:r w:rsidR="00E5494A">
              <w:rPr>
                <w:rFonts w:ascii="Verdana" w:hAnsi="Verdana" w:eastAsia="Verdana" w:cs="Verdana"/>
                <w:sz w:val="18"/>
                <w:szCs w:val="18"/>
              </w:rPr>
              <w:t xml:space="preserve">in Nederland </w:t>
            </w:r>
            <w:r w:rsidR="00CD5BC1">
              <w:rPr>
                <w:rFonts w:ascii="Verdana" w:hAnsi="Verdana" w:eastAsia="Verdana" w:cs="Verdana"/>
                <w:sz w:val="18"/>
                <w:szCs w:val="18"/>
              </w:rPr>
              <w:t>voor internationale ondernemers in Nederland</w:t>
            </w:r>
          </w:p>
        </w:tc>
      </w:tr>
      <w:tr w:rsidR="008E0957" w:rsidTr="00F27292" w14:paraId="333D3B30" w14:textId="77777777">
        <w:tc>
          <w:tcPr>
            <w:tcW w:w="1129" w:type="dxa"/>
          </w:tcPr>
          <w:p w:rsidR="008E0957" w:rsidP="00383C32" w:rsidRDefault="00EB26BC" w14:paraId="58CADA33" w14:textId="1344A817">
            <w:pPr>
              <w:rPr>
                <w:rFonts w:ascii="Verdana" w:hAnsi="Verdana" w:eastAsia="Verdana" w:cs="Verdana"/>
                <w:sz w:val="18"/>
                <w:szCs w:val="18"/>
              </w:rPr>
            </w:pPr>
            <w:r>
              <w:rPr>
                <w:rFonts w:ascii="Verdana" w:hAnsi="Verdana" w:eastAsia="Verdana" w:cs="Verdana"/>
                <w:sz w:val="18"/>
                <w:szCs w:val="18"/>
              </w:rPr>
              <w:t>J</w:t>
            </w:r>
            <w:r w:rsidR="008E0957">
              <w:rPr>
                <w:rFonts w:ascii="Verdana" w:hAnsi="Verdana" w:eastAsia="Verdana" w:cs="Verdana"/>
                <w:sz w:val="18"/>
                <w:szCs w:val="18"/>
              </w:rPr>
              <w:t>uli 2027</w:t>
            </w:r>
          </w:p>
        </w:tc>
        <w:tc>
          <w:tcPr>
            <w:tcW w:w="7887" w:type="dxa"/>
          </w:tcPr>
          <w:p w:rsidRPr="004F6C3A" w:rsidR="008E0957" w:rsidP="00383C32" w:rsidRDefault="008E0957" w14:paraId="7921BB74" w14:textId="77777777">
            <w:pPr>
              <w:rPr>
                <w:rFonts w:ascii="Verdana" w:hAnsi="Verdana" w:eastAsia="Verdana" w:cs="Verdana"/>
                <w:b/>
                <w:bCs/>
                <w:sz w:val="18"/>
                <w:szCs w:val="18"/>
              </w:rPr>
            </w:pPr>
            <w:r w:rsidRPr="004F6C3A">
              <w:rPr>
                <w:rFonts w:ascii="Verdana" w:hAnsi="Verdana" w:eastAsia="Verdana" w:cs="Verdana"/>
                <w:b/>
                <w:bCs/>
                <w:sz w:val="18"/>
                <w:szCs w:val="18"/>
              </w:rPr>
              <w:t xml:space="preserve">2. </w:t>
            </w:r>
            <w:r w:rsidRPr="00F27292">
              <w:rPr>
                <w:rFonts w:ascii="Verdana" w:hAnsi="Verdana" w:eastAsia="Verdana" w:cs="Verdana"/>
                <w:b/>
                <w:bCs/>
                <w:sz w:val="18"/>
                <w:szCs w:val="18"/>
              </w:rPr>
              <w:t>De binnenlandse omzetbelasting</w:t>
            </w:r>
            <w:r w:rsidRPr="004F6C3A">
              <w:rPr>
                <w:rFonts w:ascii="Verdana" w:hAnsi="Verdana" w:eastAsia="Verdana" w:cs="Verdana"/>
                <w:b/>
                <w:bCs/>
                <w:sz w:val="18"/>
                <w:szCs w:val="18"/>
              </w:rPr>
              <w:t>;</w:t>
            </w:r>
          </w:p>
          <w:p w:rsidRPr="00181156" w:rsidR="008E0957" w:rsidP="00383C32" w:rsidRDefault="008E0957" w14:paraId="1E2144AF" w14:textId="77777777">
            <w:pPr>
              <w:rPr>
                <w:rFonts w:ascii="Verdana" w:hAnsi="Verdana" w:eastAsia="Verdana" w:cs="Verdana"/>
                <w:sz w:val="18"/>
                <w:szCs w:val="18"/>
              </w:rPr>
            </w:pPr>
            <w:r w:rsidRPr="004F6C3A">
              <w:rPr>
                <w:rFonts w:ascii="Verdana" w:hAnsi="Verdana" w:eastAsia="Verdana" w:cs="Verdana"/>
                <w:b/>
                <w:bCs/>
                <w:sz w:val="18"/>
                <w:szCs w:val="18"/>
              </w:rPr>
              <w:t xml:space="preserve">3. </w:t>
            </w:r>
            <w:r w:rsidRPr="00F27292">
              <w:rPr>
                <w:rFonts w:ascii="Verdana" w:hAnsi="Verdana" w:eastAsia="Verdana" w:cs="Verdana"/>
                <w:b/>
                <w:bCs/>
                <w:sz w:val="18"/>
                <w:szCs w:val="18"/>
              </w:rPr>
              <w:t>Intracommunautaire processen</w:t>
            </w:r>
            <w:r w:rsidRPr="00181156">
              <w:rPr>
                <w:rFonts w:ascii="Verdana" w:hAnsi="Verdana" w:eastAsia="Verdana" w:cs="Verdana"/>
                <w:b/>
                <w:bCs/>
                <w:sz w:val="18"/>
                <w:szCs w:val="18"/>
              </w:rPr>
              <w:t>:</w:t>
            </w:r>
            <w:r w:rsidRPr="00F27292">
              <w:rPr>
                <w:rFonts w:ascii="Verdana" w:hAnsi="Verdana" w:eastAsia="Verdana" w:cs="Verdana"/>
                <w:sz w:val="18"/>
                <w:szCs w:val="18"/>
              </w:rPr>
              <w:t xml:space="preserve"> </w:t>
            </w:r>
            <w:r>
              <w:rPr>
                <w:rFonts w:ascii="Verdana" w:hAnsi="Verdana" w:eastAsia="Verdana" w:cs="Verdana"/>
                <w:sz w:val="18"/>
                <w:szCs w:val="18"/>
              </w:rPr>
              <w:t>l</w:t>
            </w:r>
            <w:r w:rsidRPr="00F27292">
              <w:rPr>
                <w:rFonts w:ascii="Verdana" w:hAnsi="Verdana" w:eastAsia="Verdana" w:cs="Verdana"/>
                <w:sz w:val="18"/>
                <w:szCs w:val="18"/>
              </w:rPr>
              <w:t>everingen en diensten tusse</w:t>
            </w:r>
            <w:r>
              <w:rPr>
                <w:rFonts w:ascii="Verdana" w:hAnsi="Verdana" w:eastAsia="Verdana" w:cs="Verdana"/>
                <w:sz w:val="18"/>
                <w:szCs w:val="18"/>
              </w:rPr>
              <w:t xml:space="preserve">n Europese lidstaten; </w:t>
            </w:r>
            <w:r w:rsidRPr="00F27292">
              <w:rPr>
                <w:rFonts w:ascii="Verdana" w:hAnsi="Verdana" w:eastAsia="Verdana" w:cs="Verdana"/>
                <w:sz w:val="18"/>
                <w:szCs w:val="18"/>
              </w:rPr>
              <w:t xml:space="preserve"> </w:t>
            </w:r>
          </w:p>
          <w:p w:rsidR="008E0957" w:rsidP="00383C32" w:rsidRDefault="008E0957" w14:paraId="7D54A4A5" w14:textId="769D41A0">
            <w:pPr>
              <w:rPr>
                <w:rFonts w:ascii="Verdana" w:hAnsi="Verdana" w:eastAsia="Verdana" w:cs="Verdana"/>
                <w:sz w:val="18"/>
                <w:szCs w:val="18"/>
              </w:rPr>
            </w:pPr>
            <w:r w:rsidRPr="004F6C3A">
              <w:rPr>
                <w:rFonts w:ascii="Verdana" w:hAnsi="Verdana" w:eastAsia="Verdana" w:cs="Verdana"/>
                <w:b/>
                <w:bCs/>
                <w:sz w:val="18"/>
                <w:szCs w:val="18"/>
              </w:rPr>
              <w:t>4.</w:t>
            </w:r>
            <w:r>
              <w:rPr>
                <w:rFonts w:ascii="Verdana" w:hAnsi="Verdana" w:eastAsia="Verdana" w:cs="Verdana"/>
                <w:sz w:val="18"/>
                <w:szCs w:val="18"/>
              </w:rPr>
              <w:t xml:space="preserve"> </w:t>
            </w:r>
            <w:r w:rsidRPr="00F27292">
              <w:rPr>
                <w:rFonts w:ascii="Verdana" w:hAnsi="Verdana" w:eastAsia="Verdana" w:cs="Verdana"/>
                <w:b/>
                <w:bCs/>
                <w:sz w:val="18"/>
                <w:szCs w:val="18"/>
              </w:rPr>
              <w:t>Kleine ondernemersregeling (NL-KOR):</w:t>
            </w:r>
            <w:r>
              <w:rPr>
                <w:rFonts w:ascii="Verdana" w:hAnsi="Verdana" w:eastAsia="Verdana" w:cs="Verdana"/>
                <w:sz w:val="18"/>
                <w:szCs w:val="18"/>
              </w:rPr>
              <w:t xml:space="preserve"> de btw-vrijstelling voor Nederlandse ondernemers met een jaaromzet onder de </w:t>
            </w:r>
            <w:r w:rsidRPr="00181156">
              <w:rPr>
                <w:rFonts w:ascii="Verdana" w:hAnsi="Verdana" w:eastAsia="Verdana" w:cs="Verdana"/>
                <w:sz w:val="18"/>
                <w:szCs w:val="18"/>
              </w:rPr>
              <w:t>€</w:t>
            </w:r>
            <w:r w:rsidR="00AA2219">
              <w:rPr>
                <w:rFonts w:ascii="Verdana" w:hAnsi="Verdana" w:eastAsia="Verdana" w:cs="Verdana"/>
                <w:sz w:val="18"/>
                <w:szCs w:val="18"/>
              </w:rPr>
              <w:t xml:space="preserve"> </w:t>
            </w:r>
            <w:r w:rsidRPr="00181156">
              <w:rPr>
                <w:rFonts w:ascii="Verdana" w:hAnsi="Verdana" w:eastAsia="Verdana" w:cs="Verdana"/>
                <w:sz w:val="18"/>
                <w:szCs w:val="18"/>
              </w:rPr>
              <w:t>20.000</w:t>
            </w:r>
            <w:r w:rsidR="001928C0">
              <w:rPr>
                <w:rFonts w:ascii="Verdana" w:hAnsi="Verdana" w:eastAsia="Verdana" w:cs="Verdana"/>
                <w:sz w:val="18"/>
                <w:szCs w:val="18"/>
              </w:rPr>
              <w:t>.</w:t>
            </w:r>
          </w:p>
        </w:tc>
      </w:tr>
      <w:tr w:rsidR="008E0957" w:rsidTr="00F27292" w14:paraId="6895C5F4" w14:textId="77777777">
        <w:trPr>
          <w:trHeight w:val="1193"/>
        </w:trPr>
        <w:tc>
          <w:tcPr>
            <w:tcW w:w="1129" w:type="dxa"/>
          </w:tcPr>
          <w:p w:rsidR="008E0957" w:rsidP="00383C32" w:rsidRDefault="00EB26BC" w14:paraId="4F1473FB" w14:textId="0AC5B15B">
            <w:pPr>
              <w:rPr>
                <w:rFonts w:ascii="Verdana" w:hAnsi="Verdana" w:eastAsia="Verdana" w:cs="Verdana"/>
                <w:sz w:val="18"/>
                <w:szCs w:val="18"/>
              </w:rPr>
            </w:pPr>
            <w:r>
              <w:rPr>
                <w:rFonts w:ascii="Verdana" w:hAnsi="Verdana" w:eastAsia="Verdana" w:cs="Verdana"/>
                <w:sz w:val="18"/>
                <w:szCs w:val="18"/>
              </w:rPr>
              <w:t>J</w:t>
            </w:r>
            <w:r w:rsidR="008E0957">
              <w:rPr>
                <w:rFonts w:ascii="Verdana" w:hAnsi="Verdana" w:eastAsia="Verdana" w:cs="Verdana"/>
                <w:sz w:val="18"/>
                <w:szCs w:val="18"/>
              </w:rPr>
              <w:t>uli 2028</w:t>
            </w:r>
          </w:p>
        </w:tc>
        <w:tc>
          <w:tcPr>
            <w:tcW w:w="7887" w:type="dxa"/>
          </w:tcPr>
          <w:p w:rsidR="008E0957" w:rsidP="00383C32" w:rsidRDefault="008E0957" w14:paraId="5EB25254" w14:textId="77777777">
            <w:pPr>
              <w:rPr>
                <w:rFonts w:ascii="Verdana" w:hAnsi="Verdana" w:eastAsia="Verdana" w:cs="Verdana"/>
                <w:sz w:val="18"/>
                <w:szCs w:val="18"/>
              </w:rPr>
            </w:pPr>
            <w:r w:rsidRPr="004F6C3A">
              <w:rPr>
                <w:rFonts w:ascii="Verdana" w:hAnsi="Verdana" w:eastAsia="Verdana" w:cs="Verdana"/>
                <w:b/>
                <w:bCs/>
                <w:sz w:val="18"/>
                <w:szCs w:val="18"/>
              </w:rPr>
              <w:t xml:space="preserve">5. </w:t>
            </w:r>
            <w:r w:rsidRPr="00F27292">
              <w:rPr>
                <w:rFonts w:ascii="Verdana" w:hAnsi="Verdana" w:eastAsia="Verdana" w:cs="Verdana"/>
                <w:b/>
                <w:bCs/>
                <w:sz w:val="18"/>
                <w:szCs w:val="18"/>
              </w:rPr>
              <w:t>One Stop Shop</w:t>
            </w:r>
            <w:r w:rsidR="00674C49">
              <w:rPr>
                <w:rFonts w:ascii="Verdana" w:hAnsi="Verdana" w:eastAsia="Verdana" w:cs="Verdana"/>
                <w:b/>
                <w:bCs/>
                <w:sz w:val="18"/>
                <w:szCs w:val="18"/>
              </w:rPr>
              <w:t>:</w:t>
            </w:r>
            <w:r>
              <w:rPr>
                <w:rFonts w:ascii="Verdana" w:hAnsi="Verdana" w:eastAsia="Verdana" w:cs="Verdana"/>
                <w:sz w:val="18"/>
                <w:szCs w:val="18"/>
              </w:rPr>
              <w:t xml:space="preserve"> voor EU btw op e-commerce: </w:t>
            </w:r>
            <w:r w:rsidRPr="00181156">
              <w:rPr>
                <w:rFonts w:ascii="Verdana" w:hAnsi="Verdana" w:eastAsia="Verdana" w:cs="Verdana"/>
                <w:sz w:val="18"/>
                <w:szCs w:val="18"/>
              </w:rPr>
              <w:t xml:space="preserve">het EU-btw éénloketsysteem </w:t>
            </w:r>
            <w:r>
              <w:rPr>
                <w:rFonts w:ascii="Verdana" w:hAnsi="Verdana" w:eastAsia="Verdana" w:cs="Verdana"/>
                <w:sz w:val="18"/>
                <w:szCs w:val="18"/>
              </w:rPr>
              <w:t>wat n</w:t>
            </w:r>
            <w:r w:rsidRPr="00181156">
              <w:rPr>
                <w:rFonts w:ascii="Verdana" w:hAnsi="Verdana" w:eastAsia="Verdana" w:cs="Verdana"/>
                <w:sz w:val="18"/>
                <w:szCs w:val="18"/>
              </w:rPr>
              <w:t xml:space="preserve">a registratie </w:t>
            </w:r>
            <w:r>
              <w:rPr>
                <w:rFonts w:ascii="Verdana" w:hAnsi="Verdana" w:eastAsia="Verdana" w:cs="Verdana"/>
                <w:sz w:val="18"/>
                <w:szCs w:val="18"/>
              </w:rPr>
              <w:t>p</w:t>
            </w:r>
            <w:r w:rsidRPr="00181156">
              <w:rPr>
                <w:rFonts w:ascii="Verdana" w:hAnsi="Verdana" w:eastAsia="Verdana" w:cs="Verdana"/>
                <w:sz w:val="18"/>
                <w:szCs w:val="18"/>
              </w:rPr>
              <w:t>eriodiek in één melding btw-aangifte voor alle andere EU-lidstaten</w:t>
            </w:r>
            <w:r>
              <w:rPr>
                <w:rFonts w:ascii="Verdana" w:hAnsi="Verdana" w:eastAsia="Verdana" w:cs="Verdana"/>
                <w:sz w:val="18"/>
                <w:szCs w:val="18"/>
              </w:rPr>
              <w:t xml:space="preserve"> doet;</w:t>
            </w:r>
            <w:r w:rsidRPr="00AD5087">
              <w:rPr>
                <w:rFonts w:ascii="Verdana" w:hAnsi="Verdana" w:eastAsia="Verdana" w:cs="Verdana"/>
                <w:sz w:val="18"/>
                <w:szCs w:val="18"/>
              </w:rPr>
              <w:t xml:space="preserve"> </w:t>
            </w:r>
          </w:p>
          <w:p w:rsidRPr="00181156" w:rsidR="008E0957" w:rsidP="00383C32" w:rsidRDefault="008E0957" w14:paraId="7A0D3ACD" w14:textId="7E2E411A">
            <w:pPr>
              <w:rPr>
                <w:rFonts w:ascii="Verdana" w:hAnsi="Verdana" w:eastAsia="Verdana" w:cs="Verdana"/>
                <w:sz w:val="18"/>
                <w:szCs w:val="18"/>
              </w:rPr>
            </w:pPr>
            <w:r w:rsidRPr="00F27292">
              <w:rPr>
                <w:rFonts w:ascii="Verdana" w:hAnsi="Verdana" w:eastAsia="Verdana" w:cs="Verdana"/>
                <w:b/>
                <w:bCs/>
                <w:sz w:val="18"/>
                <w:szCs w:val="18"/>
              </w:rPr>
              <w:t>6. EU-KOR</w:t>
            </w:r>
            <w:r>
              <w:rPr>
                <w:rFonts w:ascii="Verdana" w:hAnsi="Verdana" w:eastAsia="Verdana" w:cs="Verdana"/>
                <w:b/>
                <w:bCs/>
                <w:sz w:val="18"/>
                <w:szCs w:val="18"/>
              </w:rPr>
              <w:t xml:space="preserve">: </w:t>
            </w:r>
            <w:r w:rsidR="00674C49">
              <w:rPr>
                <w:rFonts w:ascii="Verdana" w:hAnsi="Verdana" w:eastAsia="Verdana" w:cs="Verdana"/>
                <w:sz w:val="18"/>
                <w:szCs w:val="18"/>
              </w:rPr>
              <w:t>h</w:t>
            </w:r>
            <w:r>
              <w:rPr>
                <w:rFonts w:ascii="Verdana" w:hAnsi="Verdana" w:eastAsia="Verdana" w:cs="Verdana"/>
                <w:sz w:val="18"/>
                <w:szCs w:val="18"/>
              </w:rPr>
              <w:t xml:space="preserve">et kader van de Europese Commissie </w:t>
            </w:r>
            <w:r w:rsidR="00674C49">
              <w:rPr>
                <w:rFonts w:ascii="Verdana" w:hAnsi="Verdana" w:eastAsia="Verdana" w:cs="Verdana"/>
                <w:sz w:val="18"/>
                <w:szCs w:val="18"/>
              </w:rPr>
              <w:t>d</w:t>
            </w:r>
            <w:r>
              <w:rPr>
                <w:rFonts w:ascii="Verdana" w:hAnsi="Verdana" w:eastAsia="Verdana" w:cs="Verdana"/>
                <w:sz w:val="18"/>
                <w:szCs w:val="18"/>
              </w:rPr>
              <w:t xml:space="preserve">at btw-vrijstelling voor kleine ondernemers uit andere EU-landen met een omzet onder de </w:t>
            </w:r>
            <w:r w:rsidRPr="00181156">
              <w:rPr>
                <w:rFonts w:ascii="Verdana" w:hAnsi="Verdana" w:eastAsia="Verdana" w:cs="Verdana"/>
                <w:sz w:val="18"/>
                <w:szCs w:val="18"/>
              </w:rPr>
              <w:t>€</w:t>
            </w:r>
            <w:r w:rsidR="00AA2219">
              <w:rPr>
                <w:rFonts w:ascii="Verdana" w:hAnsi="Verdana" w:eastAsia="Verdana" w:cs="Verdana"/>
                <w:sz w:val="18"/>
                <w:szCs w:val="18"/>
              </w:rPr>
              <w:t xml:space="preserve"> </w:t>
            </w:r>
            <w:r>
              <w:rPr>
                <w:rFonts w:ascii="Verdana" w:hAnsi="Verdana" w:eastAsia="Verdana" w:cs="Verdana"/>
                <w:sz w:val="18"/>
                <w:szCs w:val="18"/>
              </w:rPr>
              <w:t>100.000 geeft.</w:t>
            </w:r>
          </w:p>
        </w:tc>
      </w:tr>
    </w:tbl>
    <w:p w:rsidRPr="00E72F55" w:rsidR="008E0957" w:rsidP="00F27292" w:rsidRDefault="008E0957" w14:paraId="54D808AB" w14:textId="77777777">
      <w:pPr>
        <w:spacing w:after="0"/>
        <w:rPr>
          <w:rFonts w:ascii="Verdana" w:hAnsi="Verdana" w:eastAsia="Verdana" w:cs="Verdana"/>
          <w:sz w:val="18"/>
          <w:szCs w:val="18"/>
        </w:rPr>
      </w:pPr>
    </w:p>
    <w:p w:rsidRPr="00E72F55" w:rsidR="008E0957" w:rsidP="008E0957" w:rsidRDefault="008E0957" w14:paraId="3DB5F2A5" w14:textId="541A468C">
      <w:pPr>
        <w:rPr>
          <w:rFonts w:ascii="Verdana" w:hAnsi="Verdana" w:eastAsia="Verdana" w:cs="Verdana"/>
          <w:sz w:val="18"/>
          <w:szCs w:val="18"/>
        </w:rPr>
      </w:pPr>
      <w:r w:rsidRPr="00E72F55">
        <w:rPr>
          <w:rFonts w:ascii="Verdana" w:hAnsi="Verdana" w:eastAsia="Verdana" w:cs="Verdana"/>
          <w:sz w:val="18"/>
          <w:szCs w:val="18"/>
        </w:rPr>
        <w:lastRenderedPageBreak/>
        <w:t>Ik zal uw Kamer nader informeren over deze ontwikkelingen op het OB-domein uiterlijk in de volgende stand-van-zakenbrief.</w:t>
      </w:r>
    </w:p>
    <w:p w:rsidRPr="00260325" w:rsidR="00260325" w:rsidP="00260325" w:rsidRDefault="00260325" w14:paraId="4DED4C33" w14:textId="592740D0">
      <w:pPr>
        <w:spacing w:after="0"/>
        <w:rPr>
          <w:rFonts w:ascii="Verdana" w:hAnsi="Verdana"/>
          <w:iCs/>
          <w:sz w:val="18"/>
        </w:rPr>
      </w:pPr>
      <w:r w:rsidRPr="00260325">
        <w:rPr>
          <w:rFonts w:ascii="Verdana" w:hAnsi="Verdana"/>
          <w:i/>
          <w:sz w:val="18"/>
        </w:rPr>
        <w:t>Eu btw e-Commerce en EU KOR2025</w:t>
      </w:r>
      <w:r w:rsidRPr="00260325">
        <w:rPr>
          <w:rFonts w:ascii="Verdana" w:hAnsi="Verdana"/>
          <w:b/>
          <w:bCs/>
          <w:i/>
          <w:sz w:val="18"/>
        </w:rPr>
        <w:br/>
      </w:r>
      <w:r w:rsidRPr="00260325">
        <w:rPr>
          <w:rFonts w:ascii="Verdana" w:hAnsi="Verdana"/>
          <w:iCs/>
          <w:sz w:val="18"/>
        </w:rPr>
        <w:t>Op 6 maart jl. heeft mijn ambtsvoorganger uw Kamer voor het laatst geïnformeerd over de stand van zaken met betrekking tot de regeling EU btw e-commerce. Deze regeling wordt uitgevoerd via het</w:t>
      </w:r>
      <w:r w:rsidR="00D91108">
        <w:rPr>
          <w:rFonts w:ascii="Verdana" w:hAnsi="Verdana"/>
          <w:iCs/>
          <w:sz w:val="18"/>
        </w:rPr>
        <w:t xml:space="preserve"> zogenoemde</w:t>
      </w:r>
      <w:r w:rsidRPr="00260325">
        <w:rPr>
          <w:rFonts w:ascii="Verdana" w:hAnsi="Verdana"/>
          <w:iCs/>
          <w:sz w:val="18"/>
        </w:rPr>
        <w:t xml:space="preserve"> ‘noodspoor’</w:t>
      </w:r>
      <w:r w:rsidR="00D91108">
        <w:rPr>
          <w:rFonts w:ascii="Verdana" w:hAnsi="Verdana"/>
          <w:iCs/>
          <w:sz w:val="18"/>
        </w:rPr>
        <w:t>. V</w:t>
      </w:r>
      <w:r w:rsidR="00DC5DFF">
        <w:rPr>
          <w:rFonts w:ascii="Verdana" w:hAnsi="Verdana"/>
          <w:iCs/>
          <w:sz w:val="18"/>
        </w:rPr>
        <w:t>ia het</w:t>
      </w:r>
      <w:r w:rsidRPr="00260325">
        <w:rPr>
          <w:rFonts w:ascii="Verdana" w:hAnsi="Verdana"/>
          <w:iCs/>
          <w:sz w:val="18"/>
        </w:rPr>
        <w:t xml:space="preserve"> noodspoor wordt er</w:t>
      </w:r>
      <w:r w:rsidR="00DC5DFF">
        <w:rPr>
          <w:rFonts w:ascii="Verdana" w:hAnsi="Verdana"/>
          <w:iCs/>
          <w:sz w:val="18"/>
        </w:rPr>
        <w:t xml:space="preserve"> ook</w:t>
      </w:r>
      <w:r w:rsidRPr="00260325">
        <w:rPr>
          <w:rFonts w:ascii="Verdana" w:hAnsi="Verdana"/>
          <w:iCs/>
          <w:sz w:val="18"/>
        </w:rPr>
        <w:t xml:space="preserve"> toezicht gehouden. </w:t>
      </w:r>
      <w:r w:rsidR="006D2A04">
        <w:rPr>
          <w:rFonts w:ascii="Verdana" w:hAnsi="Verdana"/>
          <w:iCs/>
          <w:sz w:val="18"/>
        </w:rPr>
        <w:t>De beslissing over de</w:t>
      </w:r>
      <w:r w:rsidRPr="00260325">
        <w:rPr>
          <w:rFonts w:ascii="Verdana" w:hAnsi="Verdana"/>
          <w:iCs/>
          <w:sz w:val="18"/>
        </w:rPr>
        <w:t xml:space="preserve"> definitieve oplossing </w:t>
      </w:r>
      <w:r w:rsidR="006D2A04">
        <w:rPr>
          <w:rFonts w:ascii="Verdana" w:hAnsi="Verdana"/>
          <w:iCs/>
          <w:sz w:val="18"/>
        </w:rPr>
        <w:t>en het daaropvolgende proces wordt in het vierde kwartaal van 2025 genomen</w:t>
      </w:r>
      <w:r w:rsidR="00D91108">
        <w:rPr>
          <w:rFonts w:ascii="Verdana" w:hAnsi="Verdana"/>
          <w:iCs/>
          <w:sz w:val="18"/>
        </w:rPr>
        <w:t xml:space="preserve">. De planning is om uw Kamer </w:t>
      </w:r>
      <w:r w:rsidR="006D2A04">
        <w:rPr>
          <w:rFonts w:ascii="Verdana" w:hAnsi="Verdana"/>
          <w:iCs/>
          <w:sz w:val="18"/>
        </w:rPr>
        <w:t>hierover</w:t>
      </w:r>
      <w:r w:rsidR="00D91108">
        <w:rPr>
          <w:rFonts w:ascii="Verdana" w:hAnsi="Verdana"/>
          <w:iCs/>
          <w:sz w:val="18"/>
        </w:rPr>
        <w:t xml:space="preserve"> </w:t>
      </w:r>
      <w:r w:rsidR="006D2A04">
        <w:rPr>
          <w:rFonts w:ascii="Verdana" w:hAnsi="Verdana"/>
          <w:iCs/>
          <w:sz w:val="18"/>
        </w:rPr>
        <w:t xml:space="preserve">voor het einde van het jaar </w:t>
      </w:r>
      <w:r w:rsidR="00D91108">
        <w:rPr>
          <w:rFonts w:ascii="Verdana" w:hAnsi="Verdana"/>
          <w:iCs/>
          <w:sz w:val="18"/>
        </w:rPr>
        <w:t>te informeren</w:t>
      </w:r>
      <w:r w:rsidR="006D2A04">
        <w:rPr>
          <w:rFonts w:ascii="Verdana" w:hAnsi="Verdana"/>
          <w:iCs/>
          <w:sz w:val="18"/>
        </w:rPr>
        <w:t xml:space="preserve">. </w:t>
      </w:r>
    </w:p>
    <w:p w:rsidRPr="00E72F55" w:rsidR="008E0957" w:rsidP="008E0957" w:rsidRDefault="008E0957" w14:paraId="6116F41A" w14:textId="77777777">
      <w:pPr>
        <w:spacing w:after="0"/>
        <w:rPr>
          <w:rFonts w:ascii="Verdana" w:hAnsi="Verdana"/>
          <w:i/>
          <w:sz w:val="18"/>
        </w:rPr>
      </w:pPr>
    </w:p>
    <w:p w:rsidRPr="00276931" w:rsidR="008E0957" w:rsidP="008E0957" w:rsidRDefault="008E0957" w14:paraId="489F7B90" w14:textId="3EFD1A2A">
      <w:pPr>
        <w:rPr>
          <w:rFonts w:ascii="Verdana" w:hAnsi="Verdana" w:eastAsia="Verdana" w:cs="Verdana"/>
          <w:sz w:val="18"/>
          <w:szCs w:val="18"/>
        </w:rPr>
      </w:pPr>
      <w:r w:rsidRPr="00E72F55">
        <w:rPr>
          <w:rFonts w:ascii="Verdana" w:hAnsi="Verdana" w:eastAsia="Verdana" w:cs="Verdana"/>
          <w:sz w:val="18"/>
          <w:szCs w:val="18"/>
        </w:rPr>
        <w:t xml:space="preserve">In de stand-van-zakenbrief van 6 maart </w:t>
      </w:r>
      <w:r w:rsidR="00FF5F76">
        <w:rPr>
          <w:rFonts w:ascii="Verdana" w:hAnsi="Verdana" w:eastAsia="Verdana" w:cs="Verdana"/>
          <w:sz w:val="18"/>
          <w:szCs w:val="18"/>
        </w:rPr>
        <w:t xml:space="preserve">jl. </w:t>
      </w:r>
      <w:r w:rsidRPr="00E72F55">
        <w:rPr>
          <w:rFonts w:ascii="Verdana" w:hAnsi="Verdana" w:eastAsia="Verdana" w:cs="Verdana"/>
          <w:sz w:val="18"/>
          <w:szCs w:val="18"/>
        </w:rPr>
        <w:t>bent u ook geïnformeerd over de Europese Kleineondernemersregeling (EU KOR2025). De implementatie hiervan verloopt volgens planning. De afronding van de implementatie van de EU KOR2025 is gepland voor het vierde kwartaal van 2025.</w:t>
      </w:r>
    </w:p>
    <w:bookmarkEnd w:id="14"/>
    <w:p w:rsidRPr="00276931" w:rsidR="00276931" w:rsidP="00276931" w:rsidRDefault="007F29E6" w14:paraId="1A5F9663" w14:textId="46D152CF">
      <w:pPr>
        <w:rPr>
          <w:rFonts w:ascii="Verdana" w:hAnsi="Verdana"/>
          <w:b/>
          <w:sz w:val="18"/>
          <w:szCs w:val="18"/>
        </w:rPr>
      </w:pPr>
      <w:r>
        <w:rPr>
          <w:rFonts w:ascii="Verdana" w:hAnsi="Verdana"/>
          <w:b/>
          <w:sz w:val="18"/>
          <w:szCs w:val="18"/>
        </w:rPr>
        <w:t>10</w:t>
      </w:r>
      <w:r w:rsidRPr="00276931" w:rsidR="00276931">
        <w:rPr>
          <w:rFonts w:ascii="Verdana" w:hAnsi="Verdana"/>
          <w:b/>
          <w:sz w:val="18"/>
          <w:szCs w:val="18"/>
        </w:rPr>
        <w:t>. Rationalisatie Cool:Gen in de keten</w:t>
      </w:r>
      <w:r w:rsidR="00304413">
        <w:rPr>
          <w:rFonts w:ascii="Verdana" w:hAnsi="Verdana"/>
          <w:b/>
          <w:sz w:val="18"/>
          <w:szCs w:val="18"/>
        </w:rPr>
        <w:t>s</w:t>
      </w:r>
      <w:r w:rsidRPr="00276931" w:rsidR="00276931">
        <w:rPr>
          <w:rFonts w:ascii="Verdana" w:hAnsi="Verdana"/>
          <w:b/>
          <w:sz w:val="18"/>
          <w:szCs w:val="18"/>
        </w:rPr>
        <w:t xml:space="preserve"> Inkomensheffingen (</w:t>
      </w:r>
      <w:r w:rsidRPr="00304413" w:rsidR="00276931">
        <w:rPr>
          <w:rFonts w:ascii="Verdana" w:hAnsi="Verdana"/>
          <w:b/>
          <w:sz w:val="18"/>
          <w:szCs w:val="18"/>
        </w:rPr>
        <w:t>IH)</w:t>
      </w:r>
      <w:r w:rsidRPr="00304413" w:rsidR="00304413">
        <w:rPr>
          <w:rFonts w:ascii="Verdana" w:hAnsi="Verdana"/>
          <w:b/>
          <w:sz w:val="18"/>
          <w:szCs w:val="18"/>
        </w:rPr>
        <w:t xml:space="preserve"> en</w:t>
      </w:r>
      <w:r w:rsidRPr="002B2C94" w:rsidR="00304413">
        <w:rPr>
          <w:rFonts w:ascii="Verdana" w:hAnsi="Verdana"/>
          <w:b/>
          <w:i/>
          <w:iCs/>
          <w:sz w:val="18"/>
          <w:szCs w:val="18"/>
        </w:rPr>
        <w:t xml:space="preserve"> </w:t>
      </w:r>
      <w:r w:rsidRPr="002B2C94" w:rsidR="00304413">
        <w:rPr>
          <w:rFonts w:ascii="Verdana" w:hAnsi="Verdana"/>
          <w:b/>
          <w:sz w:val="18"/>
          <w:szCs w:val="18"/>
        </w:rPr>
        <w:t>Loonheffingen (LH)</w:t>
      </w:r>
    </w:p>
    <w:p w:rsidRPr="00276931" w:rsidR="00276931" w:rsidP="00276931" w:rsidRDefault="00276931" w14:paraId="601922CA" w14:textId="7DE13121">
      <w:pPr>
        <w:rPr>
          <w:rFonts w:ascii="Verdana" w:hAnsi="Verdana"/>
          <w:sz w:val="18"/>
          <w:szCs w:val="18"/>
        </w:rPr>
      </w:pPr>
      <w:r w:rsidRPr="00276931">
        <w:rPr>
          <w:rFonts w:ascii="Verdana" w:hAnsi="Verdana"/>
          <w:sz w:val="18"/>
          <w:szCs w:val="18"/>
        </w:rPr>
        <w:t>Op 2</w:t>
      </w:r>
      <w:r w:rsidR="00041452">
        <w:rPr>
          <w:rFonts w:ascii="Verdana" w:hAnsi="Verdana"/>
          <w:sz w:val="18"/>
          <w:szCs w:val="18"/>
        </w:rPr>
        <w:t>4</w:t>
      </w:r>
      <w:r w:rsidRPr="00276931">
        <w:rPr>
          <w:rFonts w:ascii="Verdana" w:hAnsi="Verdana"/>
          <w:sz w:val="18"/>
          <w:szCs w:val="18"/>
        </w:rPr>
        <w:t xml:space="preserve"> april </w:t>
      </w:r>
      <w:r w:rsidR="007F4C3D">
        <w:rPr>
          <w:rFonts w:ascii="Verdana" w:hAnsi="Verdana"/>
          <w:sz w:val="18"/>
          <w:szCs w:val="18"/>
        </w:rPr>
        <w:t>2025</w:t>
      </w:r>
      <w:r w:rsidR="00041452">
        <w:rPr>
          <w:rStyle w:val="Voetnootmarkering"/>
          <w:rFonts w:ascii="Verdana" w:hAnsi="Verdana"/>
          <w:sz w:val="18"/>
          <w:szCs w:val="18"/>
        </w:rPr>
        <w:footnoteReference w:id="17"/>
      </w:r>
      <w:r w:rsidRPr="00276931">
        <w:rPr>
          <w:rFonts w:ascii="Verdana" w:hAnsi="Verdana"/>
          <w:sz w:val="18"/>
          <w:szCs w:val="18"/>
        </w:rPr>
        <w:t xml:space="preserve"> heeft mijn ambtsvoorganger uw Kamer geïnformeerd over het advies van het Adviescollege ICT-toetsing met betrekking tot het project </w:t>
      </w:r>
      <w:r w:rsidR="00304413">
        <w:rPr>
          <w:rFonts w:ascii="Verdana" w:hAnsi="Verdana"/>
          <w:sz w:val="18"/>
          <w:szCs w:val="18"/>
        </w:rPr>
        <w:t xml:space="preserve">over de uitfasering van </w:t>
      </w:r>
      <w:r w:rsidRPr="00276931">
        <w:rPr>
          <w:rFonts w:ascii="Verdana" w:hAnsi="Verdana"/>
          <w:sz w:val="18"/>
          <w:szCs w:val="18"/>
        </w:rPr>
        <w:t xml:space="preserve">Cool:Gen </w:t>
      </w:r>
      <w:r w:rsidR="00304413">
        <w:rPr>
          <w:rFonts w:ascii="Verdana" w:hAnsi="Verdana"/>
          <w:sz w:val="18"/>
          <w:szCs w:val="18"/>
        </w:rPr>
        <w:t>in</w:t>
      </w:r>
      <w:r w:rsidRPr="00276931" w:rsidR="00304413">
        <w:rPr>
          <w:rFonts w:ascii="Verdana" w:hAnsi="Verdana"/>
          <w:sz w:val="18"/>
          <w:szCs w:val="18"/>
        </w:rPr>
        <w:t xml:space="preserve"> </w:t>
      </w:r>
      <w:r w:rsidRPr="00276931">
        <w:rPr>
          <w:rFonts w:ascii="Verdana" w:hAnsi="Verdana"/>
          <w:sz w:val="18"/>
          <w:szCs w:val="18"/>
        </w:rPr>
        <w:t xml:space="preserve">de keten Inkomensheffingen (IH). </w:t>
      </w:r>
      <w:r w:rsidR="008E0201">
        <w:rPr>
          <w:rFonts w:ascii="Verdana" w:hAnsi="Verdana"/>
          <w:sz w:val="18"/>
          <w:szCs w:val="18"/>
        </w:rPr>
        <w:t xml:space="preserve">Cool:Gen is </w:t>
      </w:r>
      <w:r w:rsidR="00185C11">
        <w:rPr>
          <w:rFonts w:ascii="Verdana" w:hAnsi="Verdana"/>
          <w:sz w:val="18"/>
          <w:szCs w:val="18"/>
        </w:rPr>
        <w:t>de</w:t>
      </w:r>
      <w:r w:rsidR="008E0201">
        <w:rPr>
          <w:rFonts w:ascii="Verdana" w:hAnsi="Verdana"/>
          <w:sz w:val="18"/>
          <w:szCs w:val="18"/>
        </w:rPr>
        <w:t xml:space="preserve"> </w:t>
      </w:r>
      <w:r w:rsidR="00185C11">
        <w:rPr>
          <w:rFonts w:ascii="Verdana" w:hAnsi="Verdana"/>
          <w:sz w:val="18"/>
          <w:szCs w:val="18"/>
        </w:rPr>
        <w:t xml:space="preserve">ontwikkelingssoftware </w:t>
      </w:r>
      <w:r w:rsidR="008E0201">
        <w:rPr>
          <w:rFonts w:ascii="Verdana" w:hAnsi="Verdana"/>
          <w:sz w:val="18"/>
          <w:szCs w:val="18"/>
        </w:rPr>
        <w:t>waarmee twee derde van het Aanslag Belasting Systeem wordt gerealiseerd. In de brief van 24 april 2025</w:t>
      </w:r>
      <w:r w:rsidRPr="00276931" w:rsidR="008E0201">
        <w:rPr>
          <w:rFonts w:ascii="Verdana" w:hAnsi="Verdana"/>
          <w:sz w:val="18"/>
          <w:szCs w:val="18"/>
        </w:rPr>
        <w:t xml:space="preserve"> </w:t>
      </w:r>
      <w:r w:rsidRPr="00276931">
        <w:rPr>
          <w:rFonts w:ascii="Verdana" w:hAnsi="Verdana"/>
          <w:sz w:val="18"/>
          <w:szCs w:val="18"/>
        </w:rPr>
        <w:t xml:space="preserve">is </w:t>
      </w:r>
      <w:r w:rsidR="00304413">
        <w:rPr>
          <w:rFonts w:ascii="Verdana" w:hAnsi="Verdana"/>
          <w:sz w:val="18"/>
          <w:szCs w:val="18"/>
        </w:rPr>
        <w:t>toegezegd</w:t>
      </w:r>
      <w:r w:rsidRPr="00276931" w:rsidR="00304413">
        <w:rPr>
          <w:rFonts w:ascii="Verdana" w:hAnsi="Verdana"/>
          <w:sz w:val="18"/>
          <w:szCs w:val="18"/>
        </w:rPr>
        <w:t xml:space="preserve"> </w:t>
      </w:r>
      <w:r w:rsidRPr="00276931">
        <w:rPr>
          <w:rFonts w:ascii="Verdana" w:hAnsi="Verdana"/>
          <w:sz w:val="18"/>
          <w:szCs w:val="18"/>
        </w:rPr>
        <w:t>om uw Kamer in de eerstvolgende stand-van-zakenbrief nader te informeren over hoe de Belastingdienst opvolging geeft aan de adviezen.</w:t>
      </w:r>
      <w:r w:rsidRPr="00276931">
        <w:rPr>
          <w:rFonts w:ascii="Verdana" w:hAnsi="Verdana"/>
          <w:sz w:val="18"/>
          <w:szCs w:val="18"/>
        </w:rPr>
        <w:tab/>
      </w:r>
    </w:p>
    <w:p w:rsidRPr="00304413" w:rsidR="00276931" w:rsidP="00303C33" w:rsidRDefault="00276931" w14:paraId="3F587C85" w14:textId="1FEFBF60">
      <w:pPr>
        <w:rPr>
          <w:rFonts w:ascii="Verdana" w:hAnsi="Verdana"/>
          <w:sz w:val="18"/>
          <w:szCs w:val="18"/>
        </w:rPr>
      </w:pPr>
      <w:r w:rsidRPr="00276931">
        <w:rPr>
          <w:rFonts w:ascii="Verdana" w:hAnsi="Verdana"/>
          <w:sz w:val="18"/>
          <w:szCs w:val="18"/>
        </w:rPr>
        <w:t>In eerdere brieven bent u geïnformeerd over de noodzaak van het uitfaseren van de verouderde ontwikkelingssoftware Cool:Gen</w:t>
      </w:r>
      <w:r w:rsidRPr="00304413">
        <w:rPr>
          <w:rFonts w:ascii="Verdana" w:hAnsi="Verdana"/>
          <w:sz w:val="18"/>
          <w:szCs w:val="18"/>
        </w:rPr>
        <w:t>.</w:t>
      </w:r>
      <w:r w:rsidRPr="00304413">
        <w:rPr>
          <w:rFonts w:ascii="Verdana" w:hAnsi="Verdana"/>
          <w:sz w:val="18"/>
          <w:szCs w:val="18"/>
          <w:vertAlign w:val="superscript"/>
        </w:rPr>
        <w:footnoteReference w:id="18"/>
      </w:r>
      <w:r w:rsidRPr="00304413">
        <w:rPr>
          <w:rFonts w:ascii="Verdana" w:hAnsi="Verdana"/>
          <w:sz w:val="18"/>
          <w:szCs w:val="18"/>
        </w:rPr>
        <w:t xml:space="preserve"> </w:t>
      </w:r>
      <w:r w:rsidR="00185C11">
        <w:rPr>
          <w:rFonts w:ascii="Verdana" w:hAnsi="Verdana"/>
          <w:sz w:val="18"/>
          <w:szCs w:val="18"/>
        </w:rPr>
        <w:t>De</w:t>
      </w:r>
      <w:r w:rsidRPr="00800F1F" w:rsidR="00185C11">
        <w:rPr>
          <w:rFonts w:ascii="Verdana" w:hAnsi="Verdana"/>
          <w:sz w:val="18"/>
          <w:szCs w:val="18"/>
        </w:rPr>
        <w:t xml:space="preserve"> expertise van Cool:Gen </w:t>
      </w:r>
      <w:r w:rsidR="004F64F9">
        <w:rPr>
          <w:rFonts w:ascii="Verdana" w:hAnsi="Verdana"/>
          <w:sz w:val="18"/>
          <w:szCs w:val="18"/>
        </w:rPr>
        <w:t xml:space="preserve">wordt namelijk </w:t>
      </w:r>
      <w:r w:rsidRPr="00800F1F" w:rsidR="004F64F9">
        <w:rPr>
          <w:rFonts w:ascii="Verdana" w:hAnsi="Verdana"/>
          <w:sz w:val="18"/>
          <w:szCs w:val="18"/>
        </w:rPr>
        <w:t xml:space="preserve">steeds schaarser </w:t>
      </w:r>
      <w:r w:rsidRPr="00800F1F" w:rsidR="00185C11">
        <w:rPr>
          <w:rFonts w:ascii="Verdana" w:hAnsi="Verdana"/>
          <w:sz w:val="18"/>
          <w:szCs w:val="18"/>
        </w:rPr>
        <w:t xml:space="preserve">binnen </w:t>
      </w:r>
      <w:r w:rsidR="004F64F9">
        <w:rPr>
          <w:rFonts w:ascii="Verdana" w:hAnsi="Verdana"/>
          <w:sz w:val="18"/>
          <w:szCs w:val="18"/>
        </w:rPr>
        <w:t>é</w:t>
      </w:r>
      <w:r w:rsidRPr="00800F1F" w:rsidR="00185C11">
        <w:rPr>
          <w:rFonts w:ascii="Verdana" w:hAnsi="Verdana"/>
          <w:sz w:val="18"/>
          <w:szCs w:val="18"/>
        </w:rPr>
        <w:t>n buiten de Belastingdienst</w:t>
      </w:r>
      <w:r w:rsidR="00185C11">
        <w:rPr>
          <w:rFonts w:ascii="Verdana" w:hAnsi="Verdana"/>
          <w:sz w:val="18"/>
          <w:szCs w:val="18"/>
        </w:rPr>
        <w:t>.</w:t>
      </w:r>
      <w:r w:rsidDel="00185C11" w:rsidR="00185C11">
        <w:rPr>
          <w:rFonts w:ascii="Arial" w:hAnsi="Arial" w:cs="Arial"/>
          <w:color w:val="121212"/>
          <w:sz w:val="20"/>
          <w:szCs w:val="20"/>
          <w:shd w:val="clear" w:color="auto" w:fill="FFFFFF"/>
        </w:rPr>
        <w:t xml:space="preserve"> </w:t>
      </w:r>
      <w:r w:rsidRPr="002D2F9E" w:rsidR="00304413">
        <w:rPr>
          <w:rFonts w:ascii="Verdana" w:hAnsi="Verdana"/>
          <w:sz w:val="18"/>
          <w:szCs w:val="18"/>
        </w:rPr>
        <w:t xml:space="preserve">Door eerdere vertragingen, onder andere herstelwerk na uitspraken van de Hoge Raad over box 3, is de </w:t>
      </w:r>
      <w:r w:rsidR="00185C11">
        <w:rPr>
          <w:rFonts w:ascii="Verdana" w:hAnsi="Verdana"/>
          <w:sz w:val="18"/>
          <w:szCs w:val="18"/>
        </w:rPr>
        <w:t xml:space="preserve">huidige </w:t>
      </w:r>
      <w:r w:rsidRPr="002D2F9E" w:rsidR="00304413">
        <w:rPr>
          <w:rFonts w:ascii="Verdana" w:hAnsi="Verdana"/>
          <w:sz w:val="18"/>
          <w:szCs w:val="18"/>
        </w:rPr>
        <w:t>planning om de uitfasering van Cool:Gen eind 2027 af te ronden.</w:t>
      </w:r>
      <w:r w:rsidR="00303C33">
        <w:rPr>
          <w:rFonts w:ascii="Verdana" w:hAnsi="Verdana"/>
          <w:sz w:val="18"/>
          <w:szCs w:val="18"/>
        </w:rPr>
        <w:t xml:space="preserve"> </w:t>
      </w:r>
      <w:r w:rsidRPr="00276931">
        <w:rPr>
          <w:rFonts w:ascii="Verdana" w:hAnsi="Verdana"/>
          <w:sz w:val="18"/>
          <w:szCs w:val="18"/>
        </w:rPr>
        <w:t>Dit is in lijn met de Motie van Eijk die eerder dit jaar is aangenomen</w:t>
      </w:r>
      <w:r w:rsidR="00F170B2">
        <w:rPr>
          <w:rFonts w:ascii="Verdana" w:hAnsi="Verdana"/>
          <w:sz w:val="18"/>
          <w:szCs w:val="18"/>
        </w:rPr>
        <w:t>,</w:t>
      </w:r>
      <w:r w:rsidRPr="00276931">
        <w:rPr>
          <w:rFonts w:ascii="Verdana" w:hAnsi="Verdana"/>
          <w:sz w:val="18"/>
          <w:szCs w:val="18"/>
        </w:rPr>
        <w:t xml:space="preserve"> waarin de regering wordt verzocht om het IV-portfolio van de Belastingdienst zodanig te prioriteren dat het</w:t>
      </w:r>
      <w:r w:rsidR="00304413">
        <w:rPr>
          <w:rFonts w:ascii="Verdana" w:hAnsi="Verdana"/>
          <w:sz w:val="18"/>
          <w:szCs w:val="18"/>
        </w:rPr>
        <w:t xml:space="preserve"> nieuwe</w:t>
      </w:r>
      <w:r w:rsidRPr="00276931">
        <w:rPr>
          <w:rFonts w:ascii="Verdana" w:hAnsi="Verdana"/>
          <w:sz w:val="18"/>
          <w:szCs w:val="18"/>
        </w:rPr>
        <w:t xml:space="preserve"> box</w:t>
      </w:r>
      <w:r w:rsidR="00674C49">
        <w:rPr>
          <w:rFonts w:ascii="Verdana" w:hAnsi="Verdana"/>
          <w:sz w:val="18"/>
          <w:szCs w:val="18"/>
        </w:rPr>
        <w:t xml:space="preserve"> </w:t>
      </w:r>
      <w:r w:rsidRPr="00276931">
        <w:rPr>
          <w:rFonts w:ascii="Verdana" w:hAnsi="Verdana"/>
          <w:sz w:val="18"/>
          <w:szCs w:val="18"/>
        </w:rPr>
        <w:t xml:space="preserve">3-stelsel op basis van werkelijk rendement per 1 januari 2028 kan </w:t>
      </w:r>
      <w:r w:rsidRPr="00304413">
        <w:rPr>
          <w:rFonts w:ascii="Verdana" w:hAnsi="Verdana"/>
          <w:sz w:val="18"/>
          <w:szCs w:val="18"/>
        </w:rPr>
        <w:t>worden gerealiseerd</w:t>
      </w:r>
      <w:r w:rsidR="00415381">
        <w:rPr>
          <w:rStyle w:val="Voetnootmarkering"/>
          <w:rFonts w:ascii="Verdana" w:hAnsi="Verdana"/>
          <w:sz w:val="18"/>
          <w:szCs w:val="18"/>
        </w:rPr>
        <w:footnoteReference w:id="19"/>
      </w:r>
      <w:r w:rsidRPr="00304413">
        <w:rPr>
          <w:rFonts w:ascii="Verdana" w:hAnsi="Verdana"/>
          <w:sz w:val="18"/>
          <w:szCs w:val="18"/>
        </w:rPr>
        <w:t>.</w:t>
      </w:r>
      <w:r w:rsidRPr="00304413" w:rsidR="00304413">
        <w:rPr>
          <w:rFonts w:ascii="Verdana" w:hAnsi="Verdana"/>
          <w:sz w:val="18"/>
          <w:szCs w:val="18"/>
        </w:rPr>
        <w:t xml:space="preserve"> </w:t>
      </w:r>
    </w:p>
    <w:p w:rsidR="00276931" w:rsidP="009B27AF" w:rsidRDefault="00304413" w14:paraId="666C02D1" w14:textId="0AEEB644">
      <w:pPr>
        <w:spacing w:after="0"/>
        <w:rPr>
          <w:rFonts w:ascii="Verdana" w:hAnsi="Verdana"/>
          <w:sz w:val="18"/>
          <w:szCs w:val="18"/>
        </w:rPr>
      </w:pPr>
      <w:r w:rsidRPr="002B2C94">
        <w:rPr>
          <w:rFonts w:ascii="Verdana" w:hAnsi="Verdana"/>
          <w:sz w:val="18"/>
          <w:szCs w:val="18"/>
        </w:rPr>
        <w:t xml:space="preserve">De adviezen van het </w:t>
      </w:r>
      <w:r w:rsidRPr="00276931" w:rsidR="008F7853">
        <w:rPr>
          <w:rFonts w:ascii="Verdana" w:hAnsi="Verdana"/>
          <w:sz w:val="18"/>
          <w:szCs w:val="18"/>
        </w:rPr>
        <w:t xml:space="preserve">Adviescollege ICT-toetsing </w:t>
      </w:r>
      <w:r w:rsidRPr="002B2C94">
        <w:rPr>
          <w:rFonts w:ascii="Verdana" w:hAnsi="Verdana"/>
          <w:sz w:val="18"/>
          <w:szCs w:val="18"/>
        </w:rPr>
        <w:t xml:space="preserve">zijn ter harte genomen en </w:t>
      </w:r>
      <w:r w:rsidR="00AD0DFD">
        <w:rPr>
          <w:rFonts w:ascii="Verdana" w:hAnsi="Verdana"/>
          <w:sz w:val="18"/>
          <w:szCs w:val="18"/>
        </w:rPr>
        <w:t xml:space="preserve">de </w:t>
      </w:r>
      <w:r w:rsidRPr="002B2C94">
        <w:rPr>
          <w:rFonts w:ascii="Verdana" w:hAnsi="Verdana"/>
          <w:sz w:val="18"/>
          <w:szCs w:val="18"/>
        </w:rPr>
        <w:t xml:space="preserve">voortgang wordt </w:t>
      </w:r>
      <w:r>
        <w:rPr>
          <w:rFonts w:ascii="Verdana" w:hAnsi="Verdana"/>
          <w:sz w:val="18"/>
          <w:szCs w:val="18"/>
        </w:rPr>
        <w:t>maandelijks</w:t>
      </w:r>
      <w:r w:rsidRPr="002B2C94">
        <w:rPr>
          <w:rFonts w:ascii="Verdana" w:hAnsi="Verdana"/>
          <w:sz w:val="18"/>
          <w:szCs w:val="18"/>
        </w:rPr>
        <w:t xml:space="preserve"> gemonitord. </w:t>
      </w:r>
      <w:r>
        <w:rPr>
          <w:rFonts w:ascii="Verdana" w:hAnsi="Verdana"/>
          <w:sz w:val="18"/>
          <w:szCs w:val="18"/>
        </w:rPr>
        <w:t xml:space="preserve">Zo </w:t>
      </w:r>
      <w:r w:rsidR="003510B5">
        <w:rPr>
          <w:rFonts w:ascii="Verdana" w:hAnsi="Verdana"/>
          <w:sz w:val="18"/>
          <w:szCs w:val="18"/>
        </w:rPr>
        <w:t>is</w:t>
      </w:r>
      <w:r>
        <w:rPr>
          <w:rFonts w:ascii="Verdana" w:hAnsi="Verdana"/>
          <w:sz w:val="18"/>
          <w:szCs w:val="18"/>
        </w:rPr>
        <w:t xml:space="preserve"> er </w:t>
      </w:r>
      <w:r w:rsidRPr="00276931">
        <w:rPr>
          <w:rFonts w:ascii="Verdana" w:hAnsi="Verdana"/>
          <w:sz w:val="18"/>
          <w:szCs w:val="18"/>
        </w:rPr>
        <w:t xml:space="preserve">een aantal aanscherpingen doorgevoerd in de organisatie van het project en </w:t>
      </w:r>
      <w:r w:rsidR="008F7853">
        <w:rPr>
          <w:rFonts w:ascii="Verdana" w:hAnsi="Verdana"/>
          <w:sz w:val="18"/>
          <w:szCs w:val="18"/>
        </w:rPr>
        <w:t xml:space="preserve">is er </w:t>
      </w:r>
      <w:r w:rsidRPr="00276931">
        <w:rPr>
          <w:rFonts w:ascii="Verdana" w:hAnsi="Verdana"/>
          <w:sz w:val="18"/>
          <w:szCs w:val="18"/>
        </w:rPr>
        <w:t>extra personeel ingezet</w:t>
      </w:r>
      <w:r w:rsidR="008F7853">
        <w:rPr>
          <w:rFonts w:ascii="Verdana" w:hAnsi="Verdana"/>
          <w:sz w:val="18"/>
          <w:szCs w:val="18"/>
        </w:rPr>
        <w:t>.</w:t>
      </w:r>
      <w:r w:rsidRPr="00276931">
        <w:rPr>
          <w:rFonts w:ascii="Verdana" w:hAnsi="Verdana"/>
          <w:sz w:val="18"/>
          <w:szCs w:val="18"/>
        </w:rPr>
        <w:t xml:space="preserve"> </w:t>
      </w:r>
      <w:r w:rsidRPr="00276931" w:rsidR="00276931">
        <w:rPr>
          <w:rFonts w:ascii="Verdana" w:hAnsi="Verdana"/>
          <w:sz w:val="18"/>
          <w:szCs w:val="18"/>
        </w:rPr>
        <w:t xml:space="preserve">De Belastingdienst heeft er </w:t>
      </w:r>
      <w:r>
        <w:rPr>
          <w:rFonts w:ascii="Verdana" w:hAnsi="Verdana"/>
          <w:sz w:val="18"/>
          <w:szCs w:val="18"/>
        </w:rPr>
        <w:t xml:space="preserve">daarom </w:t>
      </w:r>
      <w:r w:rsidRPr="00276931" w:rsidR="00276931">
        <w:rPr>
          <w:rFonts w:ascii="Verdana" w:hAnsi="Verdana"/>
          <w:sz w:val="18"/>
          <w:szCs w:val="18"/>
        </w:rPr>
        <w:t>vertrouwen in dat de uitfasering van Cool:Gen binnen de keten IH uiterlijk eind 2027 is voltooid. Over de voortgang van de uitfasering van Cool:Gen binnen de keten IH zal ik u via de stand-van-zakenbrieven op de hoogte houden.</w:t>
      </w:r>
    </w:p>
    <w:p w:rsidR="00304413" w:rsidP="0041352C" w:rsidRDefault="00304413" w14:paraId="5C8DD997" w14:textId="77777777">
      <w:pPr>
        <w:spacing w:after="0"/>
        <w:rPr>
          <w:rFonts w:ascii="Verdana" w:hAnsi="Verdana"/>
          <w:i/>
          <w:iCs/>
          <w:sz w:val="18"/>
          <w:szCs w:val="18"/>
        </w:rPr>
      </w:pPr>
    </w:p>
    <w:p w:rsidR="00AE1D73" w:rsidP="00F91C10" w:rsidRDefault="00304413" w14:paraId="004C5C14" w14:textId="10EF1581">
      <w:pPr>
        <w:rPr>
          <w:rFonts w:ascii="Verdana" w:hAnsi="Verdana"/>
          <w:sz w:val="18"/>
          <w:szCs w:val="18"/>
        </w:rPr>
      </w:pPr>
      <w:r>
        <w:rPr>
          <w:rFonts w:ascii="Verdana" w:hAnsi="Verdana"/>
          <w:sz w:val="18"/>
          <w:szCs w:val="18"/>
        </w:rPr>
        <w:t>Ook i</w:t>
      </w:r>
      <w:r w:rsidR="00F91C10">
        <w:rPr>
          <w:rFonts w:ascii="Verdana" w:hAnsi="Verdana"/>
          <w:sz w:val="18"/>
          <w:szCs w:val="18"/>
        </w:rPr>
        <w:t>n de keten Loonheffing</w:t>
      </w:r>
      <w:r w:rsidR="009C2218">
        <w:rPr>
          <w:rFonts w:ascii="Verdana" w:hAnsi="Verdana"/>
          <w:sz w:val="18"/>
          <w:szCs w:val="18"/>
        </w:rPr>
        <w:t>en</w:t>
      </w:r>
      <w:r w:rsidR="00F91C10">
        <w:rPr>
          <w:rFonts w:ascii="Verdana" w:hAnsi="Verdana"/>
          <w:sz w:val="18"/>
          <w:szCs w:val="18"/>
        </w:rPr>
        <w:t xml:space="preserve"> (LH) wordt </w:t>
      </w:r>
      <w:r w:rsidR="00F345E4">
        <w:rPr>
          <w:rFonts w:ascii="Verdana" w:hAnsi="Verdana"/>
          <w:sz w:val="18"/>
          <w:szCs w:val="18"/>
        </w:rPr>
        <w:t>Cool:Gen</w:t>
      </w:r>
      <w:r w:rsidR="00F91C10">
        <w:rPr>
          <w:rFonts w:ascii="Verdana" w:hAnsi="Verdana"/>
          <w:sz w:val="18"/>
          <w:szCs w:val="18"/>
        </w:rPr>
        <w:t xml:space="preserve"> uitgefaseerd. </w:t>
      </w:r>
      <w:r>
        <w:rPr>
          <w:rFonts w:ascii="Verdana" w:hAnsi="Verdana"/>
          <w:sz w:val="18"/>
          <w:szCs w:val="18"/>
        </w:rPr>
        <w:t xml:space="preserve">In het </w:t>
      </w:r>
      <w:r w:rsidR="00AA2219">
        <w:rPr>
          <w:rFonts w:ascii="Verdana" w:hAnsi="Verdana"/>
          <w:sz w:val="18"/>
          <w:szCs w:val="18"/>
        </w:rPr>
        <w:t>‘</w:t>
      </w:r>
      <w:r>
        <w:rPr>
          <w:rFonts w:ascii="Verdana" w:hAnsi="Verdana"/>
          <w:sz w:val="18"/>
          <w:szCs w:val="18"/>
        </w:rPr>
        <w:t>overzicht uitvoerbaarheid</w:t>
      </w:r>
      <w:r w:rsidR="00AA2219">
        <w:rPr>
          <w:rFonts w:ascii="Verdana" w:hAnsi="Verdana"/>
          <w:sz w:val="18"/>
          <w:szCs w:val="18"/>
        </w:rPr>
        <w:t>’</w:t>
      </w:r>
      <w:r w:rsidR="00450B56">
        <w:rPr>
          <w:rStyle w:val="Voetnootmarkering"/>
          <w:rFonts w:ascii="Verdana" w:hAnsi="Verdana"/>
          <w:sz w:val="18"/>
          <w:szCs w:val="18"/>
        </w:rPr>
        <w:footnoteReference w:id="20"/>
      </w:r>
      <w:r>
        <w:rPr>
          <w:rFonts w:ascii="Verdana" w:hAnsi="Verdana"/>
          <w:sz w:val="18"/>
          <w:szCs w:val="18"/>
        </w:rPr>
        <w:t xml:space="preserve"> </w:t>
      </w:r>
      <w:r w:rsidR="00AA2219">
        <w:rPr>
          <w:rFonts w:ascii="Verdana" w:hAnsi="Verdana"/>
          <w:sz w:val="18"/>
          <w:szCs w:val="18"/>
        </w:rPr>
        <w:t>heb ik uw</w:t>
      </w:r>
      <w:r>
        <w:rPr>
          <w:rFonts w:ascii="Verdana" w:hAnsi="Verdana"/>
          <w:sz w:val="18"/>
          <w:szCs w:val="18"/>
        </w:rPr>
        <w:t xml:space="preserve"> </w:t>
      </w:r>
      <w:r w:rsidR="00AA2219">
        <w:rPr>
          <w:rFonts w:ascii="Verdana" w:hAnsi="Verdana"/>
          <w:sz w:val="18"/>
          <w:szCs w:val="18"/>
        </w:rPr>
        <w:t>K</w:t>
      </w:r>
      <w:r>
        <w:rPr>
          <w:rFonts w:ascii="Verdana" w:hAnsi="Verdana"/>
          <w:sz w:val="18"/>
          <w:szCs w:val="18"/>
        </w:rPr>
        <w:t xml:space="preserve">amer </w:t>
      </w:r>
      <w:r w:rsidR="00185C11">
        <w:rPr>
          <w:rFonts w:ascii="Verdana" w:hAnsi="Verdana"/>
          <w:sz w:val="18"/>
          <w:szCs w:val="18"/>
        </w:rPr>
        <w:t xml:space="preserve">in september dit jaar </w:t>
      </w:r>
      <w:r>
        <w:rPr>
          <w:rFonts w:ascii="Verdana" w:hAnsi="Verdana"/>
          <w:sz w:val="18"/>
          <w:szCs w:val="18"/>
        </w:rPr>
        <w:t>geïnformeerd over de gevolgen van de</w:t>
      </w:r>
      <w:r w:rsidRPr="00A9323C" w:rsidR="00F91C10">
        <w:rPr>
          <w:rFonts w:ascii="Verdana" w:hAnsi="Verdana"/>
          <w:sz w:val="18"/>
          <w:szCs w:val="18"/>
        </w:rPr>
        <w:t xml:space="preserve"> maatregel ‘fiscale normering markt voor voertuigen gericht op personenvervoer’</w:t>
      </w:r>
      <w:r w:rsidRPr="005A480B" w:rsidR="005A480B">
        <w:rPr>
          <w:rFonts w:ascii="Verdana" w:hAnsi="Verdana"/>
          <w:sz w:val="18"/>
          <w:szCs w:val="18"/>
        </w:rPr>
        <w:t xml:space="preserve"> </w:t>
      </w:r>
      <w:r w:rsidR="005A480B">
        <w:rPr>
          <w:rFonts w:ascii="Verdana" w:hAnsi="Verdana"/>
          <w:sz w:val="18"/>
          <w:szCs w:val="18"/>
        </w:rPr>
        <w:t>voor deze keten</w:t>
      </w:r>
      <w:r w:rsidR="00E7023A">
        <w:rPr>
          <w:rFonts w:ascii="Verdana" w:hAnsi="Verdana"/>
          <w:sz w:val="18"/>
          <w:szCs w:val="18"/>
        </w:rPr>
        <w:t xml:space="preserve"> en de gevolgen voor de uitfasering van Cool:</w:t>
      </w:r>
      <w:r w:rsidR="00712F8A">
        <w:rPr>
          <w:rFonts w:ascii="Verdana" w:hAnsi="Verdana"/>
          <w:sz w:val="18"/>
          <w:szCs w:val="18"/>
        </w:rPr>
        <w:t>G</w:t>
      </w:r>
      <w:r w:rsidR="00E7023A">
        <w:rPr>
          <w:rFonts w:ascii="Verdana" w:hAnsi="Verdana"/>
          <w:sz w:val="18"/>
          <w:szCs w:val="18"/>
        </w:rPr>
        <w:t>en in de keten LH</w:t>
      </w:r>
      <w:r>
        <w:rPr>
          <w:rFonts w:ascii="Verdana" w:hAnsi="Verdana"/>
          <w:sz w:val="18"/>
          <w:szCs w:val="18"/>
        </w:rPr>
        <w:t>.</w:t>
      </w:r>
      <w:r w:rsidR="00D74C2F">
        <w:rPr>
          <w:rFonts w:ascii="Verdana" w:hAnsi="Verdana"/>
          <w:sz w:val="18"/>
          <w:szCs w:val="18"/>
        </w:rPr>
        <w:t xml:space="preserve"> </w:t>
      </w:r>
      <w:r w:rsidR="007159E9">
        <w:rPr>
          <w:rFonts w:ascii="Verdana" w:hAnsi="Verdana"/>
          <w:sz w:val="18"/>
          <w:szCs w:val="18"/>
        </w:rPr>
        <w:t>Vanaf 2027 moeten w</w:t>
      </w:r>
      <w:r w:rsidRPr="00C47792" w:rsidR="007159E9">
        <w:rPr>
          <w:rFonts w:ascii="Verdana" w:hAnsi="Verdana"/>
          <w:sz w:val="18"/>
          <w:szCs w:val="18"/>
        </w:rPr>
        <w:t xml:space="preserve">erkgevers die geen emissievrije (niet-elektrische) </w:t>
      </w:r>
      <w:r w:rsidR="007159E9">
        <w:rPr>
          <w:rFonts w:ascii="Verdana" w:hAnsi="Verdana"/>
          <w:sz w:val="18"/>
          <w:szCs w:val="18"/>
        </w:rPr>
        <w:t>personen</w:t>
      </w:r>
      <w:r w:rsidRPr="00C47792" w:rsidR="007159E9">
        <w:rPr>
          <w:rFonts w:ascii="Verdana" w:hAnsi="Verdana"/>
          <w:sz w:val="18"/>
          <w:szCs w:val="18"/>
        </w:rPr>
        <w:t xml:space="preserve">auto’s aan hun werknemers beschikbaar stellen </w:t>
      </w:r>
      <w:r w:rsidR="007159E9">
        <w:rPr>
          <w:rFonts w:ascii="Verdana" w:hAnsi="Verdana"/>
          <w:sz w:val="18"/>
          <w:szCs w:val="18"/>
        </w:rPr>
        <w:t xml:space="preserve">ook </w:t>
      </w:r>
      <w:r w:rsidRPr="00C47792" w:rsidR="007159E9">
        <w:rPr>
          <w:rFonts w:ascii="Verdana" w:hAnsi="Verdana"/>
          <w:sz w:val="18"/>
          <w:szCs w:val="18"/>
        </w:rPr>
        <w:t>voor privégebruik</w:t>
      </w:r>
      <w:r w:rsidR="00185C11">
        <w:rPr>
          <w:rFonts w:ascii="Verdana" w:hAnsi="Verdana"/>
          <w:sz w:val="18"/>
          <w:szCs w:val="18"/>
        </w:rPr>
        <w:t xml:space="preserve"> -</w:t>
      </w:r>
      <w:r w:rsidR="007159E9">
        <w:rPr>
          <w:rFonts w:ascii="Verdana" w:hAnsi="Verdana"/>
          <w:sz w:val="18"/>
          <w:szCs w:val="18"/>
        </w:rPr>
        <w:t xml:space="preserve"> waaronder woon-werkverkeer</w:t>
      </w:r>
      <w:r w:rsidR="00185C11">
        <w:rPr>
          <w:rFonts w:ascii="Verdana" w:hAnsi="Verdana"/>
          <w:sz w:val="18"/>
          <w:szCs w:val="18"/>
        </w:rPr>
        <w:t xml:space="preserve"> - </w:t>
      </w:r>
      <w:r w:rsidR="007159E9">
        <w:rPr>
          <w:rFonts w:ascii="Verdana" w:hAnsi="Verdana"/>
          <w:sz w:val="18"/>
          <w:szCs w:val="18"/>
        </w:rPr>
        <w:t>een pseudo-eindheffing van 12%</w:t>
      </w:r>
      <w:r w:rsidRPr="00C47792" w:rsidR="007159E9">
        <w:rPr>
          <w:rFonts w:ascii="Verdana" w:hAnsi="Verdana"/>
          <w:sz w:val="18"/>
          <w:szCs w:val="18"/>
        </w:rPr>
        <w:t xml:space="preserve"> betalen</w:t>
      </w:r>
      <w:r w:rsidR="007159E9">
        <w:rPr>
          <w:rFonts w:ascii="Verdana" w:hAnsi="Verdana"/>
          <w:sz w:val="18"/>
          <w:szCs w:val="18"/>
        </w:rPr>
        <w:t xml:space="preserve"> over de waarde van de fossiele personenauto, tenzij overgangsrecht van toepassing</w:t>
      </w:r>
      <w:r w:rsidR="0018125D">
        <w:rPr>
          <w:rStyle w:val="Voetnootmarkering"/>
          <w:rFonts w:ascii="Verdana" w:hAnsi="Verdana"/>
          <w:sz w:val="18"/>
          <w:szCs w:val="18"/>
        </w:rPr>
        <w:footnoteReference w:id="21"/>
      </w:r>
      <w:r w:rsidRPr="00C47792" w:rsidR="007159E9">
        <w:rPr>
          <w:rFonts w:ascii="Verdana" w:hAnsi="Verdana"/>
          <w:sz w:val="18"/>
          <w:szCs w:val="18"/>
        </w:rPr>
        <w:t>.</w:t>
      </w:r>
      <w:r w:rsidR="00303C33">
        <w:rPr>
          <w:rFonts w:ascii="Verdana" w:hAnsi="Verdana"/>
          <w:sz w:val="18"/>
          <w:szCs w:val="18"/>
        </w:rPr>
        <w:t xml:space="preserve"> Deze </w:t>
      </w:r>
      <w:r w:rsidRPr="00C47792" w:rsidR="00C47792">
        <w:rPr>
          <w:rFonts w:ascii="Verdana" w:hAnsi="Verdana"/>
          <w:sz w:val="18"/>
          <w:szCs w:val="18"/>
        </w:rPr>
        <w:t xml:space="preserve">maatregel zorgt ervoor dat werkgevers financieel worden aangemoedigd om over te stappen op volledig elektrische auto’s. </w:t>
      </w:r>
      <w:r>
        <w:rPr>
          <w:rFonts w:ascii="Verdana" w:hAnsi="Verdana"/>
          <w:sz w:val="18"/>
          <w:szCs w:val="18"/>
        </w:rPr>
        <w:t xml:space="preserve">Om deze </w:t>
      </w:r>
      <w:r w:rsidR="0018125D">
        <w:rPr>
          <w:rFonts w:ascii="Verdana" w:hAnsi="Verdana"/>
          <w:sz w:val="18"/>
          <w:szCs w:val="18"/>
        </w:rPr>
        <w:t>heffing</w:t>
      </w:r>
      <w:r w:rsidRPr="00A9323C" w:rsidR="00F91C10">
        <w:rPr>
          <w:rFonts w:ascii="Verdana" w:hAnsi="Verdana"/>
          <w:sz w:val="18"/>
          <w:szCs w:val="18"/>
        </w:rPr>
        <w:t xml:space="preserve"> per 1 januari 2027 inpasbaar te maken is herprioritering nodig</w:t>
      </w:r>
      <w:r w:rsidR="00F91C10">
        <w:rPr>
          <w:rFonts w:ascii="Verdana" w:hAnsi="Verdana"/>
          <w:sz w:val="18"/>
          <w:szCs w:val="18"/>
        </w:rPr>
        <w:t xml:space="preserve"> in de keten LH. Dit resulteert in </w:t>
      </w:r>
      <w:r w:rsidRPr="00A9323C" w:rsidR="00F91C10">
        <w:rPr>
          <w:rFonts w:ascii="Verdana" w:hAnsi="Verdana"/>
          <w:sz w:val="18"/>
          <w:szCs w:val="18"/>
        </w:rPr>
        <w:t xml:space="preserve">een vertraging van drie tot zes maanden voor de planning van </w:t>
      </w:r>
      <w:r w:rsidR="005A480B">
        <w:rPr>
          <w:rFonts w:ascii="Verdana" w:hAnsi="Verdana"/>
          <w:sz w:val="18"/>
          <w:szCs w:val="18"/>
        </w:rPr>
        <w:t xml:space="preserve">de </w:t>
      </w:r>
      <w:r w:rsidR="00F91C10">
        <w:rPr>
          <w:rFonts w:ascii="Verdana" w:hAnsi="Verdana"/>
          <w:sz w:val="18"/>
          <w:szCs w:val="18"/>
        </w:rPr>
        <w:t xml:space="preserve">uitfasering </w:t>
      </w:r>
      <w:r w:rsidR="00F345E4">
        <w:rPr>
          <w:rFonts w:ascii="Verdana" w:hAnsi="Verdana"/>
          <w:sz w:val="18"/>
          <w:szCs w:val="18"/>
        </w:rPr>
        <w:t>Cool:Gen</w:t>
      </w:r>
      <w:r w:rsidRPr="00A9323C" w:rsidR="00F91C10">
        <w:rPr>
          <w:rFonts w:ascii="Verdana" w:hAnsi="Verdana"/>
          <w:sz w:val="18"/>
          <w:szCs w:val="18"/>
        </w:rPr>
        <w:t xml:space="preserve"> </w:t>
      </w:r>
      <w:r w:rsidR="005F43C7">
        <w:rPr>
          <w:rFonts w:ascii="Verdana" w:hAnsi="Verdana"/>
          <w:sz w:val="18"/>
          <w:szCs w:val="18"/>
        </w:rPr>
        <w:t>in deze keten</w:t>
      </w:r>
      <w:r w:rsidR="00717BB8">
        <w:rPr>
          <w:rFonts w:ascii="Verdana" w:hAnsi="Verdana"/>
          <w:sz w:val="18"/>
          <w:szCs w:val="18"/>
        </w:rPr>
        <w:t xml:space="preserve">, wat betekent dat de deadline van 1 </w:t>
      </w:r>
      <w:r w:rsidR="009C2218">
        <w:rPr>
          <w:rFonts w:ascii="Verdana" w:hAnsi="Verdana"/>
          <w:sz w:val="18"/>
          <w:szCs w:val="18"/>
        </w:rPr>
        <w:t xml:space="preserve">juli </w:t>
      </w:r>
      <w:r w:rsidR="00717BB8">
        <w:rPr>
          <w:rFonts w:ascii="Verdana" w:hAnsi="Verdana"/>
          <w:sz w:val="18"/>
          <w:szCs w:val="18"/>
        </w:rPr>
        <w:t xml:space="preserve">2027 verplaatst naar uiterlijk 1 </w:t>
      </w:r>
      <w:r w:rsidR="009C2218">
        <w:rPr>
          <w:rFonts w:ascii="Verdana" w:hAnsi="Verdana"/>
          <w:sz w:val="18"/>
          <w:szCs w:val="18"/>
        </w:rPr>
        <w:t xml:space="preserve">januari </w:t>
      </w:r>
      <w:r w:rsidR="00717BB8">
        <w:rPr>
          <w:rFonts w:ascii="Verdana" w:hAnsi="Verdana"/>
          <w:sz w:val="18"/>
          <w:szCs w:val="18"/>
        </w:rPr>
        <w:t>202</w:t>
      </w:r>
      <w:r w:rsidR="009C2218">
        <w:rPr>
          <w:rFonts w:ascii="Verdana" w:hAnsi="Verdana"/>
          <w:sz w:val="18"/>
          <w:szCs w:val="18"/>
        </w:rPr>
        <w:t>8</w:t>
      </w:r>
      <w:r w:rsidRPr="00A9323C" w:rsidR="00F91C10">
        <w:rPr>
          <w:rFonts w:ascii="Verdana" w:hAnsi="Verdana"/>
          <w:sz w:val="18"/>
          <w:szCs w:val="18"/>
        </w:rPr>
        <w:t>.</w:t>
      </w:r>
      <w:r w:rsidR="00F91C10">
        <w:rPr>
          <w:rFonts w:ascii="Verdana" w:hAnsi="Verdana"/>
          <w:sz w:val="18"/>
          <w:szCs w:val="18"/>
        </w:rPr>
        <w:t xml:space="preserve"> </w:t>
      </w:r>
    </w:p>
    <w:p w:rsidRPr="00AE6403" w:rsidR="00AE6403" w:rsidP="00AE6403" w:rsidRDefault="00AE6403" w14:paraId="3721A633" w14:textId="511DDDBB">
      <w:pPr>
        <w:rPr>
          <w:rFonts w:ascii="Verdana" w:hAnsi="Verdana"/>
          <w:b/>
          <w:bCs/>
          <w:sz w:val="18"/>
          <w:szCs w:val="18"/>
        </w:rPr>
      </w:pPr>
      <w:r>
        <w:rPr>
          <w:rFonts w:ascii="Verdana" w:hAnsi="Verdana"/>
          <w:b/>
          <w:bCs/>
          <w:sz w:val="18"/>
          <w:szCs w:val="18"/>
        </w:rPr>
        <w:lastRenderedPageBreak/>
        <w:t>1</w:t>
      </w:r>
      <w:r w:rsidR="007F29E6">
        <w:rPr>
          <w:rFonts w:ascii="Verdana" w:hAnsi="Verdana"/>
          <w:b/>
          <w:bCs/>
          <w:sz w:val="18"/>
          <w:szCs w:val="18"/>
        </w:rPr>
        <w:t>1</w:t>
      </w:r>
      <w:r>
        <w:rPr>
          <w:rFonts w:ascii="Verdana" w:hAnsi="Verdana"/>
          <w:b/>
          <w:bCs/>
          <w:sz w:val="18"/>
          <w:szCs w:val="18"/>
        </w:rPr>
        <w:t xml:space="preserve">. </w:t>
      </w:r>
      <w:r w:rsidR="003438B3">
        <w:rPr>
          <w:rFonts w:ascii="Verdana" w:hAnsi="Verdana"/>
          <w:b/>
          <w:bCs/>
          <w:sz w:val="18"/>
          <w:szCs w:val="18"/>
        </w:rPr>
        <w:t xml:space="preserve">Bedrijfsvoering: Nieuw </w:t>
      </w:r>
      <w:r w:rsidRPr="007C6F3A" w:rsidR="007C6F3A">
        <w:rPr>
          <w:rFonts w:ascii="Verdana" w:hAnsi="Verdana"/>
          <w:b/>
          <w:bCs/>
          <w:sz w:val="18"/>
          <w:szCs w:val="18"/>
        </w:rPr>
        <w:t>Enterprise Resource Planning</w:t>
      </w:r>
      <w:r w:rsidR="007C6F3A">
        <w:rPr>
          <w:rFonts w:ascii="Verdana" w:hAnsi="Verdana"/>
          <w:b/>
          <w:bCs/>
          <w:sz w:val="18"/>
          <w:szCs w:val="18"/>
        </w:rPr>
        <w:t xml:space="preserve"> (</w:t>
      </w:r>
      <w:r w:rsidRPr="00AE6403">
        <w:rPr>
          <w:rFonts w:ascii="Verdana" w:hAnsi="Verdana"/>
          <w:b/>
          <w:bCs/>
          <w:sz w:val="18"/>
          <w:szCs w:val="18"/>
        </w:rPr>
        <w:t>ERP</w:t>
      </w:r>
      <w:r w:rsidR="007C6F3A">
        <w:rPr>
          <w:rFonts w:ascii="Verdana" w:hAnsi="Verdana"/>
          <w:b/>
          <w:bCs/>
          <w:sz w:val="18"/>
          <w:szCs w:val="18"/>
        </w:rPr>
        <w:t>)</w:t>
      </w:r>
      <w:r w:rsidRPr="00AE6403">
        <w:rPr>
          <w:rFonts w:ascii="Verdana" w:hAnsi="Verdana"/>
          <w:b/>
          <w:bCs/>
          <w:sz w:val="18"/>
          <w:szCs w:val="18"/>
        </w:rPr>
        <w:t>-</w:t>
      </w:r>
      <w:r w:rsidR="003438B3">
        <w:rPr>
          <w:rFonts w:ascii="Verdana" w:hAnsi="Verdana"/>
          <w:b/>
          <w:bCs/>
          <w:sz w:val="18"/>
          <w:szCs w:val="18"/>
        </w:rPr>
        <w:t>Systeem</w:t>
      </w:r>
    </w:p>
    <w:p w:rsidRPr="00AE6403" w:rsidR="00AE6403" w:rsidP="00AE6403" w:rsidRDefault="0064195D" w14:paraId="20F1B5BE" w14:textId="7934E6D6">
      <w:pPr>
        <w:rPr>
          <w:rFonts w:ascii="Verdana" w:hAnsi="Verdana"/>
          <w:sz w:val="18"/>
          <w:szCs w:val="18"/>
        </w:rPr>
      </w:pPr>
      <w:r w:rsidRPr="0064195D">
        <w:rPr>
          <w:rFonts w:ascii="Verdana" w:hAnsi="Verdana"/>
          <w:sz w:val="18"/>
          <w:szCs w:val="18"/>
        </w:rPr>
        <w:t>In 2023 is de Belastingdienst begonnen met het vernieuwen van hun bedrijfsvoering (ERP</w:t>
      </w:r>
      <w:r w:rsidR="00521C5C">
        <w:rPr>
          <w:rFonts w:ascii="Verdana" w:hAnsi="Verdana"/>
          <w:sz w:val="18"/>
          <w:szCs w:val="18"/>
        </w:rPr>
        <w:t>-</w:t>
      </w:r>
      <w:r w:rsidRPr="0064195D">
        <w:rPr>
          <w:rFonts w:ascii="Verdana" w:hAnsi="Verdana"/>
          <w:sz w:val="18"/>
          <w:szCs w:val="18"/>
        </w:rPr>
        <w:t>systeem</w:t>
      </w:r>
      <w:r w:rsidR="00521C5C">
        <w:rPr>
          <w:rFonts w:ascii="Verdana" w:hAnsi="Verdana"/>
          <w:sz w:val="18"/>
          <w:szCs w:val="18"/>
        </w:rPr>
        <w:t>)</w:t>
      </w:r>
      <w:r w:rsidRPr="00AE6403">
        <w:rPr>
          <w:rFonts w:ascii="Verdana" w:hAnsi="Verdana"/>
          <w:sz w:val="18"/>
          <w:szCs w:val="18"/>
        </w:rPr>
        <w:t xml:space="preserve"> </w:t>
      </w:r>
      <w:r>
        <w:rPr>
          <w:rFonts w:ascii="Verdana" w:hAnsi="Verdana"/>
          <w:sz w:val="18"/>
          <w:szCs w:val="18"/>
        </w:rPr>
        <w:t>dat wordt gebruikt door</w:t>
      </w:r>
      <w:r w:rsidRPr="00AE6403" w:rsidR="00AE6403">
        <w:rPr>
          <w:rFonts w:ascii="Verdana" w:hAnsi="Verdana"/>
          <w:sz w:val="18"/>
          <w:szCs w:val="18"/>
        </w:rPr>
        <w:t xml:space="preserve"> </w:t>
      </w:r>
      <w:r w:rsidR="007F4C3D">
        <w:rPr>
          <w:rFonts w:ascii="Verdana" w:hAnsi="Verdana"/>
          <w:sz w:val="18"/>
          <w:szCs w:val="18"/>
        </w:rPr>
        <w:t xml:space="preserve">de </w:t>
      </w:r>
      <w:r w:rsidRPr="00AE6403" w:rsidR="00AE6403">
        <w:rPr>
          <w:rFonts w:ascii="Verdana" w:hAnsi="Verdana"/>
          <w:sz w:val="18"/>
          <w:szCs w:val="18"/>
        </w:rPr>
        <w:t xml:space="preserve">Belastingdienst, Douane en </w:t>
      </w:r>
      <w:r w:rsidR="007F4C3D">
        <w:rPr>
          <w:rFonts w:ascii="Verdana" w:hAnsi="Verdana"/>
          <w:sz w:val="18"/>
          <w:szCs w:val="18"/>
        </w:rPr>
        <w:t xml:space="preserve">Dienst </w:t>
      </w:r>
      <w:r w:rsidRPr="00AE6403" w:rsidR="00AE6403">
        <w:rPr>
          <w:rFonts w:ascii="Verdana" w:hAnsi="Verdana"/>
          <w:sz w:val="18"/>
          <w:szCs w:val="18"/>
        </w:rPr>
        <w:t xml:space="preserve">Toeslagen. </w:t>
      </w:r>
      <w:r w:rsidRPr="0064195D">
        <w:rPr>
          <w:rFonts w:ascii="Verdana" w:hAnsi="Verdana"/>
          <w:sz w:val="18"/>
          <w:szCs w:val="18"/>
        </w:rPr>
        <w:t>Dit systeem, geleverd door SAP, helpt om de bedrijfsvoering te verbeteren en toekomstbestendig te maken.</w:t>
      </w:r>
      <w:r>
        <w:rPr>
          <w:rFonts w:ascii="Verdana" w:hAnsi="Verdana"/>
          <w:sz w:val="18"/>
          <w:szCs w:val="18"/>
        </w:rPr>
        <w:t xml:space="preserve"> </w:t>
      </w:r>
      <w:r w:rsidR="00F345E4">
        <w:rPr>
          <w:rFonts w:ascii="Verdana" w:hAnsi="Verdana"/>
          <w:sz w:val="18"/>
          <w:szCs w:val="18"/>
        </w:rPr>
        <w:t xml:space="preserve">In een grote en complexe organisatie als de Belastingdienst is een gestructureerd en beheerst overzicht van de bedrijfsvoering erg belangrijk. </w:t>
      </w:r>
    </w:p>
    <w:p w:rsidR="0089289F" w:rsidP="00AE6403" w:rsidRDefault="0089289F" w14:paraId="5D59B40E" w14:textId="3F18BE05">
      <w:pPr>
        <w:rPr>
          <w:rFonts w:ascii="Verdana" w:hAnsi="Verdana"/>
          <w:sz w:val="18"/>
          <w:szCs w:val="18"/>
        </w:rPr>
      </w:pPr>
      <w:r w:rsidRPr="0064195D">
        <w:rPr>
          <w:rFonts w:ascii="Verdana" w:hAnsi="Verdana"/>
          <w:sz w:val="18"/>
          <w:szCs w:val="18"/>
        </w:rPr>
        <w:t xml:space="preserve">Voor de korte termijn was een upgrade naar een nieuw systeem van SAP, S/4HANA, nodig omdat de oude versie in 2027 niet meer </w:t>
      </w:r>
      <w:r w:rsidR="00712F8A">
        <w:rPr>
          <w:rFonts w:ascii="Verdana" w:hAnsi="Verdana"/>
          <w:sz w:val="18"/>
          <w:szCs w:val="18"/>
        </w:rPr>
        <w:t xml:space="preserve">zal worden </w:t>
      </w:r>
      <w:r w:rsidRPr="0064195D">
        <w:rPr>
          <w:rFonts w:ascii="Verdana" w:hAnsi="Verdana"/>
          <w:sz w:val="18"/>
          <w:szCs w:val="18"/>
        </w:rPr>
        <w:t>ondersteund. In 2024 is het systeem voor de grote geldstroom</w:t>
      </w:r>
      <w:r>
        <w:rPr>
          <w:rFonts w:ascii="Verdana" w:hAnsi="Verdana"/>
          <w:sz w:val="18"/>
          <w:szCs w:val="18"/>
        </w:rPr>
        <w:t>,</w:t>
      </w:r>
      <w:r w:rsidRPr="0064195D">
        <w:rPr>
          <w:rFonts w:ascii="Verdana" w:hAnsi="Verdana"/>
          <w:sz w:val="18"/>
          <w:szCs w:val="18"/>
        </w:rPr>
        <w:t xml:space="preserve"> </w:t>
      </w:r>
      <w:r w:rsidRPr="00AE6403">
        <w:rPr>
          <w:rFonts w:ascii="Verdana" w:hAnsi="Verdana"/>
          <w:sz w:val="18"/>
          <w:szCs w:val="18"/>
        </w:rPr>
        <w:t>waarin het totaal van belastinggelden wordt verantwoord en verdeeld</w:t>
      </w:r>
      <w:r>
        <w:rPr>
          <w:rFonts w:ascii="Verdana" w:hAnsi="Verdana"/>
          <w:sz w:val="18"/>
          <w:szCs w:val="18"/>
        </w:rPr>
        <w:t>,</w:t>
      </w:r>
      <w:r w:rsidRPr="0064195D">
        <w:rPr>
          <w:rFonts w:ascii="Verdana" w:hAnsi="Verdana"/>
          <w:sz w:val="18"/>
          <w:szCs w:val="18"/>
        </w:rPr>
        <w:t xml:space="preserve"> succesvol geüpgraded</w:t>
      </w:r>
      <w:r>
        <w:rPr>
          <w:rFonts w:ascii="Verdana" w:hAnsi="Verdana"/>
          <w:sz w:val="18"/>
          <w:szCs w:val="18"/>
        </w:rPr>
        <w:t>.</w:t>
      </w:r>
      <w:r w:rsidRPr="0064195D">
        <w:rPr>
          <w:rFonts w:ascii="Verdana" w:hAnsi="Verdana"/>
          <w:sz w:val="18"/>
          <w:szCs w:val="18"/>
        </w:rPr>
        <w:t xml:space="preserve"> </w:t>
      </w:r>
      <w:r>
        <w:rPr>
          <w:rFonts w:ascii="Verdana" w:hAnsi="Verdana"/>
          <w:sz w:val="18"/>
          <w:szCs w:val="18"/>
        </w:rPr>
        <w:t>I</w:t>
      </w:r>
      <w:r w:rsidRPr="0064195D">
        <w:rPr>
          <w:rFonts w:ascii="Verdana" w:hAnsi="Verdana"/>
          <w:sz w:val="18"/>
          <w:szCs w:val="18"/>
        </w:rPr>
        <w:t>n juni 2025 is ook het systeem voor de kleine geldstroom</w:t>
      </w:r>
      <w:r>
        <w:rPr>
          <w:rFonts w:ascii="Verdana" w:hAnsi="Verdana"/>
          <w:sz w:val="18"/>
          <w:szCs w:val="18"/>
        </w:rPr>
        <w:t>,</w:t>
      </w:r>
      <w:r w:rsidRPr="0064195D">
        <w:rPr>
          <w:rFonts w:ascii="Verdana" w:hAnsi="Verdana"/>
          <w:sz w:val="18"/>
          <w:szCs w:val="18"/>
        </w:rPr>
        <w:t xml:space="preserve"> </w:t>
      </w:r>
      <w:r w:rsidRPr="00AE6403">
        <w:rPr>
          <w:rFonts w:ascii="Verdana" w:hAnsi="Verdana"/>
          <w:sz w:val="18"/>
          <w:szCs w:val="18"/>
        </w:rPr>
        <w:t xml:space="preserve">voor de financiële administratie van de </w:t>
      </w:r>
      <w:r w:rsidR="00626973">
        <w:rPr>
          <w:rFonts w:ascii="Verdana" w:hAnsi="Verdana"/>
          <w:sz w:val="18"/>
          <w:szCs w:val="18"/>
        </w:rPr>
        <w:t>B</w:t>
      </w:r>
      <w:r w:rsidRPr="00AE6403">
        <w:rPr>
          <w:rFonts w:ascii="Verdana" w:hAnsi="Verdana"/>
          <w:sz w:val="18"/>
          <w:szCs w:val="18"/>
        </w:rPr>
        <w:t>elastingdienst</w:t>
      </w:r>
      <w:r>
        <w:rPr>
          <w:rFonts w:ascii="Verdana" w:hAnsi="Verdana"/>
          <w:sz w:val="18"/>
          <w:szCs w:val="18"/>
        </w:rPr>
        <w:t xml:space="preserve"> en</w:t>
      </w:r>
      <w:r w:rsidRPr="00AE6403">
        <w:rPr>
          <w:rFonts w:ascii="Verdana" w:hAnsi="Verdana"/>
          <w:sz w:val="18"/>
          <w:szCs w:val="18"/>
        </w:rPr>
        <w:t xml:space="preserve"> waar meer dan 30.000 medewerkers gebruik van maken</w:t>
      </w:r>
      <w:r>
        <w:rPr>
          <w:rFonts w:ascii="Verdana" w:hAnsi="Verdana"/>
          <w:sz w:val="18"/>
          <w:szCs w:val="18"/>
        </w:rPr>
        <w:t>,</w:t>
      </w:r>
      <w:r w:rsidRPr="0064195D">
        <w:rPr>
          <w:rFonts w:ascii="Verdana" w:hAnsi="Verdana"/>
          <w:sz w:val="18"/>
          <w:szCs w:val="18"/>
        </w:rPr>
        <w:t xml:space="preserve"> </w:t>
      </w:r>
      <w:r>
        <w:rPr>
          <w:rFonts w:ascii="Verdana" w:hAnsi="Verdana"/>
          <w:sz w:val="18"/>
          <w:szCs w:val="18"/>
        </w:rPr>
        <w:t xml:space="preserve">volgens planning </w:t>
      </w:r>
      <w:r w:rsidRPr="0064195D">
        <w:rPr>
          <w:rFonts w:ascii="Verdana" w:hAnsi="Verdana"/>
          <w:sz w:val="18"/>
          <w:szCs w:val="18"/>
        </w:rPr>
        <w:t>overgezet naar S/4HANA.</w:t>
      </w:r>
    </w:p>
    <w:p w:rsidRPr="00AE6403" w:rsidR="00AE6403" w:rsidP="00AE6403" w:rsidRDefault="00AE6403" w14:paraId="73D5EAE0" w14:textId="1D979961">
      <w:pPr>
        <w:rPr>
          <w:rFonts w:ascii="Verdana" w:hAnsi="Verdana"/>
          <w:sz w:val="18"/>
          <w:szCs w:val="18"/>
        </w:rPr>
      </w:pPr>
      <w:r w:rsidRPr="00AE6403">
        <w:rPr>
          <w:rFonts w:ascii="Verdana" w:hAnsi="Verdana"/>
          <w:sz w:val="18"/>
          <w:szCs w:val="18"/>
        </w:rPr>
        <w:t xml:space="preserve">Daarnaast is het ERP-systeem vereenvoudigd door onderdelen te vervangen of bijvoorbeeld onder te brengen in </w:t>
      </w:r>
      <w:r w:rsidR="004E4205">
        <w:rPr>
          <w:rFonts w:ascii="Verdana" w:hAnsi="Verdana"/>
          <w:sz w:val="18"/>
          <w:szCs w:val="18"/>
        </w:rPr>
        <w:t>r</w:t>
      </w:r>
      <w:r w:rsidRPr="00AE6403">
        <w:rPr>
          <w:rFonts w:ascii="Verdana" w:hAnsi="Verdana"/>
          <w:sz w:val="18"/>
          <w:szCs w:val="18"/>
        </w:rPr>
        <w:t>ijksbrede toepassingen. Hiermee is een gedegen fundament gelegd</w:t>
      </w:r>
      <w:r w:rsidR="004E4205">
        <w:rPr>
          <w:rFonts w:ascii="Verdana" w:hAnsi="Verdana"/>
          <w:sz w:val="18"/>
          <w:szCs w:val="18"/>
        </w:rPr>
        <w:t>,</w:t>
      </w:r>
      <w:r w:rsidRPr="00AE6403">
        <w:rPr>
          <w:rFonts w:ascii="Verdana" w:hAnsi="Verdana"/>
          <w:sz w:val="18"/>
          <w:szCs w:val="18"/>
        </w:rPr>
        <w:t xml:space="preserve"> waarmee de basis </w:t>
      </w:r>
      <w:r w:rsidR="005D57FE">
        <w:rPr>
          <w:rFonts w:ascii="Verdana" w:hAnsi="Verdana"/>
          <w:sz w:val="18"/>
          <w:szCs w:val="18"/>
        </w:rPr>
        <w:t xml:space="preserve">verder </w:t>
      </w:r>
      <w:r w:rsidRPr="00AE6403">
        <w:rPr>
          <w:rFonts w:ascii="Verdana" w:hAnsi="Verdana"/>
          <w:sz w:val="18"/>
          <w:szCs w:val="18"/>
        </w:rPr>
        <w:t xml:space="preserve">op orde </w:t>
      </w:r>
      <w:r w:rsidR="007739C2">
        <w:rPr>
          <w:rFonts w:ascii="Verdana" w:hAnsi="Verdana"/>
          <w:sz w:val="18"/>
          <w:szCs w:val="18"/>
        </w:rPr>
        <w:t>wordt gebracht</w:t>
      </w:r>
      <w:r w:rsidRPr="00AE6403">
        <w:rPr>
          <w:rFonts w:ascii="Verdana" w:hAnsi="Verdana"/>
          <w:sz w:val="18"/>
          <w:szCs w:val="18"/>
        </w:rPr>
        <w:t>.</w:t>
      </w:r>
    </w:p>
    <w:p w:rsidRPr="00CF7692" w:rsidR="00CF7692" w:rsidP="00CF7692" w:rsidRDefault="00CF7692" w14:paraId="0DB6B7A8" w14:textId="15DEBEED">
      <w:pPr>
        <w:rPr>
          <w:rFonts w:ascii="Verdana" w:hAnsi="Verdana"/>
          <w:sz w:val="18"/>
          <w:szCs w:val="18"/>
        </w:rPr>
      </w:pPr>
      <w:r w:rsidRPr="00CF7692">
        <w:rPr>
          <w:rFonts w:ascii="Verdana" w:hAnsi="Verdana"/>
          <w:sz w:val="18"/>
          <w:szCs w:val="18"/>
        </w:rPr>
        <w:t xml:space="preserve">In 2026 worden de laatste twee projecten afgerond: de processen voor inkoop en een nieuw systeem voor toegang tot gebouwen. Hierbij worden ook de benodigde koppelingen met </w:t>
      </w:r>
      <w:r>
        <w:rPr>
          <w:rFonts w:ascii="Verdana" w:hAnsi="Verdana"/>
          <w:sz w:val="18"/>
          <w:szCs w:val="18"/>
        </w:rPr>
        <w:t>aangrenzende</w:t>
      </w:r>
      <w:r w:rsidRPr="00CF7692">
        <w:rPr>
          <w:rFonts w:ascii="Verdana" w:hAnsi="Verdana"/>
          <w:sz w:val="18"/>
          <w:szCs w:val="18"/>
        </w:rPr>
        <w:t xml:space="preserve"> systemen</w:t>
      </w:r>
      <w:r>
        <w:rPr>
          <w:rFonts w:ascii="Verdana" w:hAnsi="Verdana"/>
          <w:sz w:val="18"/>
          <w:szCs w:val="18"/>
        </w:rPr>
        <w:t xml:space="preserve"> meegenomen,</w:t>
      </w:r>
      <w:r w:rsidRPr="00CF7692">
        <w:rPr>
          <w:rFonts w:ascii="Verdana" w:hAnsi="Verdana"/>
          <w:sz w:val="18"/>
          <w:szCs w:val="18"/>
        </w:rPr>
        <w:t xml:space="preserve"> zoals Ariba voor </w:t>
      </w:r>
      <w:r>
        <w:rPr>
          <w:rFonts w:ascii="Verdana" w:hAnsi="Verdana"/>
          <w:sz w:val="18"/>
          <w:szCs w:val="18"/>
        </w:rPr>
        <w:t>i</w:t>
      </w:r>
      <w:r w:rsidRPr="00CF7692">
        <w:rPr>
          <w:rFonts w:ascii="Verdana" w:hAnsi="Verdana"/>
          <w:sz w:val="18"/>
          <w:szCs w:val="18"/>
        </w:rPr>
        <w:t>nkoop, Dio</w:t>
      </w:r>
      <w:r w:rsidR="008950A3">
        <w:rPr>
          <w:rFonts w:ascii="Verdana" w:hAnsi="Verdana"/>
          <w:sz w:val="18"/>
          <w:szCs w:val="18"/>
        </w:rPr>
        <w:t>R</w:t>
      </w:r>
      <w:r w:rsidRPr="00CF7692">
        <w:rPr>
          <w:rFonts w:ascii="Verdana" w:hAnsi="Verdana"/>
          <w:sz w:val="18"/>
          <w:szCs w:val="18"/>
        </w:rPr>
        <w:t xml:space="preserve"> voor </w:t>
      </w:r>
      <w:r>
        <w:rPr>
          <w:rFonts w:ascii="Verdana" w:hAnsi="Verdana"/>
          <w:sz w:val="18"/>
          <w:szCs w:val="18"/>
        </w:rPr>
        <w:t>i</w:t>
      </w:r>
      <w:r w:rsidRPr="00CF7692">
        <w:rPr>
          <w:rFonts w:ascii="Verdana" w:hAnsi="Verdana"/>
          <w:sz w:val="18"/>
          <w:szCs w:val="18"/>
        </w:rPr>
        <w:t xml:space="preserve">nhuur en nieuwe applicaties voor </w:t>
      </w:r>
      <w:r>
        <w:rPr>
          <w:rFonts w:ascii="Verdana" w:hAnsi="Verdana"/>
          <w:sz w:val="18"/>
          <w:szCs w:val="18"/>
        </w:rPr>
        <w:t>o</w:t>
      </w:r>
      <w:r w:rsidRPr="00CF7692">
        <w:rPr>
          <w:rFonts w:ascii="Verdana" w:hAnsi="Verdana"/>
          <w:sz w:val="18"/>
          <w:szCs w:val="18"/>
        </w:rPr>
        <w:t>pleidingen. Dit zorgt voor efficiëntere werkwijzen en vervangt maatwerk in het huidige systeem. Daarnaast wordt continu gekeken naar slimme verbeteringen die het nieuwe systeem en moderne technologieën kunnen leveren.</w:t>
      </w:r>
    </w:p>
    <w:p w:rsidRPr="00276931" w:rsidR="000114EC" w:rsidP="000114EC" w:rsidRDefault="000114EC" w14:paraId="3B767B30" w14:textId="2D0BDF53">
      <w:pPr>
        <w:rPr>
          <w:rFonts w:ascii="Verdana" w:hAnsi="Verdana"/>
          <w:b/>
          <w:bCs/>
          <w:sz w:val="18"/>
          <w:szCs w:val="18"/>
          <w:lang w:eastAsia="nl-NL"/>
        </w:rPr>
      </w:pPr>
      <w:r>
        <w:rPr>
          <w:rFonts w:ascii="Verdana" w:hAnsi="Verdana" w:cs="Verdana"/>
          <w:b/>
          <w:bCs/>
          <w:sz w:val="18"/>
          <w:szCs w:val="18"/>
        </w:rPr>
        <w:t>1</w:t>
      </w:r>
      <w:r w:rsidR="007F29E6">
        <w:rPr>
          <w:rFonts w:ascii="Verdana" w:hAnsi="Verdana" w:cs="Verdana"/>
          <w:b/>
          <w:bCs/>
          <w:sz w:val="18"/>
          <w:szCs w:val="18"/>
        </w:rPr>
        <w:t>2</w:t>
      </w:r>
      <w:r w:rsidRPr="00276931">
        <w:rPr>
          <w:rFonts w:ascii="Verdana" w:hAnsi="Verdana" w:cs="Verdana"/>
          <w:b/>
          <w:bCs/>
          <w:sz w:val="18"/>
          <w:szCs w:val="18"/>
        </w:rPr>
        <w:t xml:space="preserve">. </w:t>
      </w:r>
      <w:r w:rsidRPr="00276931">
        <w:rPr>
          <w:rFonts w:ascii="Verdana" w:hAnsi="Verdana"/>
          <w:b/>
          <w:bCs/>
          <w:sz w:val="18"/>
          <w:szCs w:val="18"/>
          <w:lang w:eastAsia="nl-NL"/>
        </w:rPr>
        <w:t>Niet-fiscale taken</w:t>
      </w:r>
    </w:p>
    <w:p w:rsidR="009A31A2" w:rsidP="009A31A2" w:rsidRDefault="000114EC" w14:paraId="6AFF75EB" w14:textId="333E9C96">
      <w:pPr>
        <w:spacing w:after="0"/>
        <w:rPr>
          <w:rFonts w:ascii="Verdana" w:hAnsi="Verdana"/>
          <w:sz w:val="18"/>
          <w:szCs w:val="18"/>
        </w:rPr>
      </w:pPr>
      <w:bookmarkStart w:name="_Hlk212719286" w:id="15"/>
      <w:r w:rsidRPr="00276931">
        <w:rPr>
          <w:rFonts w:ascii="Verdana" w:hAnsi="Verdana"/>
          <w:sz w:val="18"/>
          <w:szCs w:val="18"/>
        </w:rPr>
        <w:t xml:space="preserve">De Belastingdienst voert ongeveer 300 niet-fiscale taken uit. </w:t>
      </w:r>
      <w:bookmarkEnd w:id="15"/>
      <w:r w:rsidRPr="00276931">
        <w:rPr>
          <w:rFonts w:ascii="Verdana" w:hAnsi="Verdana"/>
          <w:sz w:val="18"/>
          <w:szCs w:val="18"/>
        </w:rPr>
        <w:t xml:space="preserve">Deze niet-fiscale taken zijn taken die niet behoren tot de kerntaak van de Belastingdienst: het heffen en innen van belastingen en premies volksverzekeringen. Het uitvoeren van niet-fiscale taken leidt ertoe dat de druk op de Belastingdienst en het uitvoeren van de kerntaak toeneemt. </w:t>
      </w:r>
      <w:r w:rsidR="009A31A2">
        <w:rPr>
          <w:rFonts w:ascii="Verdana" w:hAnsi="Verdana"/>
          <w:sz w:val="18"/>
          <w:szCs w:val="18"/>
        </w:rPr>
        <w:t>Om de basis op orde te krijgen</w:t>
      </w:r>
      <w:r w:rsidR="003C0692">
        <w:rPr>
          <w:rFonts w:ascii="Verdana" w:hAnsi="Verdana"/>
          <w:sz w:val="18"/>
          <w:szCs w:val="18"/>
        </w:rPr>
        <w:t xml:space="preserve"> en houden</w:t>
      </w:r>
      <w:r w:rsidR="009A31A2">
        <w:rPr>
          <w:rFonts w:ascii="Verdana" w:hAnsi="Verdana"/>
          <w:sz w:val="18"/>
          <w:szCs w:val="18"/>
        </w:rPr>
        <w:t xml:space="preserve"> moet de Belastingdienst </w:t>
      </w:r>
      <w:r w:rsidR="004E6CD4">
        <w:rPr>
          <w:rFonts w:ascii="Verdana" w:hAnsi="Verdana"/>
          <w:sz w:val="18"/>
          <w:szCs w:val="18"/>
        </w:rPr>
        <w:t xml:space="preserve">daarom </w:t>
      </w:r>
      <w:r w:rsidR="009A31A2">
        <w:rPr>
          <w:rFonts w:ascii="Verdana" w:hAnsi="Verdana"/>
          <w:sz w:val="18"/>
          <w:szCs w:val="18"/>
        </w:rPr>
        <w:t xml:space="preserve">kritisch zijn </w:t>
      </w:r>
      <w:r w:rsidR="003C0692">
        <w:rPr>
          <w:rFonts w:ascii="Verdana" w:hAnsi="Verdana"/>
          <w:sz w:val="18"/>
          <w:szCs w:val="18"/>
        </w:rPr>
        <w:t>bij</w:t>
      </w:r>
      <w:r w:rsidR="009A31A2">
        <w:rPr>
          <w:rFonts w:ascii="Verdana" w:hAnsi="Verdana"/>
          <w:sz w:val="18"/>
          <w:szCs w:val="18"/>
        </w:rPr>
        <w:t xml:space="preserve"> het oppakken van </w:t>
      </w:r>
      <w:r w:rsidR="00615152">
        <w:rPr>
          <w:rFonts w:ascii="Verdana" w:hAnsi="Verdana"/>
          <w:sz w:val="18"/>
          <w:szCs w:val="18"/>
        </w:rPr>
        <w:t xml:space="preserve">nieuwe niet-fiscale </w:t>
      </w:r>
      <w:r w:rsidR="009A31A2">
        <w:rPr>
          <w:rFonts w:ascii="Verdana" w:hAnsi="Verdana"/>
          <w:sz w:val="18"/>
          <w:szCs w:val="18"/>
        </w:rPr>
        <w:t xml:space="preserve">taken. De afgelopen tijd </w:t>
      </w:r>
      <w:r w:rsidR="003B5F5C">
        <w:rPr>
          <w:rFonts w:ascii="Verdana" w:hAnsi="Verdana"/>
          <w:sz w:val="18"/>
          <w:szCs w:val="18"/>
        </w:rPr>
        <w:t xml:space="preserve">is er resultaat geboekt dat </w:t>
      </w:r>
      <w:r w:rsidR="004E6CD4">
        <w:rPr>
          <w:rFonts w:ascii="Verdana" w:hAnsi="Verdana"/>
          <w:sz w:val="18"/>
          <w:szCs w:val="18"/>
        </w:rPr>
        <w:t>ik hieronder graag wil toelichten</w:t>
      </w:r>
      <w:r w:rsidR="009A31A2">
        <w:rPr>
          <w:rFonts w:ascii="Verdana" w:hAnsi="Verdana"/>
          <w:sz w:val="18"/>
          <w:szCs w:val="18"/>
        </w:rPr>
        <w:t>.</w:t>
      </w:r>
    </w:p>
    <w:p w:rsidR="000114EC" w:rsidP="000114EC" w:rsidRDefault="000114EC" w14:paraId="569B1834" w14:textId="655B9954">
      <w:pPr>
        <w:spacing w:after="0"/>
        <w:rPr>
          <w:rFonts w:ascii="Verdana" w:hAnsi="Verdana"/>
          <w:sz w:val="18"/>
          <w:szCs w:val="18"/>
        </w:rPr>
      </w:pPr>
    </w:p>
    <w:p w:rsidRPr="00276931" w:rsidR="000114EC" w:rsidP="000114EC" w:rsidRDefault="000114EC" w14:paraId="6B3BFB11" w14:textId="11F8B94D">
      <w:pPr>
        <w:spacing w:after="0"/>
        <w:rPr>
          <w:rFonts w:ascii="Verdana" w:hAnsi="Verdana" w:eastAsia="DejaVu Sans" w:cs="Lohit Hindi"/>
          <w:sz w:val="18"/>
          <w:szCs w:val="18"/>
          <w:lang w:eastAsia="nl-NL"/>
        </w:rPr>
      </w:pPr>
      <w:r w:rsidRPr="00276931">
        <w:rPr>
          <w:rFonts w:ascii="Verdana" w:hAnsi="Verdana"/>
          <w:sz w:val="18"/>
          <w:szCs w:val="18"/>
        </w:rPr>
        <w:t xml:space="preserve">In 2020 heeft ABDTOPConsult in het rapport “Back to Basics” twee aanbevelingen gedaan om deze druk te verlichten. </w:t>
      </w:r>
      <w:r w:rsidRPr="00276931">
        <w:rPr>
          <w:rFonts w:ascii="Verdana" w:hAnsi="Verdana" w:eastAsia="DejaVu Sans" w:cs="Lohit Hindi"/>
          <w:sz w:val="18"/>
          <w:szCs w:val="18"/>
          <w:lang w:eastAsia="nl-NL"/>
        </w:rPr>
        <w:t>Ten eerste is</w:t>
      </w:r>
      <w:r>
        <w:rPr>
          <w:rFonts w:ascii="Verdana" w:hAnsi="Verdana" w:eastAsia="DejaVu Sans" w:cs="Lohit Hindi"/>
          <w:sz w:val="18"/>
          <w:szCs w:val="18"/>
          <w:lang w:eastAsia="nl-NL"/>
        </w:rPr>
        <w:t xml:space="preserve"> sinds 2020</w:t>
      </w:r>
      <w:r w:rsidRPr="00276931">
        <w:rPr>
          <w:rFonts w:ascii="Verdana" w:hAnsi="Verdana" w:eastAsia="DejaVu Sans" w:cs="Lohit Hindi"/>
          <w:sz w:val="18"/>
          <w:szCs w:val="18"/>
          <w:lang w:eastAsia="nl-NL"/>
        </w:rPr>
        <w:t xml:space="preserve"> voor nieuwe taakverzoeken het afwegingskader voor </w:t>
      </w:r>
      <w:r w:rsidRPr="00276931">
        <w:rPr>
          <w:rFonts w:ascii="Verdana" w:hAnsi="Verdana"/>
          <w:sz w:val="18"/>
          <w:szCs w:val="18"/>
        </w:rPr>
        <w:t xml:space="preserve">niet-fiscale taken </w:t>
      </w:r>
      <w:r w:rsidRPr="00276931">
        <w:rPr>
          <w:rFonts w:ascii="Verdana" w:hAnsi="Verdana" w:eastAsia="DejaVu Sans" w:cs="Lohit Hindi"/>
          <w:i/>
          <w:iCs/>
          <w:sz w:val="18"/>
          <w:szCs w:val="18"/>
          <w:lang w:eastAsia="nl-NL"/>
        </w:rPr>
        <w:t>“nee, tenzij een uitzonderingsgrond”</w:t>
      </w:r>
      <w:r w:rsidRPr="00276931">
        <w:rPr>
          <w:rFonts w:ascii="Verdana" w:hAnsi="Verdana" w:eastAsia="DejaVu Sans" w:cs="Lohit Hindi"/>
          <w:sz w:val="18"/>
          <w:szCs w:val="18"/>
          <w:lang w:eastAsia="nl-NL"/>
        </w:rPr>
        <w:t xml:space="preserve"> in gebruik genomen. Dit afwegingskader toetst of er een uitzondering op het principe ‘nee, tenzij…’ bestaat</w:t>
      </w:r>
      <w:r w:rsidR="00176E87">
        <w:rPr>
          <w:rFonts w:ascii="Verdana" w:hAnsi="Verdana" w:eastAsia="DejaVu Sans" w:cs="Lohit Hindi"/>
          <w:sz w:val="18"/>
          <w:szCs w:val="18"/>
          <w:lang w:eastAsia="nl-NL"/>
        </w:rPr>
        <w:t xml:space="preserve">, </w:t>
      </w:r>
      <w:r w:rsidR="00176E87">
        <w:rPr>
          <w:rFonts w:ascii="Verdana" w:hAnsi="Verdana"/>
          <w:sz w:val="18"/>
          <w:szCs w:val="18"/>
        </w:rPr>
        <w:t>zoals unieke data of infrastructuur</w:t>
      </w:r>
      <w:r w:rsidR="001A4C7E">
        <w:rPr>
          <w:rFonts w:ascii="Verdana" w:hAnsi="Verdana"/>
          <w:sz w:val="18"/>
          <w:szCs w:val="18"/>
        </w:rPr>
        <w:t xml:space="preserve">, </w:t>
      </w:r>
      <w:r w:rsidR="002751F0">
        <w:rPr>
          <w:rFonts w:ascii="Verdana" w:hAnsi="Verdana"/>
          <w:sz w:val="18"/>
          <w:szCs w:val="18"/>
        </w:rPr>
        <w:t xml:space="preserve">tijdsdruk </w:t>
      </w:r>
      <w:r w:rsidR="001A4C7E">
        <w:rPr>
          <w:rFonts w:ascii="Verdana" w:hAnsi="Verdana"/>
          <w:sz w:val="18"/>
          <w:szCs w:val="18"/>
        </w:rPr>
        <w:t xml:space="preserve">of </w:t>
      </w:r>
      <w:r w:rsidR="00176E87">
        <w:rPr>
          <w:rFonts w:ascii="Verdana" w:hAnsi="Verdana"/>
          <w:sz w:val="18"/>
          <w:szCs w:val="18"/>
        </w:rPr>
        <w:t>het</w:t>
      </w:r>
      <w:r w:rsidRPr="00276931" w:rsidR="00176E87">
        <w:rPr>
          <w:rFonts w:ascii="Verdana" w:hAnsi="Verdana"/>
          <w:sz w:val="18"/>
          <w:szCs w:val="18"/>
        </w:rPr>
        <w:t xml:space="preserve"> gebrek aan uitvoeringscapaciteit bij andere uitvoerders.</w:t>
      </w:r>
      <w:r w:rsidRPr="00276931">
        <w:rPr>
          <w:rFonts w:ascii="Verdana" w:hAnsi="Verdana" w:eastAsia="DejaVu Sans" w:cs="Lohit Hindi"/>
          <w:sz w:val="18"/>
          <w:szCs w:val="18"/>
          <w:lang w:eastAsia="nl-NL"/>
        </w:rPr>
        <w:t xml:space="preserve"> </w:t>
      </w:r>
      <w:r w:rsidR="002751F0">
        <w:rPr>
          <w:rFonts w:ascii="Verdana" w:hAnsi="Verdana" w:eastAsia="DejaVu Sans" w:cs="Lohit Hindi"/>
          <w:sz w:val="18"/>
          <w:szCs w:val="18"/>
          <w:lang w:eastAsia="nl-NL"/>
        </w:rPr>
        <w:t>De</w:t>
      </w:r>
      <w:r w:rsidRPr="00276931">
        <w:rPr>
          <w:rFonts w:ascii="Verdana" w:hAnsi="Verdana"/>
          <w:sz w:val="18"/>
          <w:szCs w:val="18"/>
        </w:rPr>
        <w:t xml:space="preserve"> Belastingdienst </w:t>
      </w:r>
      <w:r w:rsidR="002751F0">
        <w:rPr>
          <w:rFonts w:ascii="Verdana" w:hAnsi="Verdana"/>
          <w:sz w:val="18"/>
          <w:szCs w:val="18"/>
        </w:rPr>
        <w:t xml:space="preserve">heeft </w:t>
      </w:r>
      <w:r w:rsidRPr="00276931">
        <w:rPr>
          <w:rFonts w:ascii="Verdana" w:hAnsi="Verdana"/>
          <w:sz w:val="18"/>
          <w:szCs w:val="18"/>
        </w:rPr>
        <w:t xml:space="preserve">de afgelopen jaren succesvol ingezet op het terugdringen van het aantal nieuwe niet-fiscale taken. </w:t>
      </w:r>
      <w:r w:rsidR="004E6CD4">
        <w:rPr>
          <w:rFonts w:ascii="Verdana" w:hAnsi="Verdana"/>
          <w:sz w:val="18"/>
          <w:szCs w:val="18"/>
        </w:rPr>
        <w:t xml:space="preserve">Toch </w:t>
      </w:r>
      <w:r w:rsidRPr="00276931">
        <w:rPr>
          <w:rFonts w:ascii="Verdana" w:hAnsi="Verdana"/>
          <w:sz w:val="18"/>
          <w:szCs w:val="18"/>
        </w:rPr>
        <w:t>zijn de afgelopen jaren nieuwe niet-fiscale taken toegevoegd aan het uitvoeringspakket van de Belastingdienst</w:t>
      </w:r>
      <w:r>
        <w:rPr>
          <w:rFonts w:ascii="Verdana" w:hAnsi="Verdana"/>
          <w:sz w:val="18"/>
          <w:szCs w:val="18"/>
        </w:rPr>
        <w:t xml:space="preserve">, zoals bijvoorbeeld de </w:t>
      </w:r>
      <w:r w:rsidRPr="00853655">
        <w:rPr>
          <w:rFonts w:ascii="Verdana" w:hAnsi="Verdana"/>
          <w:sz w:val="18"/>
          <w:szCs w:val="18"/>
        </w:rPr>
        <w:t>Wet toelating ter beschikkingsstelling van arbeidskrachten</w:t>
      </w:r>
      <w:r>
        <w:rPr>
          <w:rFonts w:ascii="Verdana" w:hAnsi="Verdana"/>
          <w:sz w:val="18"/>
          <w:szCs w:val="18"/>
        </w:rPr>
        <w:t xml:space="preserve"> en de</w:t>
      </w:r>
      <w:r w:rsidRPr="00853655">
        <w:rPr>
          <w:rFonts w:ascii="Verdana" w:hAnsi="Verdana"/>
          <w:sz w:val="18"/>
          <w:szCs w:val="18"/>
        </w:rPr>
        <w:t xml:space="preserve"> Wet personeelsbehoud bij crisis</w:t>
      </w:r>
      <w:r w:rsidRPr="00276931">
        <w:rPr>
          <w:rFonts w:ascii="Verdana" w:hAnsi="Verdana"/>
          <w:sz w:val="18"/>
          <w:szCs w:val="18"/>
        </w:rPr>
        <w:t>.</w:t>
      </w:r>
      <w:r w:rsidR="004E6CD4">
        <w:rPr>
          <w:rFonts w:ascii="Verdana" w:hAnsi="Verdana"/>
          <w:sz w:val="18"/>
          <w:szCs w:val="18"/>
        </w:rPr>
        <w:t xml:space="preserve"> Deze taken zijn toegevoegd om</w:t>
      </w:r>
      <w:r w:rsidR="00176E87">
        <w:rPr>
          <w:rFonts w:ascii="Verdana" w:hAnsi="Verdana"/>
          <w:sz w:val="18"/>
          <w:szCs w:val="18"/>
        </w:rPr>
        <w:t>d</w:t>
      </w:r>
      <w:r w:rsidR="004E6CD4">
        <w:rPr>
          <w:rFonts w:ascii="Verdana" w:hAnsi="Verdana"/>
          <w:sz w:val="18"/>
          <w:szCs w:val="18"/>
        </w:rPr>
        <w:t>at er een uitzonderingsgrond van toepassing was</w:t>
      </w:r>
      <w:r w:rsidR="00176E87">
        <w:rPr>
          <w:rFonts w:ascii="Verdana" w:hAnsi="Verdana"/>
          <w:sz w:val="18"/>
          <w:szCs w:val="18"/>
        </w:rPr>
        <w:t xml:space="preserve">. </w:t>
      </w:r>
      <w:r>
        <w:rPr>
          <w:rFonts w:ascii="Verdana" w:hAnsi="Verdana"/>
          <w:sz w:val="18"/>
          <w:szCs w:val="18"/>
        </w:rPr>
        <w:t xml:space="preserve"> </w:t>
      </w:r>
    </w:p>
    <w:p w:rsidRPr="00276931" w:rsidR="000114EC" w:rsidP="000114EC" w:rsidRDefault="000114EC" w14:paraId="771BB77B" w14:textId="77777777">
      <w:pPr>
        <w:spacing w:after="0"/>
        <w:rPr>
          <w:rFonts w:ascii="Verdana" w:hAnsi="Verdana"/>
          <w:sz w:val="18"/>
          <w:szCs w:val="18"/>
        </w:rPr>
      </w:pPr>
    </w:p>
    <w:p w:rsidR="009C1BBB" w:rsidP="0089466B" w:rsidRDefault="000114EC" w14:paraId="3103ADED" w14:textId="21EEC0BA">
      <w:pPr>
        <w:spacing w:after="0"/>
        <w:rPr>
          <w:rFonts w:ascii="Verdana" w:hAnsi="Verdana"/>
          <w:sz w:val="18"/>
          <w:szCs w:val="18"/>
        </w:rPr>
      </w:pPr>
      <w:r w:rsidRPr="00276931">
        <w:rPr>
          <w:rFonts w:ascii="Verdana" w:hAnsi="Verdana"/>
          <w:sz w:val="18"/>
          <w:szCs w:val="18"/>
        </w:rPr>
        <w:t>Ten tweede is aanbevolen en besloten een aantal niet-fiscale taken buiten de Belastingdienst te plaatsen. Hierbij wordt zo veel mogelijk aangesloten bij natuurlijke verandermomenten</w:t>
      </w:r>
      <w:r w:rsidR="005A480B">
        <w:rPr>
          <w:rFonts w:ascii="Verdana" w:hAnsi="Verdana"/>
          <w:sz w:val="18"/>
          <w:szCs w:val="18"/>
        </w:rPr>
        <w:t xml:space="preserve">, zoals bijvoorbeeld de modernisering van de </w:t>
      </w:r>
      <w:r w:rsidR="00626973">
        <w:rPr>
          <w:rFonts w:ascii="Verdana" w:hAnsi="Verdana"/>
          <w:sz w:val="18"/>
          <w:szCs w:val="18"/>
        </w:rPr>
        <w:t>Sanctiewet</w:t>
      </w:r>
      <w:r w:rsidRPr="00276931">
        <w:rPr>
          <w:rFonts w:ascii="Verdana" w:hAnsi="Verdana"/>
          <w:sz w:val="18"/>
          <w:szCs w:val="18"/>
        </w:rPr>
        <w:t>.</w:t>
      </w:r>
      <w:r w:rsidR="005A480B">
        <w:rPr>
          <w:rFonts w:ascii="Verdana" w:hAnsi="Verdana"/>
          <w:sz w:val="18"/>
          <w:szCs w:val="18"/>
        </w:rPr>
        <w:t xml:space="preserve"> U bent geïnformeerd i</w:t>
      </w:r>
      <w:r w:rsidRPr="00276931">
        <w:rPr>
          <w:rFonts w:ascii="Verdana" w:hAnsi="Verdana"/>
          <w:sz w:val="18"/>
          <w:szCs w:val="18"/>
        </w:rPr>
        <w:t>n de stand-van-zakenbrie</w:t>
      </w:r>
      <w:r w:rsidR="00DC6749">
        <w:rPr>
          <w:rFonts w:ascii="Verdana" w:hAnsi="Verdana"/>
          <w:sz w:val="18"/>
          <w:szCs w:val="18"/>
        </w:rPr>
        <w:t>ven</w:t>
      </w:r>
      <w:r w:rsidRPr="00276931">
        <w:rPr>
          <w:rFonts w:ascii="Verdana" w:hAnsi="Verdana"/>
          <w:sz w:val="18"/>
          <w:szCs w:val="18"/>
        </w:rPr>
        <w:t xml:space="preserve"> van 7 februari 2024</w:t>
      </w:r>
      <w:r w:rsidR="00DC6749">
        <w:rPr>
          <w:rStyle w:val="Voetnootmarkering"/>
          <w:rFonts w:ascii="Verdana" w:hAnsi="Verdana"/>
          <w:sz w:val="18"/>
          <w:szCs w:val="18"/>
        </w:rPr>
        <w:footnoteReference w:id="22"/>
      </w:r>
      <w:r w:rsidRPr="00276931">
        <w:rPr>
          <w:rFonts w:ascii="Verdana" w:hAnsi="Verdana"/>
          <w:sz w:val="18"/>
          <w:szCs w:val="18"/>
        </w:rPr>
        <w:t xml:space="preserve"> en 6 maart 2025</w:t>
      </w:r>
      <w:r w:rsidR="00DC6749">
        <w:rPr>
          <w:rStyle w:val="Voetnootmarkering"/>
          <w:rFonts w:ascii="Verdana" w:hAnsi="Verdana"/>
          <w:sz w:val="18"/>
          <w:szCs w:val="18"/>
        </w:rPr>
        <w:footnoteReference w:id="23"/>
      </w:r>
      <w:r w:rsidRPr="00276931">
        <w:rPr>
          <w:rFonts w:ascii="Verdana" w:hAnsi="Verdana"/>
          <w:sz w:val="18"/>
          <w:szCs w:val="18"/>
        </w:rPr>
        <w:t xml:space="preserve"> over het besluit om een aantal niet-fiscale taken buiten de Belastingdienst te organiseren in het kader van </w:t>
      </w:r>
      <w:r w:rsidRPr="00276931" w:rsidR="005C7150">
        <w:rPr>
          <w:rFonts w:ascii="Verdana" w:hAnsi="Verdana"/>
          <w:sz w:val="18"/>
          <w:szCs w:val="18"/>
        </w:rPr>
        <w:t>d</w:t>
      </w:r>
      <w:r w:rsidR="005C7150">
        <w:rPr>
          <w:rFonts w:ascii="Verdana" w:hAnsi="Verdana"/>
          <w:sz w:val="18"/>
          <w:szCs w:val="18"/>
        </w:rPr>
        <w:t>eze</w:t>
      </w:r>
      <w:r w:rsidRPr="00276931" w:rsidR="005C7150">
        <w:rPr>
          <w:rFonts w:ascii="Verdana" w:hAnsi="Verdana"/>
          <w:sz w:val="18"/>
          <w:szCs w:val="18"/>
        </w:rPr>
        <w:t xml:space="preserve"> </w:t>
      </w:r>
      <w:r w:rsidRPr="00276931">
        <w:rPr>
          <w:rFonts w:ascii="Verdana" w:hAnsi="Verdana"/>
          <w:sz w:val="18"/>
          <w:szCs w:val="18"/>
        </w:rPr>
        <w:t xml:space="preserve">modernisering. Dit betekent dat de bureaus Economische Handhaving (BEH) en Toezicht Wet ter voorkoming van witwassen en financiering terrorisme (BTWwft) buiten de Belastingdienst worden geplaatst. Afgelopen jaar is gewerkt aan deze </w:t>
      </w:r>
      <w:r w:rsidR="00617647">
        <w:rPr>
          <w:rFonts w:ascii="Verdana" w:hAnsi="Verdana"/>
          <w:sz w:val="18"/>
          <w:szCs w:val="18"/>
        </w:rPr>
        <w:t>overgang</w:t>
      </w:r>
      <w:r w:rsidRPr="00276931">
        <w:rPr>
          <w:rFonts w:ascii="Verdana" w:hAnsi="Verdana"/>
          <w:sz w:val="18"/>
          <w:szCs w:val="18"/>
        </w:rPr>
        <w:t>. Beide bureaus gaan per 1 januari 2026 over naar een nieuw dienstonderdeel binnen het ministerie van Financiën. De naam van dit nieuwe dienstonderdeel wordt Dienst Financieel-Economische Integriteit</w:t>
      </w:r>
      <w:r w:rsidR="00626973">
        <w:rPr>
          <w:rFonts w:ascii="Verdana" w:hAnsi="Verdana"/>
          <w:sz w:val="18"/>
          <w:szCs w:val="18"/>
        </w:rPr>
        <w:t xml:space="preserve"> (DFEI)</w:t>
      </w:r>
      <w:r w:rsidRPr="00276931">
        <w:rPr>
          <w:rFonts w:ascii="Verdana" w:hAnsi="Verdana"/>
          <w:sz w:val="18"/>
          <w:szCs w:val="18"/>
        </w:rPr>
        <w:t xml:space="preserve">. </w:t>
      </w:r>
      <w:r w:rsidR="00626973">
        <w:rPr>
          <w:rFonts w:ascii="Verdana" w:hAnsi="Verdana"/>
          <w:sz w:val="18"/>
          <w:szCs w:val="18"/>
        </w:rPr>
        <w:t>DFEI</w:t>
      </w:r>
      <w:r w:rsidRPr="00276931">
        <w:rPr>
          <w:rFonts w:ascii="Verdana" w:hAnsi="Verdana"/>
          <w:sz w:val="18"/>
          <w:szCs w:val="18"/>
        </w:rPr>
        <w:t xml:space="preserve"> zal verantwoordelijk zijn voor de uitvoering van de bestaande taken van BEH en BTWwft evenals de nieuwe toezichtstaak die voortvloeit uit het nieuwe Anti Money Laundering pakket van de EU (EU-AML).</w:t>
      </w:r>
    </w:p>
    <w:p w:rsidRPr="00276931" w:rsidR="005B655E" w:rsidP="003B3AFB" w:rsidRDefault="009C1BBB" w14:paraId="37E6AFD6" w14:textId="32878A7E">
      <w:pPr>
        <w:rPr>
          <w:rFonts w:ascii="Verdana" w:hAnsi="Verdana" w:cs="AppleSystemUIFont"/>
          <w:b/>
          <w:bCs/>
          <w:sz w:val="18"/>
          <w:szCs w:val="18"/>
        </w:rPr>
      </w:pPr>
      <w:r>
        <w:rPr>
          <w:rFonts w:ascii="Verdana" w:hAnsi="Verdana"/>
          <w:sz w:val="18"/>
          <w:szCs w:val="18"/>
        </w:rPr>
        <w:br w:type="page"/>
      </w:r>
      <w:r w:rsidR="003A4D96">
        <w:rPr>
          <w:rFonts w:ascii="Verdana" w:hAnsi="Verdana" w:cs="AppleSystemUIFont"/>
          <w:b/>
          <w:bCs/>
          <w:sz w:val="18"/>
          <w:szCs w:val="18"/>
        </w:rPr>
        <w:lastRenderedPageBreak/>
        <w:t>1</w:t>
      </w:r>
      <w:r w:rsidR="007F29E6">
        <w:rPr>
          <w:rFonts w:ascii="Verdana" w:hAnsi="Verdana" w:cs="AppleSystemUIFont"/>
          <w:b/>
          <w:bCs/>
          <w:sz w:val="18"/>
          <w:szCs w:val="18"/>
        </w:rPr>
        <w:t>3</w:t>
      </w:r>
      <w:r w:rsidR="005B655E">
        <w:rPr>
          <w:rFonts w:ascii="Verdana" w:hAnsi="Verdana" w:cs="AppleSystemUIFont"/>
          <w:b/>
          <w:bCs/>
          <w:sz w:val="18"/>
          <w:szCs w:val="18"/>
        </w:rPr>
        <w:t xml:space="preserve">. </w:t>
      </w:r>
      <w:r w:rsidRPr="00276931" w:rsidR="005B655E">
        <w:rPr>
          <w:rFonts w:ascii="Verdana" w:hAnsi="Verdana" w:cs="AppleSystemUIFont"/>
          <w:b/>
          <w:bCs/>
          <w:sz w:val="18"/>
          <w:szCs w:val="18"/>
        </w:rPr>
        <w:t>Toezichtarrangement Autoriteit Persoonsgegevens (AP)</w:t>
      </w:r>
    </w:p>
    <w:p w:rsidR="005B655E" w:rsidP="002B2C94" w:rsidRDefault="005B655E" w14:paraId="27F4791D" w14:textId="6BF9F137">
      <w:pPr>
        <w:autoSpaceDE w:val="0"/>
        <w:autoSpaceDN w:val="0"/>
        <w:adjustRightInd w:val="0"/>
        <w:spacing w:after="0" w:line="240" w:lineRule="atLeast"/>
        <w:rPr>
          <w:rFonts w:ascii="Verdana" w:hAnsi="Verdana" w:cs="AppleSystemUIFont"/>
          <w:sz w:val="18"/>
          <w:szCs w:val="18"/>
        </w:rPr>
      </w:pPr>
      <w:r w:rsidRPr="00276931">
        <w:rPr>
          <w:rFonts w:ascii="Verdana" w:hAnsi="Verdana" w:cs="AppleSystemUIFont"/>
          <w:sz w:val="18"/>
          <w:szCs w:val="18"/>
        </w:rPr>
        <w:t xml:space="preserve">De Autoriteit Persoonsgegevens (AP) heeft in 2024 een vijfjarig toezichtarrangement ingesteld. </w:t>
      </w:r>
      <w:r>
        <w:rPr>
          <w:rFonts w:ascii="Verdana" w:hAnsi="Verdana" w:cs="AppleSystemUIFont"/>
          <w:sz w:val="18"/>
          <w:szCs w:val="18"/>
        </w:rPr>
        <w:t xml:space="preserve">Het doel van dit toezichtarrangement is om </w:t>
      </w:r>
      <w:r w:rsidRPr="00E34FB6">
        <w:rPr>
          <w:rFonts w:ascii="Verdana" w:hAnsi="Verdana" w:cs="AppleSystemUIFont"/>
          <w:sz w:val="18"/>
          <w:szCs w:val="18"/>
        </w:rPr>
        <w:t>de naleving van de AVG te bevorderen en te zorgen voor een structurele verbetering van de privacybescherming binnen de Belastingdienst</w:t>
      </w:r>
      <w:r w:rsidR="00C11144">
        <w:rPr>
          <w:rFonts w:ascii="Verdana" w:hAnsi="Verdana" w:cs="AppleSystemUIFont"/>
          <w:sz w:val="18"/>
          <w:szCs w:val="18"/>
        </w:rPr>
        <w:t xml:space="preserve">. Daarnaast </w:t>
      </w:r>
      <w:r w:rsidRPr="00276931" w:rsidR="00A579D5">
        <w:rPr>
          <w:rFonts w:ascii="Verdana" w:hAnsi="Verdana" w:cs="AppleSystemUIFont"/>
          <w:sz w:val="18"/>
          <w:szCs w:val="18"/>
        </w:rPr>
        <w:t>helpt de AP om de acties van de Belastingdienst te volgen</w:t>
      </w:r>
      <w:r>
        <w:rPr>
          <w:rFonts w:ascii="Verdana" w:hAnsi="Verdana" w:cs="AppleSystemUIFont"/>
          <w:sz w:val="18"/>
          <w:szCs w:val="18"/>
        </w:rPr>
        <w:t>.</w:t>
      </w:r>
    </w:p>
    <w:p w:rsidR="005B655E" w:rsidP="002B2C94" w:rsidRDefault="005B655E" w14:paraId="68D7153D" w14:textId="77777777">
      <w:pPr>
        <w:autoSpaceDE w:val="0"/>
        <w:autoSpaceDN w:val="0"/>
        <w:adjustRightInd w:val="0"/>
        <w:spacing w:after="0" w:line="240" w:lineRule="atLeast"/>
        <w:rPr>
          <w:rFonts w:ascii="Verdana" w:hAnsi="Verdana" w:cs="AppleSystemUIFont"/>
          <w:sz w:val="18"/>
          <w:szCs w:val="18"/>
        </w:rPr>
      </w:pPr>
    </w:p>
    <w:p w:rsidRPr="00276931" w:rsidR="005B655E" w:rsidP="002B2C94" w:rsidRDefault="005B655E" w14:paraId="1E56BED9" w14:textId="386C508B">
      <w:pPr>
        <w:autoSpaceDE w:val="0"/>
        <w:autoSpaceDN w:val="0"/>
        <w:adjustRightInd w:val="0"/>
        <w:spacing w:after="0" w:line="240" w:lineRule="atLeast"/>
        <w:rPr>
          <w:rFonts w:ascii="Verdana" w:hAnsi="Verdana" w:cs="AppleSystemUIFont"/>
          <w:sz w:val="18"/>
          <w:szCs w:val="18"/>
        </w:rPr>
      </w:pPr>
      <w:r w:rsidRPr="00276931">
        <w:rPr>
          <w:rFonts w:ascii="Verdana" w:hAnsi="Verdana" w:cs="AppleSystemUIFont"/>
          <w:sz w:val="18"/>
          <w:szCs w:val="18"/>
        </w:rPr>
        <w:t>Jaarlijks stelt de AP een</w:t>
      </w:r>
      <w:r w:rsidR="00C11144">
        <w:rPr>
          <w:rFonts w:ascii="Verdana" w:hAnsi="Verdana" w:cs="AppleSystemUIFont"/>
          <w:sz w:val="18"/>
          <w:szCs w:val="18"/>
        </w:rPr>
        <w:t xml:space="preserve"> nieuw</w:t>
      </w:r>
      <w:r w:rsidRPr="00276931">
        <w:rPr>
          <w:rFonts w:ascii="Verdana" w:hAnsi="Verdana" w:cs="AppleSystemUIFont"/>
          <w:sz w:val="18"/>
          <w:szCs w:val="18"/>
        </w:rPr>
        <w:t xml:space="preserve"> jaarplan </w:t>
      </w:r>
      <w:r w:rsidR="00617647">
        <w:rPr>
          <w:rFonts w:ascii="Verdana" w:hAnsi="Verdana" w:cs="AppleSystemUIFont"/>
          <w:sz w:val="18"/>
          <w:szCs w:val="18"/>
        </w:rPr>
        <w:t xml:space="preserve">voor dit toezichtarrangement </w:t>
      </w:r>
      <w:r w:rsidRPr="00276931">
        <w:rPr>
          <w:rFonts w:ascii="Verdana" w:hAnsi="Verdana" w:cs="AppleSystemUIFont"/>
          <w:sz w:val="18"/>
          <w:szCs w:val="18"/>
        </w:rPr>
        <w:t xml:space="preserve">op, dat ieder jaar wordt geëvalueerd. In dit jaarplan zijn projecten opgenomen waarin de AP de acties van de Belastingdienst volgt, beoordeelt en </w:t>
      </w:r>
      <w:r w:rsidR="00460897">
        <w:rPr>
          <w:rFonts w:ascii="Verdana" w:hAnsi="Verdana" w:cs="AppleSystemUIFont"/>
          <w:sz w:val="18"/>
          <w:szCs w:val="18"/>
        </w:rPr>
        <w:t xml:space="preserve">indien nodig </w:t>
      </w:r>
      <w:r w:rsidRPr="00276931">
        <w:rPr>
          <w:rFonts w:ascii="Verdana" w:hAnsi="Verdana" w:cs="AppleSystemUIFont"/>
          <w:sz w:val="18"/>
          <w:szCs w:val="18"/>
        </w:rPr>
        <w:t xml:space="preserve">begeleidt. </w:t>
      </w:r>
      <w:r>
        <w:rPr>
          <w:rFonts w:ascii="Verdana" w:hAnsi="Verdana" w:cs="AppleSystemUIFont"/>
          <w:sz w:val="18"/>
          <w:szCs w:val="18"/>
        </w:rPr>
        <w:t>Mijn ambtsvoorganger heeft u gemeld</w:t>
      </w:r>
      <w:r>
        <w:rPr>
          <w:rStyle w:val="Voetnootmarkering"/>
          <w:rFonts w:ascii="Verdana" w:hAnsi="Verdana" w:cs="AppleSystemUIFont"/>
          <w:sz w:val="18"/>
          <w:szCs w:val="18"/>
        </w:rPr>
        <w:footnoteReference w:id="24"/>
      </w:r>
      <w:r>
        <w:rPr>
          <w:rFonts w:ascii="Verdana" w:hAnsi="Verdana" w:cs="AppleSystemUIFont"/>
          <w:sz w:val="18"/>
          <w:szCs w:val="18"/>
        </w:rPr>
        <w:t xml:space="preserve"> dat u met de stand</w:t>
      </w:r>
      <w:r w:rsidR="00626973">
        <w:rPr>
          <w:rFonts w:ascii="Verdana" w:hAnsi="Verdana" w:cs="AppleSystemUIFont"/>
          <w:sz w:val="18"/>
          <w:szCs w:val="18"/>
        </w:rPr>
        <w:t>-</w:t>
      </w:r>
      <w:r>
        <w:rPr>
          <w:rFonts w:ascii="Verdana" w:hAnsi="Verdana" w:cs="AppleSystemUIFont"/>
          <w:sz w:val="18"/>
          <w:szCs w:val="18"/>
        </w:rPr>
        <w:t>van</w:t>
      </w:r>
      <w:r w:rsidR="00626973">
        <w:rPr>
          <w:rFonts w:ascii="Verdana" w:hAnsi="Verdana" w:cs="AppleSystemUIFont"/>
          <w:sz w:val="18"/>
          <w:szCs w:val="18"/>
        </w:rPr>
        <w:t>-</w:t>
      </w:r>
      <w:r>
        <w:rPr>
          <w:rFonts w:ascii="Verdana" w:hAnsi="Verdana" w:cs="AppleSystemUIFont"/>
          <w:sz w:val="18"/>
          <w:szCs w:val="18"/>
        </w:rPr>
        <w:t xml:space="preserve">zakenbrieven Belastingdienst op de hoogte wordt gehouden van </w:t>
      </w:r>
      <w:r w:rsidR="0052615B">
        <w:rPr>
          <w:rFonts w:ascii="Verdana" w:hAnsi="Verdana" w:cs="AppleSystemUIFont"/>
          <w:sz w:val="18"/>
          <w:szCs w:val="18"/>
        </w:rPr>
        <w:t>de voortgang</w:t>
      </w:r>
      <w:r>
        <w:rPr>
          <w:rFonts w:ascii="Verdana" w:hAnsi="Verdana" w:cs="AppleSystemUIFont"/>
          <w:sz w:val="18"/>
          <w:szCs w:val="18"/>
        </w:rPr>
        <w:t>.</w:t>
      </w:r>
    </w:p>
    <w:p w:rsidRPr="00276931" w:rsidR="005B655E" w:rsidP="002B2C94" w:rsidRDefault="005B655E" w14:paraId="00E43DB6" w14:textId="77777777">
      <w:pPr>
        <w:autoSpaceDE w:val="0"/>
        <w:autoSpaceDN w:val="0"/>
        <w:adjustRightInd w:val="0"/>
        <w:spacing w:after="0" w:line="240" w:lineRule="atLeast"/>
        <w:rPr>
          <w:rFonts w:ascii="Verdana" w:hAnsi="Verdana" w:cs="AppleSystemUIFont"/>
          <w:sz w:val="18"/>
          <w:szCs w:val="18"/>
        </w:rPr>
      </w:pPr>
    </w:p>
    <w:p w:rsidRPr="00276931" w:rsidR="005B655E" w:rsidP="002B2C94" w:rsidRDefault="005B655E" w14:paraId="4F202F68" w14:textId="4945F114">
      <w:pPr>
        <w:autoSpaceDE w:val="0"/>
        <w:autoSpaceDN w:val="0"/>
        <w:adjustRightInd w:val="0"/>
        <w:spacing w:after="0" w:line="240" w:lineRule="atLeast"/>
        <w:rPr>
          <w:rFonts w:ascii="Verdana" w:hAnsi="Verdana" w:cs="AppleSystemUIFont"/>
          <w:sz w:val="18"/>
          <w:szCs w:val="18"/>
        </w:rPr>
      </w:pPr>
      <w:r w:rsidRPr="00276931">
        <w:rPr>
          <w:rFonts w:ascii="Verdana" w:hAnsi="Verdana" w:cs="AppleSystemUIFont"/>
          <w:sz w:val="18"/>
          <w:szCs w:val="18"/>
        </w:rPr>
        <w:t xml:space="preserve">In het kader van dit toezichtarrangement heeft de AP werkbezoeken afgelegd aan de Belastingdienst en het </w:t>
      </w:r>
      <w:r w:rsidR="00EF6CC9">
        <w:rPr>
          <w:rFonts w:ascii="Verdana" w:hAnsi="Verdana" w:cs="AppleSystemUIFont"/>
          <w:sz w:val="18"/>
          <w:szCs w:val="18"/>
        </w:rPr>
        <w:t>M</w:t>
      </w:r>
      <w:r w:rsidRPr="00276931">
        <w:rPr>
          <w:rFonts w:ascii="Verdana" w:hAnsi="Verdana" w:cs="AppleSystemUIFont"/>
          <w:sz w:val="18"/>
          <w:szCs w:val="18"/>
        </w:rPr>
        <w:t xml:space="preserve">inisterie van Financiën, gesprekken gevoerd en informatieverzoeken bij de Belastingdienst ingediend. Dit heeft geresulteerd in </w:t>
      </w:r>
      <w:r w:rsidR="00DA0362">
        <w:rPr>
          <w:rFonts w:ascii="Verdana" w:hAnsi="Verdana" w:cs="AppleSystemUIFont"/>
          <w:sz w:val="18"/>
          <w:szCs w:val="18"/>
        </w:rPr>
        <w:t>zeven</w:t>
      </w:r>
      <w:r w:rsidRPr="00276931">
        <w:rPr>
          <w:rFonts w:ascii="Verdana" w:hAnsi="Verdana" w:cs="AppleSystemUIFont"/>
          <w:sz w:val="18"/>
          <w:szCs w:val="18"/>
        </w:rPr>
        <w:t xml:space="preserve"> brieven van de AP met conclusies en aanbevelingen, waaronder </w:t>
      </w:r>
      <w:r w:rsidR="004A2910">
        <w:rPr>
          <w:rFonts w:ascii="Verdana" w:hAnsi="Verdana" w:cs="AppleSystemUIFont"/>
          <w:sz w:val="18"/>
          <w:szCs w:val="18"/>
        </w:rPr>
        <w:t>twee</w:t>
      </w:r>
      <w:r w:rsidRPr="00276931">
        <w:rPr>
          <w:rFonts w:ascii="Verdana" w:hAnsi="Verdana" w:cs="AppleSystemUIFont"/>
          <w:sz w:val="18"/>
          <w:szCs w:val="18"/>
        </w:rPr>
        <w:t xml:space="preserve"> met een dringend verzoek</w:t>
      </w:r>
      <w:r w:rsidR="00DA0362">
        <w:rPr>
          <w:rFonts w:ascii="Verdana" w:hAnsi="Verdana" w:cs="AppleSystemUIFont"/>
          <w:sz w:val="18"/>
          <w:szCs w:val="18"/>
        </w:rPr>
        <w:t xml:space="preserve"> en één brief ter afronding</w:t>
      </w:r>
      <w:r w:rsidRPr="00276931">
        <w:rPr>
          <w:rFonts w:ascii="Verdana" w:hAnsi="Verdana" w:cs="AppleSystemUIFont"/>
          <w:sz w:val="18"/>
          <w:szCs w:val="18"/>
        </w:rPr>
        <w:t>. Onderstaande tabel geeft een overzicht van de ontvangen brieven en het moment waarop deze aan de Kamer zijn gecommuniceerd:</w:t>
      </w:r>
    </w:p>
    <w:p w:rsidRPr="00276931" w:rsidR="005B655E" w:rsidP="002B2C94" w:rsidRDefault="005B655E" w14:paraId="20C77CC7" w14:textId="77777777">
      <w:pPr>
        <w:autoSpaceDE w:val="0"/>
        <w:autoSpaceDN w:val="0"/>
        <w:adjustRightInd w:val="0"/>
        <w:spacing w:after="0" w:line="240" w:lineRule="atLeast"/>
        <w:rPr>
          <w:rFonts w:ascii="Verdana" w:hAnsi="Verdana" w:cs="AppleSystemUIFont"/>
          <w:sz w:val="18"/>
          <w:szCs w:val="18"/>
        </w:rPr>
      </w:pPr>
    </w:p>
    <w:tbl>
      <w:tblPr>
        <w:tblStyle w:val="Tabelraster"/>
        <w:tblW w:w="0" w:type="auto"/>
        <w:tblLook w:val="04A0" w:firstRow="1" w:lastRow="0" w:firstColumn="1" w:lastColumn="0" w:noHBand="0" w:noVBand="1"/>
      </w:tblPr>
      <w:tblGrid>
        <w:gridCol w:w="560"/>
        <w:gridCol w:w="3046"/>
        <w:gridCol w:w="1800"/>
        <w:gridCol w:w="1808"/>
        <w:gridCol w:w="1802"/>
      </w:tblGrid>
      <w:tr w:rsidRPr="00276931" w:rsidR="005B655E" w:rsidTr="00165F65" w14:paraId="4ED66A69" w14:textId="77777777">
        <w:tc>
          <w:tcPr>
            <w:tcW w:w="562" w:type="dxa"/>
            <w:shd w:val="clear" w:color="auto" w:fill="F2F2F2" w:themeFill="background1" w:themeFillShade="F2"/>
          </w:tcPr>
          <w:p w:rsidRPr="00276931" w:rsidR="005B655E" w:rsidP="002B2C94" w:rsidRDefault="005B655E" w14:paraId="200AB4FD" w14:textId="77777777">
            <w:pPr>
              <w:autoSpaceDE w:val="0"/>
              <w:autoSpaceDN w:val="0"/>
              <w:adjustRightInd w:val="0"/>
              <w:spacing w:line="240" w:lineRule="atLeast"/>
              <w:jc w:val="center"/>
              <w:rPr>
                <w:rFonts w:ascii="Verdana" w:hAnsi="Verdana" w:cs="AppleSystemUIFont"/>
                <w:sz w:val="18"/>
                <w:szCs w:val="18"/>
              </w:rPr>
            </w:pPr>
            <w:r w:rsidRPr="00276931">
              <w:rPr>
                <w:rFonts w:ascii="Verdana" w:hAnsi="Verdana" w:cs="AppleSystemUIFont"/>
                <w:sz w:val="18"/>
                <w:szCs w:val="18"/>
              </w:rPr>
              <w:t>Nr.</w:t>
            </w:r>
          </w:p>
        </w:tc>
        <w:tc>
          <w:tcPr>
            <w:tcW w:w="3062" w:type="dxa"/>
            <w:shd w:val="clear" w:color="auto" w:fill="F2F2F2" w:themeFill="background1" w:themeFillShade="F2"/>
          </w:tcPr>
          <w:p w:rsidRPr="00276931" w:rsidR="005B655E" w:rsidP="002B2C94" w:rsidRDefault="005B655E" w14:paraId="55CE0774" w14:textId="77777777">
            <w:pPr>
              <w:autoSpaceDE w:val="0"/>
              <w:autoSpaceDN w:val="0"/>
              <w:adjustRightInd w:val="0"/>
              <w:spacing w:line="240" w:lineRule="atLeast"/>
              <w:jc w:val="center"/>
              <w:rPr>
                <w:rFonts w:ascii="Verdana" w:hAnsi="Verdana" w:cs="AppleSystemUIFont"/>
                <w:sz w:val="18"/>
                <w:szCs w:val="18"/>
              </w:rPr>
            </w:pPr>
            <w:r w:rsidRPr="00276931">
              <w:rPr>
                <w:rFonts w:ascii="Verdana" w:hAnsi="Verdana" w:cs="AppleSystemUIFont"/>
                <w:sz w:val="18"/>
                <w:szCs w:val="18"/>
              </w:rPr>
              <w:t>Titel</w:t>
            </w:r>
          </w:p>
        </w:tc>
        <w:tc>
          <w:tcPr>
            <w:tcW w:w="1812" w:type="dxa"/>
            <w:shd w:val="clear" w:color="auto" w:fill="F2F2F2" w:themeFill="background1" w:themeFillShade="F2"/>
          </w:tcPr>
          <w:p w:rsidRPr="00276931" w:rsidR="005B655E" w:rsidP="002B2C94" w:rsidRDefault="005B655E" w14:paraId="5C00DA29" w14:textId="77777777">
            <w:pPr>
              <w:autoSpaceDE w:val="0"/>
              <w:autoSpaceDN w:val="0"/>
              <w:adjustRightInd w:val="0"/>
              <w:spacing w:line="240" w:lineRule="atLeast"/>
              <w:jc w:val="center"/>
              <w:rPr>
                <w:rFonts w:ascii="Verdana" w:hAnsi="Verdana" w:cs="AppleSystemUIFont"/>
                <w:sz w:val="18"/>
                <w:szCs w:val="18"/>
              </w:rPr>
            </w:pPr>
            <w:r w:rsidRPr="00276931">
              <w:rPr>
                <w:rFonts w:ascii="Verdana" w:hAnsi="Verdana" w:cs="AppleSystemUIFont"/>
                <w:sz w:val="18"/>
                <w:szCs w:val="18"/>
              </w:rPr>
              <w:t>Ontvangst datum AP</w:t>
            </w:r>
          </w:p>
        </w:tc>
        <w:tc>
          <w:tcPr>
            <w:tcW w:w="1813" w:type="dxa"/>
            <w:shd w:val="clear" w:color="auto" w:fill="F2F2F2" w:themeFill="background1" w:themeFillShade="F2"/>
          </w:tcPr>
          <w:p w:rsidRPr="00276931" w:rsidR="005B655E" w:rsidP="002B2C94" w:rsidRDefault="005B655E" w14:paraId="27BE3BC0" w14:textId="77777777">
            <w:pPr>
              <w:autoSpaceDE w:val="0"/>
              <w:autoSpaceDN w:val="0"/>
              <w:adjustRightInd w:val="0"/>
              <w:spacing w:line="240" w:lineRule="atLeast"/>
              <w:jc w:val="center"/>
              <w:rPr>
                <w:rFonts w:ascii="Verdana" w:hAnsi="Verdana" w:cs="AppleSystemUIFont"/>
                <w:sz w:val="18"/>
                <w:szCs w:val="18"/>
              </w:rPr>
            </w:pPr>
            <w:r w:rsidRPr="00276931">
              <w:rPr>
                <w:rFonts w:ascii="Verdana" w:hAnsi="Verdana" w:cs="AppleSystemUIFont"/>
                <w:sz w:val="18"/>
                <w:szCs w:val="18"/>
              </w:rPr>
              <w:t>Soort brief</w:t>
            </w:r>
          </w:p>
        </w:tc>
        <w:tc>
          <w:tcPr>
            <w:tcW w:w="1813" w:type="dxa"/>
            <w:shd w:val="clear" w:color="auto" w:fill="F2F2F2" w:themeFill="background1" w:themeFillShade="F2"/>
          </w:tcPr>
          <w:p w:rsidRPr="00276931" w:rsidR="005B655E" w:rsidP="002B2C94" w:rsidRDefault="005B655E" w14:paraId="4806FAF5" w14:textId="77777777">
            <w:pPr>
              <w:autoSpaceDE w:val="0"/>
              <w:autoSpaceDN w:val="0"/>
              <w:adjustRightInd w:val="0"/>
              <w:spacing w:line="240" w:lineRule="atLeast"/>
              <w:jc w:val="center"/>
              <w:rPr>
                <w:rFonts w:ascii="Verdana" w:hAnsi="Verdana" w:cs="AppleSystemUIFont"/>
                <w:sz w:val="18"/>
                <w:szCs w:val="18"/>
              </w:rPr>
            </w:pPr>
            <w:r w:rsidRPr="00276931">
              <w:rPr>
                <w:rFonts w:ascii="Verdana" w:hAnsi="Verdana" w:cs="AppleSystemUIFont"/>
                <w:sz w:val="18"/>
                <w:szCs w:val="18"/>
              </w:rPr>
              <w:t>Tweede Kamer</w:t>
            </w:r>
          </w:p>
        </w:tc>
      </w:tr>
      <w:tr w:rsidRPr="00276931" w:rsidR="005B655E" w:rsidTr="00165F65" w14:paraId="06C068D5" w14:textId="77777777">
        <w:tc>
          <w:tcPr>
            <w:tcW w:w="562" w:type="dxa"/>
          </w:tcPr>
          <w:p w:rsidRPr="00276931" w:rsidR="005B655E" w:rsidP="002B2C94" w:rsidRDefault="005B655E" w14:paraId="12BD1D15"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1</w:t>
            </w:r>
          </w:p>
        </w:tc>
        <w:tc>
          <w:tcPr>
            <w:tcW w:w="3062" w:type="dxa"/>
          </w:tcPr>
          <w:p w:rsidRPr="00276931" w:rsidR="005B655E" w:rsidP="002B2C94" w:rsidRDefault="005B655E" w14:paraId="7C11676C"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Meldpunt Datalekken</w:t>
            </w:r>
          </w:p>
        </w:tc>
        <w:tc>
          <w:tcPr>
            <w:tcW w:w="1812" w:type="dxa"/>
          </w:tcPr>
          <w:p w:rsidRPr="00276931" w:rsidR="005B655E" w:rsidP="002B2C94" w:rsidRDefault="005B655E" w14:paraId="42B98E4C"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10 december 2024</w:t>
            </w:r>
            <w:r>
              <w:rPr>
                <w:rFonts w:ascii="Verdana" w:hAnsi="Verdana" w:cs="AppleSystemUIFont"/>
                <w:sz w:val="18"/>
                <w:szCs w:val="18"/>
              </w:rPr>
              <w:t xml:space="preserve"> en 11 september 2025</w:t>
            </w:r>
          </w:p>
        </w:tc>
        <w:tc>
          <w:tcPr>
            <w:tcW w:w="1813" w:type="dxa"/>
          </w:tcPr>
          <w:p w:rsidRPr="00276931" w:rsidR="005B655E" w:rsidP="002B2C94" w:rsidRDefault="005B655E" w14:paraId="6394E162"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Conclusies met aanbevelingen</w:t>
            </w:r>
            <w:r>
              <w:rPr>
                <w:rFonts w:ascii="Verdana" w:hAnsi="Verdana" w:cs="AppleSystemUIFont"/>
                <w:sz w:val="18"/>
                <w:szCs w:val="18"/>
              </w:rPr>
              <w:t xml:space="preserve"> en afronding</w:t>
            </w:r>
          </w:p>
        </w:tc>
        <w:tc>
          <w:tcPr>
            <w:tcW w:w="1813" w:type="dxa"/>
          </w:tcPr>
          <w:p w:rsidRPr="00276931" w:rsidR="005B655E" w:rsidP="002B2C94" w:rsidRDefault="005B655E" w14:paraId="61975C65" w14:textId="0D98A0B6">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Kamerbrief 13 januari 2025</w:t>
            </w:r>
            <w:r w:rsidR="00DC6749">
              <w:rPr>
                <w:rStyle w:val="Voetnootmarkering"/>
                <w:rFonts w:ascii="Verdana" w:hAnsi="Verdana" w:cs="AppleSystemUIFont"/>
                <w:sz w:val="18"/>
                <w:szCs w:val="18"/>
              </w:rPr>
              <w:footnoteReference w:id="25"/>
            </w:r>
            <w:r w:rsidRPr="00276931">
              <w:rPr>
                <w:rFonts w:ascii="Verdana" w:hAnsi="Verdana" w:cs="AppleSystemUIFont"/>
                <w:sz w:val="18"/>
                <w:szCs w:val="18"/>
              </w:rPr>
              <w:t xml:space="preserve"> en de stand-van-zakenbrief van 6 maart 2025</w:t>
            </w:r>
            <w:r w:rsidR="00DC6749">
              <w:rPr>
                <w:rStyle w:val="Voetnootmarkering"/>
                <w:rFonts w:ascii="Verdana" w:hAnsi="Verdana" w:cs="AppleSystemUIFont"/>
                <w:sz w:val="18"/>
                <w:szCs w:val="18"/>
              </w:rPr>
              <w:footnoteReference w:id="26"/>
            </w:r>
          </w:p>
        </w:tc>
      </w:tr>
      <w:tr w:rsidRPr="00276931" w:rsidR="005B655E" w:rsidTr="00165F65" w14:paraId="4486BE25" w14:textId="77777777">
        <w:tc>
          <w:tcPr>
            <w:tcW w:w="562" w:type="dxa"/>
          </w:tcPr>
          <w:p w:rsidRPr="00276931" w:rsidR="005B655E" w:rsidP="002B2C94" w:rsidRDefault="005B655E" w14:paraId="1E827A90"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2</w:t>
            </w:r>
          </w:p>
        </w:tc>
        <w:tc>
          <w:tcPr>
            <w:tcW w:w="3062" w:type="dxa"/>
          </w:tcPr>
          <w:p w:rsidRPr="00276931" w:rsidR="005B655E" w:rsidP="002B2C94" w:rsidRDefault="005B655E" w14:paraId="0EA4AF39" w14:textId="463D32E9">
            <w:pPr>
              <w:autoSpaceDE w:val="0"/>
              <w:autoSpaceDN w:val="0"/>
              <w:adjustRightInd w:val="0"/>
              <w:spacing w:line="240" w:lineRule="atLeast"/>
              <w:rPr>
                <w:rFonts w:ascii="Verdana" w:hAnsi="Verdana" w:cs="AppleSystemUIFont"/>
                <w:sz w:val="18"/>
                <w:szCs w:val="18"/>
              </w:rPr>
            </w:pPr>
            <w:r w:rsidRPr="00276931">
              <w:rPr>
                <w:rFonts w:ascii="Verdana" w:hAnsi="Verdana" w:cs="Calibri"/>
                <w:sz w:val="18"/>
                <w:szCs w:val="18"/>
              </w:rPr>
              <w:t xml:space="preserve">Opdracht tot verbetering </w:t>
            </w:r>
            <w:r w:rsidRPr="00276931">
              <w:rPr>
                <w:rFonts w:ascii="Verdana" w:hAnsi="Verdana" w:cs="Calibri"/>
                <w:spacing w:val="-2"/>
                <w:sz w:val="18"/>
                <w:szCs w:val="18"/>
              </w:rPr>
              <w:t>van</w:t>
            </w:r>
            <w:r w:rsidRPr="00276931">
              <w:rPr>
                <w:rFonts w:ascii="Verdana" w:hAnsi="Verdana" w:cs="Calibri"/>
                <w:spacing w:val="-6"/>
                <w:sz w:val="18"/>
                <w:szCs w:val="18"/>
              </w:rPr>
              <w:t xml:space="preserve"> </w:t>
            </w:r>
            <w:r w:rsidRPr="00276931">
              <w:rPr>
                <w:rFonts w:ascii="Verdana" w:hAnsi="Verdana" w:cs="Calibri"/>
                <w:spacing w:val="-2"/>
                <w:sz w:val="18"/>
                <w:szCs w:val="18"/>
              </w:rPr>
              <w:t>de</w:t>
            </w:r>
            <w:r w:rsidRPr="00276931">
              <w:rPr>
                <w:rFonts w:ascii="Verdana" w:hAnsi="Verdana" w:cs="Calibri"/>
                <w:spacing w:val="-5"/>
                <w:sz w:val="18"/>
                <w:szCs w:val="18"/>
              </w:rPr>
              <w:t xml:space="preserve"> </w:t>
            </w:r>
            <w:r w:rsidRPr="00276931">
              <w:rPr>
                <w:rFonts w:ascii="Verdana" w:hAnsi="Verdana" w:cs="Calibri"/>
                <w:spacing w:val="-2"/>
                <w:sz w:val="18"/>
                <w:szCs w:val="18"/>
              </w:rPr>
              <w:t>privacyorganisatie</w:t>
            </w:r>
          </w:p>
        </w:tc>
        <w:tc>
          <w:tcPr>
            <w:tcW w:w="1812" w:type="dxa"/>
          </w:tcPr>
          <w:p w:rsidRPr="00276931" w:rsidR="005B655E" w:rsidP="002B2C94" w:rsidRDefault="005B655E" w14:paraId="5EE2C711"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23 december 2024</w:t>
            </w:r>
          </w:p>
        </w:tc>
        <w:tc>
          <w:tcPr>
            <w:tcW w:w="1813" w:type="dxa"/>
          </w:tcPr>
          <w:p w:rsidRPr="00276931" w:rsidR="005B655E" w:rsidP="002B2C94" w:rsidRDefault="005B655E" w14:paraId="3CFBBB35"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Conclusies met aanbevelingen</w:t>
            </w:r>
          </w:p>
        </w:tc>
        <w:tc>
          <w:tcPr>
            <w:tcW w:w="1813" w:type="dxa"/>
          </w:tcPr>
          <w:p w:rsidRPr="00276931" w:rsidR="005B655E" w:rsidP="002B2C94" w:rsidRDefault="005B655E" w14:paraId="2049A68A" w14:textId="75FA7205">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Kamerbrief 13 januari 2025</w:t>
            </w:r>
            <w:r w:rsidR="00DC6749">
              <w:rPr>
                <w:rStyle w:val="Voetnootmarkering"/>
                <w:rFonts w:ascii="Verdana" w:hAnsi="Verdana" w:cs="AppleSystemUIFont"/>
                <w:sz w:val="18"/>
                <w:szCs w:val="18"/>
              </w:rPr>
              <w:footnoteReference w:id="27"/>
            </w:r>
            <w:r w:rsidRPr="00276931">
              <w:rPr>
                <w:rFonts w:ascii="Verdana" w:hAnsi="Verdana" w:cs="AppleSystemUIFont"/>
                <w:sz w:val="18"/>
                <w:szCs w:val="18"/>
              </w:rPr>
              <w:t xml:space="preserve"> en de stand-van-zakenbrief van 6 maart 2025</w:t>
            </w:r>
            <w:r w:rsidR="00DC6749">
              <w:rPr>
                <w:rStyle w:val="Voetnootmarkering"/>
                <w:rFonts w:ascii="Verdana" w:hAnsi="Verdana" w:cs="AppleSystemUIFont"/>
                <w:sz w:val="18"/>
                <w:szCs w:val="18"/>
              </w:rPr>
              <w:footnoteReference w:id="28"/>
            </w:r>
          </w:p>
        </w:tc>
      </w:tr>
      <w:tr w:rsidRPr="00276931" w:rsidR="005B655E" w:rsidTr="00165F65" w14:paraId="1C91551C" w14:textId="77777777">
        <w:tc>
          <w:tcPr>
            <w:tcW w:w="562" w:type="dxa"/>
          </w:tcPr>
          <w:p w:rsidRPr="00276931" w:rsidR="005B655E" w:rsidP="002B2C94" w:rsidRDefault="005B655E" w14:paraId="00396C42"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3</w:t>
            </w:r>
          </w:p>
        </w:tc>
        <w:tc>
          <w:tcPr>
            <w:tcW w:w="3062" w:type="dxa"/>
          </w:tcPr>
          <w:p w:rsidRPr="00276931" w:rsidR="005B655E" w:rsidP="002B2C94" w:rsidRDefault="005B655E" w14:paraId="35FAD926"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Ontheffing</w:t>
            </w:r>
          </w:p>
          <w:p w:rsidRPr="00276931" w:rsidR="005B655E" w:rsidP="002B2C94" w:rsidRDefault="005B655E" w14:paraId="736950FB"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geheimhoudingsplicht in gevallen van vermoedelijk fiscale integriteitsschending</w:t>
            </w:r>
          </w:p>
        </w:tc>
        <w:tc>
          <w:tcPr>
            <w:tcW w:w="1812" w:type="dxa"/>
          </w:tcPr>
          <w:p w:rsidRPr="00276931" w:rsidR="005B655E" w:rsidP="002B2C94" w:rsidRDefault="005B655E" w14:paraId="2A54B508"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28 januari 2025</w:t>
            </w:r>
          </w:p>
        </w:tc>
        <w:tc>
          <w:tcPr>
            <w:tcW w:w="1813" w:type="dxa"/>
          </w:tcPr>
          <w:p w:rsidRPr="00276931" w:rsidR="005B655E" w:rsidP="002B2C94" w:rsidRDefault="005B655E" w14:paraId="0EB1B386"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Conclusies met aanbevelingen</w:t>
            </w:r>
          </w:p>
        </w:tc>
        <w:tc>
          <w:tcPr>
            <w:tcW w:w="1813" w:type="dxa"/>
          </w:tcPr>
          <w:p w:rsidRPr="00276931" w:rsidR="005B655E" w:rsidP="002B2C94" w:rsidRDefault="005B655E" w14:paraId="5240D752" w14:textId="6FAF5A54">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Stand-van-zakenbrief van 6 maart 2025</w:t>
            </w:r>
            <w:r w:rsidR="00DC6749">
              <w:rPr>
                <w:rStyle w:val="Voetnootmarkering"/>
                <w:rFonts w:ascii="Verdana" w:hAnsi="Verdana" w:cs="AppleSystemUIFont"/>
                <w:sz w:val="18"/>
                <w:szCs w:val="18"/>
              </w:rPr>
              <w:footnoteReference w:id="29"/>
            </w:r>
          </w:p>
        </w:tc>
      </w:tr>
      <w:tr w:rsidRPr="00276931" w:rsidR="005B655E" w:rsidTr="00165F65" w14:paraId="140CA48C" w14:textId="77777777">
        <w:tc>
          <w:tcPr>
            <w:tcW w:w="562" w:type="dxa"/>
          </w:tcPr>
          <w:p w:rsidRPr="00276931" w:rsidR="005B655E" w:rsidP="002B2C94" w:rsidRDefault="005B655E" w14:paraId="0E7AD15E"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4</w:t>
            </w:r>
          </w:p>
        </w:tc>
        <w:tc>
          <w:tcPr>
            <w:tcW w:w="3062" w:type="dxa"/>
          </w:tcPr>
          <w:p w:rsidRPr="00276931" w:rsidR="005B655E" w:rsidP="002B2C94" w:rsidRDefault="005B655E" w14:paraId="18BEAD7C"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Onderzoek naar RAM en de</w:t>
            </w:r>
          </w:p>
          <w:p w:rsidRPr="00276931" w:rsidR="005B655E" w:rsidP="002B2C94" w:rsidRDefault="005B655E" w14:paraId="66123993"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'met RAM vergelijkbare systemen'</w:t>
            </w:r>
          </w:p>
        </w:tc>
        <w:tc>
          <w:tcPr>
            <w:tcW w:w="1812" w:type="dxa"/>
          </w:tcPr>
          <w:p w:rsidRPr="00276931" w:rsidR="005B655E" w:rsidP="002B2C94" w:rsidRDefault="005B655E" w14:paraId="643799D6"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9 juli 2025</w:t>
            </w:r>
          </w:p>
        </w:tc>
        <w:tc>
          <w:tcPr>
            <w:tcW w:w="1813" w:type="dxa"/>
          </w:tcPr>
          <w:p w:rsidRPr="00276931" w:rsidR="005B655E" w:rsidP="002B2C94" w:rsidRDefault="005B655E" w14:paraId="441593FD" w14:textId="77777777">
            <w:pPr>
              <w:autoSpaceDE w:val="0"/>
              <w:autoSpaceDN w:val="0"/>
              <w:adjustRightInd w:val="0"/>
              <w:spacing w:line="240" w:lineRule="atLeast"/>
              <w:rPr>
                <w:rFonts w:ascii="Verdana" w:hAnsi="Verdana" w:cs="AppleSystemUIFont"/>
                <w:sz w:val="18"/>
                <w:szCs w:val="18"/>
              </w:rPr>
            </w:pPr>
            <w:r>
              <w:rPr>
                <w:rFonts w:ascii="Verdana" w:hAnsi="Verdana" w:cs="AppleSystemUIFont"/>
                <w:sz w:val="18"/>
                <w:szCs w:val="18"/>
              </w:rPr>
              <w:t>Dringend verzoek</w:t>
            </w:r>
          </w:p>
        </w:tc>
        <w:tc>
          <w:tcPr>
            <w:tcW w:w="1813" w:type="dxa"/>
          </w:tcPr>
          <w:p w:rsidRPr="00276931" w:rsidR="005B655E" w:rsidP="002B2C94" w:rsidRDefault="005B655E" w14:paraId="0ADB244F" w14:textId="77777777">
            <w:pPr>
              <w:autoSpaceDE w:val="0"/>
              <w:autoSpaceDN w:val="0"/>
              <w:adjustRightInd w:val="0"/>
              <w:spacing w:line="240" w:lineRule="atLeast"/>
              <w:rPr>
                <w:rFonts w:ascii="Verdana" w:hAnsi="Verdana" w:cs="AppleSystemUIFont"/>
                <w:sz w:val="18"/>
                <w:szCs w:val="18"/>
              </w:rPr>
            </w:pPr>
            <w:r w:rsidRPr="00276931">
              <w:rPr>
                <w:rFonts w:ascii="Verdana" w:hAnsi="Verdana" w:cs="Calibri"/>
                <w:sz w:val="18"/>
                <w:szCs w:val="18"/>
              </w:rPr>
              <w:t>Kamerbrief</w:t>
            </w:r>
            <w:r w:rsidRPr="00276931">
              <w:rPr>
                <w:rFonts w:ascii="Verdana" w:hAnsi="Verdana" w:cs="Calibri"/>
                <w:spacing w:val="-12"/>
                <w:sz w:val="18"/>
                <w:szCs w:val="18"/>
              </w:rPr>
              <w:t xml:space="preserve"> </w:t>
            </w:r>
            <w:r w:rsidRPr="00276931">
              <w:rPr>
                <w:rFonts w:ascii="Verdana" w:hAnsi="Verdana" w:cs="Calibri"/>
                <w:sz w:val="18"/>
                <w:szCs w:val="18"/>
              </w:rPr>
              <w:t>van</w:t>
            </w:r>
            <w:r w:rsidRPr="00276931">
              <w:rPr>
                <w:rFonts w:ascii="Verdana" w:hAnsi="Verdana" w:cs="Calibri"/>
                <w:spacing w:val="-13"/>
                <w:sz w:val="18"/>
                <w:szCs w:val="18"/>
              </w:rPr>
              <w:t xml:space="preserve"> </w:t>
            </w:r>
            <w:r w:rsidRPr="00276931">
              <w:rPr>
                <w:rFonts w:ascii="Verdana" w:hAnsi="Verdana" w:cs="Calibri"/>
                <w:sz w:val="18"/>
                <w:szCs w:val="18"/>
              </w:rPr>
              <w:t>10</w:t>
            </w:r>
            <w:r w:rsidRPr="00276931">
              <w:rPr>
                <w:rFonts w:ascii="Verdana" w:hAnsi="Verdana" w:cs="Calibri"/>
                <w:spacing w:val="-11"/>
                <w:sz w:val="18"/>
                <w:szCs w:val="18"/>
              </w:rPr>
              <w:t xml:space="preserve"> </w:t>
            </w:r>
            <w:r w:rsidRPr="00276931">
              <w:rPr>
                <w:rFonts w:ascii="Verdana" w:hAnsi="Verdana" w:cs="Calibri"/>
                <w:sz w:val="18"/>
                <w:szCs w:val="18"/>
              </w:rPr>
              <w:t xml:space="preserve">juli </w:t>
            </w:r>
            <w:r w:rsidRPr="00276931">
              <w:rPr>
                <w:rFonts w:ascii="Verdana" w:hAnsi="Verdana" w:cs="Calibri"/>
                <w:spacing w:val="-4"/>
                <w:sz w:val="18"/>
                <w:szCs w:val="18"/>
              </w:rPr>
              <w:t>2025</w:t>
            </w:r>
          </w:p>
        </w:tc>
      </w:tr>
      <w:tr w:rsidRPr="00276931" w:rsidR="005B655E" w:rsidTr="00165F65" w14:paraId="48D7D7C5" w14:textId="77777777">
        <w:tc>
          <w:tcPr>
            <w:tcW w:w="562" w:type="dxa"/>
          </w:tcPr>
          <w:p w:rsidRPr="00276931" w:rsidR="005B655E" w:rsidP="002B2C94" w:rsidRDefault="005B655E" w14:paraId="44114B07"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5</w:t>
            </w:r>
          </w:p>
        </w:tc>
        <w:tc>
          <w:tcPr>
            <w:tcW w:w="3062" w:type="dxa"/>
          </w:tcPr>
          <w:p w:rsidRPr="00276931" w:rsidR="005B655E" w:rsidP="002B2C94" w:rsidRDefault="005B655E" w14:paraId="66781FE9" w14:textId="5F3BE21E">
            <w:pPr>
              <w:kinsoku w:val="0"/>
              <w:overflowPunct w:val="0"/>
              <w:autoSpaceDE w:val="0"/>
              <w:autoSpaceDN w:val="0"/>
              <w:adjustRightInd w:val="0"/>
              <w:spacing w:before="5" w:line="240" w:lineRule="atLeast"/>
              <w:rPr>
                <w:rFonts w:ascii="Verdana" w:hAnsi="Verdana" w:cs="AppleSystemUIFont"/>
                <w:sz w:val="18"/>
                <w:szCs w:val="18"/>
              </w:rPr>
            </w:pPr>
            <w:r w:rsidRPr="00276931">
              <w:rPr>
                <w:rFonts w:ascii="Verdana" w:hAnsi="Verdana" w:cs="Calibri"/>
                <w:spacing w:val="-2"/>
                <w:sz w:val="18"/>
                <w:szCs w:val="18"/>
              </w:rPr>
              <w:t xml:space="preserve">Selectie/discriminatie: </w:t>
            </w:r>
            <w:r w:rsidRPr="00276931">
              <w:rPr>
                <w:rFonts w:ascii="Verdana" w:hAnsi="Verdana" w:cs="Calibri"/>
                <w:sz w:val="18"/>
                <w:szCs w:val="18"/>
              </w:rPr>
              <w:t>Verzoek</w:t>
            </w:r>
            <w:r w:rsidRPr="00276931">
              <w:rPr>
                <w:rFonts w:ascii="Verdana" w:hAnsi="Verdana" w:cs="Calibri"/>
                <w:spacing w:val="-12"/>
                <w:sz w:val="18"/>
                <w:szCs w:val="18"/>
              </w:rPr>
              <w:t xml:space="preserve"> </w:t>
            </w:r>
            <w:r w:rsidRPr="00276931">
              <w:rPr>
                <w:rFonts w:ascii="Verdana" w:hAnsi="Verdana" w:cs="Calibri"/>
                <w:sz w:val="18"/>
                <w:szCs w:val="18"/>
              </w:rPr>
              <w:t>tot</w:t>
            </w:r>
            <w:r w:rsidRPr="00276931">
              <w:rPr>
                <w:rFonts w:ascii="Verdana" w:hAnsi="Verdana" w:cs="Calibri"/>
                <w:spacing w:val="-11"/>
                <w:sz w:val="18"/>
                <w:szCs w:val="18"/>
              </w:rPr>
              <w:t xml:space="preserve"> </w:t>
            </w:r>
            <w:r w:rsidRPr="00276931">
              <w:rPr>
                <w:rFonts w:ascii="Verdana" w:hAnsi="Verdana" w:cs="Calibri"/>
                <w:sz w:val="18"/>
                <w:szCs w:val="18"/>
              </w:rPr>
              <w:t>het</w:t>
            </w:r>
            <w:r w:rsidRPr="00276931">
              <w:rPr>
                <w:rFonts w:ascii="Verdana" w:hAnsi="Verdana" w:cs="Calibri"/>
                <w:spacing w:val="-11"/>
                <w:sz w:val="18"/>
                <w:szCs w:val="18"/>
              </w:rPr>
              <w:t xml:space="preserve"> </w:t>
            </w:r>
            <w:r w:rsidRPr="00276931">
              <w:rPr>
                <w:rFonts w:ascii="Verdana" w:hAnsi="Verdana" w:cs="Calibri"/>
                <w:sz w:val="18"/>
                <w:szCs w:val="18"/>
              </w:rPr>
              <w:t>maken</w:t>
            </w:r>
            <w:r w:rsidRPr="00276931">
              <w:rPr>
                <w:rFonts w:ascii="Verdana" w:hAnsi="Verdana" w:cs="Calibri"/>
                <w:spacing w:val="-11"/>
                <w:sz w:val="18"/>
                <w:szCs w:val="18"/>
              </w:rPr>
              <w:t xml:space="preserve"> </w:t>
            </w:r>
            <w:r w:rsidRPr="00276931">
              <w:rPr>
                <w:rFonts w:ascii="Verdana" w:hAnsi="Verdana" w:cs="Calibri"/>
                <w:sz w:val="18"/>
                <w:szCs w:val="18"/>
              </w:rPr>
              <w:t>van een</w:t>
            </w:r>
            <w:r w:rsidRPr="00276931">
              <w:rPr>
                <w:rFonts w:ascii="Verdana" w:hAnsi="Verdana" w:cs="Calibri"/>
                <w:spacing w:val="-13"/>
                <w:sz w:val="18"/>
                <w:szCs w:val="18"/>
              </w:rPr>
              <w:t xml:space="preserve"> </w:t>
            </w:r>
            <w:r w:rsidRPr="00276931">
              <w:rPr>
                <w:rFonts w:ascii="Verdana" w:hAnsi="Verdana" w:cs="Calibri"/>
                <w:sz w:val="18"/>
                <w:szCs w:val="18"/>
              </w:rPr>
              <w:t>plan:</w:t>
            </w:r>
            <w:r w:rsidRPr="00276931">
              <w:rPr>
                <w:rFonts w:ascii="Verdana" w:hAnsi="Verdana" w:cs="Calibri"/>
                <w:spacing w:val="-12"/>
                <w:sz w:val="18"/>
                <w:szCs w:val="18"/>
              </w:rPr>
              <w:t xml:space="preserve"> </w:t>
            </w:r>
            <w:r w:rsidRPr="00276931">
              <w:rPr>
                <w:rFonts w:ascii="Verdana" w:hAnsi="Verdana" w:cs="Calibri"/>
                <w:sz w:val="18"/>
                <w:szCs w:val="18"/>
              </w:rPr>
              <w:t>toetsing</w:t>
            </w:r>
            <w:r w:rsidRPr="00276931">
              <w:rPr>
                <w:rFonts w:ascii="Verdana" w:hAnsi="Verdana" w:cs="Calibri"/>
                <w:spacing w:val="-13"/>
                <w:sz w:val="18"/>
                <w:szCs w:val="18"/>
              </w:rPr>
              <w:t xml:space="preserve"> </w:t>
            </w:r>
            <w:r w:rsidRPr="00276931">
              <w:rPr>
                <w:rFonts w:ascii="Verdana" w:hAnsi="Verdana" w:cs="Calibri"/>
                <w:sz w:val="18"/>
                <w:szCs w:val="18"/>
              </w:rPr>
              <w:t>selectie- instrumenten aan o.a. artikel 22 AVG</w:t>
            </w:r>
          </w:p>
        </w:tc>
        <w:tc>
          <w:tcPr>
            <w:tcW w:w="1812" w:type="dxa"/>
          </w:tcPr>
          <w:p w:rsidRPr="00276931" w:rsidR="005B655E" w:rsidP="002B2C94" w:rsidRDefault="005B655E" w14:paraId="296D1BB7"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8 augustus 2025</w:t>
            </w:r>
          </w:p>
        </w:tc>
        <w:tc>
          <w:tcPr>
            <w:tcW w:w="1813" w:type="dxa"/>
          </w:tcPr>
          <w:p w:rsidRPr="00276931" w:rsidR="005B655E" w:rsidP="002B2C94" w:rsidRDefault="005B655E" w14:paraId="59CD0ECD"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Dringend verzoek</w:t>
            </w:r>
          </w:p>
        </w:tc>
        <w:tc>
          <w:tcPr>
            <w:tcW w:w="1813" w:type="dxa"/>
          </w:tcPr>
          <w:p w:rsidRPr="00276931" w:rsidR="005B655E" w:rsidP="002B2C94" w:rsidRDefault="005B655E" w14:paraId="2ABDA7B7" w14:textId="77777777">
            <w:pPr>
              <w:autoSpaceDE w:val="0"/>
              <w:autoSpaceDN w:val="0"/>
              <w:adjustRightInd w:val="0"/>
              <w:spacing w:line="240" w:lineRule="atLeast"/>
              <w:rPr>
                <w:rFonts w:ascii="Verdana" w:hAnsi="Verdana" w:cs="AppleSystemUIFont"/>
                <w:sz w:val="18"/>
                <w:szCs w:val="18"/>
              </w:rPr>
            </w:pPr>
            <w:r w:rsidRPr="00276931">
              <w:rPr>
                <w:rFonts w:ascii="Verdana" w:hAnsi="Verdana" w:cs="AppleSystemUIFont"/>
                <w:sz w:val="18"/>
                <w:szCs w:val="18"/>
              </w:rPr>
              <w:t>Kamerbrief van 10 september 2025</w:t>
            </w:r>
          </w:p>
        </w:tc>
      </w:tr>
      <w:tr w:rsidRPr="00276931" w:rsidR="005B655E" w:rsidTr="00165F65" w14:paraId="01F24496" w14:textId="77777777">
        <w:tc>
          <w:tcPr>
            <w:tcW w:w="562" w:type="dxa"/>
          </w:tcPr>
          <w:p w:rsidRPr="00276931" w:rsidR="005B655E" w:rsidP="002B2C94" w:rsidRDefault="005B655E" w14:paraId="1B7D7490" w14:textId="77777777">
            <w:pPr>
              <w:autoSpaceDE w:val="0"/>
              <w:autoSpaceDN w:val="0"/>
              <w:adjustRightInd w:val="0"/>
              <w:spacing w:line="240" w:lineRule="atLeast"/>
              <w:rPr>
                <w:rFonts w:ascii="Verdana" w:hAnsi="Verdana" w:cs="AppleSystemUIFont"/>
                <w:sz w:val="18"/>
                <w:szCs w:val="18"/>
              </w:rPr>
            </w:pPr>
            <w:r w:rsidRPr="0085079A">
              <w:rPr>
                <w:rFonts w:ascii="Verdana" w:hAnsi="Verdana" w:cs="AppleSystemUIFont"/>
                <w:sz w:val="18"/>
                <w:szCs w:val="18"/>
              </w:rPr>
              <w:t>6</w:t>
            </w:r>
          </w:p>
        </w:tc>
        <w:tc>
          <w:tcPr>
            <w:tcW w:w="3062" w:type="dxa"/>
          </w:tcPr>
          <w:p w:rsidRPr="00276931" w:rsidR="005B655E" w:rsidP="002B2C94" w:rsidRDefault="005B655E" w14:paraId="36ED838B" w14:textId="77777777">
            <w:pPr>
              <w:kinsoku w:val="0"/>
              <w:overflowPunct w:val="0"/>
              <w:autoSpaceDE w:val="0"/>
              <w:autoSpaceDN w:val="0"/>
              <w:adjustRightInd w:val="0"/>
              <w:spacing w:before="5" w:line="240" w:lineRule="atLeast"/>
              <w:rPr>
                <w:rFonts w:ascii="Verdana" w:hAnsi="Verdana" w:cs="Calibri"/>
                <w:spacing w:val="-2"/>
                <w:sz w:val="18"/>
                <w:szCs w:val="18"/>
              </w:rPr>
            </w:pPr>
            <w:r>
              <w:rPr>
                <w:rFonts w:ascii="Verdana" w:hAnsi="Verdana" w:cs="Calibri"/>
                <w:spacing w:val="-2"/>
                <w:sz w:val="18"/>
                <w:szCs w:val="18"/>
              </w:rPr>
              <w:t>Verwerkingsregisters AVG en Wpg van Belastingdienst</w:t>
            </w:r>
          </w:p>
        </w:tc>
        <w:tc>
          <w:tcPr>
            <w:tcW w:w="1812" w:type="dxa"/>
          </w:tcPr>
          <w:p w:rsidRPr="00276931" w:rsidR="005B655E" w:rsidP="002B2C94" w:rsidRDefault="005B655E" w14:paraId="50DC2D0F" w14:textId="77777777">
            <w:pPr>
              <w:autoSpaceDE w:val="0"/>
              <w:autoSpaceDN w:val="0"/>
              <w:adjustRightInd w:val="0"/>
              <w:spacing w:line="240" w:lineRule="atLeast"/>
              <w:rPr>
                <w:rFonts w:ascii="Verdana" w:hAnsi="Verdana" w:cs="AppleSystemUIFont"/>
                <w:sz w:val="18"/>
                <w:szCs w:val="18"/>
              </w:rPr>
            </w:pPr>
            <w:r>
              <w:rPr>
                <w:rFonts w:ascii="Verdana" w:hAnsi="Verdana" w:cs="AppleSystemUIFont"/>
                <w:sz w:val="18"/>
                <w:szCs w:val="18"/>
              </w:rPr>
              <w:t>17 september 2025</w:t>
            </w:r>
          </w:p>
        </w:tc>
        <w:tc>
          <w:tcPr>
            <w:tcW w:w="1813" w:type="dxa"/>
          </w:tcPr>
          <w:p w:rsidRPr="00276931" w:rsidR="005B655E" w:rsidP="002B2C94" w:rsidRDefault="005B655E" w14:paraId="29B96FD1" w14:textId="77777777">
            <w:pPr>
              <w:autoSpaceDE w:val="0"/>
              <w:autoSpaceDN w:val="0"/>
              <w:adjustRightInd w:val="0"/>
              <w:spacing w:line="240" w:lineRule="atLeast"/>
              <w:rPr>
                <w:rFonts w:ascii="Verdana" w:hAnsi="Verdana" w:cs="AppleSystemUIFont"/>
                <w:sz w:val="18"/>
                <w:szCs w:val="18"/>
              </w:rPr>
            </w:pPr>
            <w:r>
              <w:rPr>
                <w:rFonts w:ascii="Verdana" w:hAnsi="Verdana" w:cs="AppleSystemUIFont"/>
                <w:sz w:val="18"/>
                <w:szCs w:val="18"/>
              </w:rPr>
              <w:t xml:space="preserve">Conclusie met aanbevelingen </w:t>
            </w:r>
          </w:p>
        </w:tc>
        <w:tc>
          <w:tcPr>
            <w:tcW w:w="1813" w:type="dxa"/>
          </w:tcPr>
          <w:p w:rsidRPr="00276931" w:rsidR="005B655E" w:rsidP="002B2C94" w:rsidRDefault="005B655E" w14:paraId="4A0376D2" w14:textId="6E3B4759">
            <w:pPr>
              <w:autoSpaceDE w:val="0"/>
              <w:autoSpaceDN w:val="0"/>
              <w:adjustRightInd w:val="0"/>
              <w:spacing w:line="240" w:lineRule="atLeast"/>
              <w:rPr>
                <w:rFonts w:ascii="Verdana" w:hAnsi="Verdana" w:cs="AppleSystemUIFont"/>
                <w:sz w:val="18"/>
                <w:szCs w:val="18"/>
              </w:rPr>
            </w:pPr>
            <w:r>
              <w:rPr>
                <w:rFonts w:ascii="Verdana" w:hAnsi="Verdana" w:cs="AppleSystemUIFont"/>
                <w:sz w:val="18"/>
                <w:szCs w:val="18"/>
              </w:rPr>
              <w:t>De</w:t>
            </w:r>
            <w:r w:rsidR="00775542">
              <w:rPr>
                <w:rFonts w:ascii="Verdana" w:hAnsi="Verdana" w:cs="AppleSystemUIFont"/>
                <w:sz w:val="18"/>
                <w:szCs w:val="18"/>
              </w:rPr>
              <w:t>ze stand-van-zaken</w:t>
            </w:r>
            <w:r>
              <w:rPr>
                <w:rFonts w:ascii="Verdana" w:hAnsi="Verdana" w:cs="AppleSystemUIFont"/>
                <w:sz w:val="18"/>
                <w:szCs w:val="18"/>
              </w:rPr>
              <w:t>brief</w:t>
            </w:r>
            <w:r w:rsidR="00775542">
              <w:rPr>
                <w:rFonts w:ascii="Verdana" w:hAnsi="Verdana" w:cs="AppleSystemUIFont"/>
                <w:sz w:val="18"/>
                <w:szCs w:val="18"/>
              </w:rPr>
              <w:t xml:space="preserve"> (november 2025)</w:t>
            </w:r>
          </w:p>
        </w:tc>
      </w:tr>
    </w:tbl>
    <w:p w:rsidRPr="00276931" w:rsidR="005B655E" w:rsidP="002B2C94" w:rsidRDefault="005B655E" w14:paraId="513A9FF0" w14:textId="77777777">
      <w:pPr>
        <w:autoSpaceDE w:val="0"/>
        <w:autoSpaceDN w:val="0"/>
        <w:adjustRightInd w:val="0"/>
        <w:spacing w:after="0" w:line="240" w:lineRule="atLeast"/>
        <w:rPr>
          <w:rFonts w:ascii="Verdana" w:hAnsi="Verdana" w:cs="AppleSystemUIFont"/>
          <w:sz w:val="18"/>
          <w:szCs w:val="18"/>
        </w:rPr>
      </w:pPr>
    </w:p>
    <w:p w:rsidR="00775542" w:rsidRDefault="00775542" w14:paraId="22E2B3BF" w14:textId="77777777">
      <w:pPr>
        <w:rPr>
          <w:rFonts w:ascii="Verdana" w:hAnsi="Verdana" w:cs="AppleSystemUIFont"/>
          <w:sz w:val="18"/>
          <w:szCs w:val="18"/>
        </w:rPr>
      </w:pPr>
      <w:r>
        <w:rPr>
          <w:rFonts w:ascii="Verdana" w:hAnsi="Verdana" w:cs="AppleSystemUIFont"/>
          <w:sz w:val="18"/>
          <w:szCs w:val="18"/>
        </w:rPr>
        <w:br w:type="page"/>
      </w:r>
    </w:p>
    <w:p w:rsidRPr="00276931" w:rsidR="005B655E" w:rsidP="002B2C94" w:rsidRDefault="005B655E" w14:paraId="5116929A" w14:textId="732D1099">
      <w:pPr>
        <w:autoSpaceDE w:val="0"/>
        <w:autoSpaceDN w:val="0"/>
        <w:adjustRightInd w:val="0"/>
        <w:spacing w:after="0" w:line="240" w:lineRule="atLeast"/>
        <w:rPr>
          <w:rFonts w:ascii="Verdana" w:hAnsi="Verdana" w:cs="AppleSystemUIFont"/>
          <w:sz w:val="18"/>
          <w:szCs w:val="18"/>
        </w:rPr>
      </w:pPr>
      <w:r w:rsidRPr="00276931">
        <w:rPr>
          <w:rFonts w:ascii="Verdana" w:hAnsi="Verdana" w:cs="AppleSystemUIFont"/>
          <w:sz w:val="18"/>
          <w:szCs w:val="18"/>
        </w:rPr>
        <w:lastRenderedPageBreak/>
        <w:t xml:space="preserve">Hieronder volgt per </w:t>
      </w:r>
      <w:r w:rsidR="0052615B">
        <w:rPr>
          <w:rFonts w:ascii="Verdana" w:hAnsi="Verdana" w:cs="AppleSystemUIFont"/>
          <w:sz w:val="18"/>
          <w:szCs w:val="18"/>
        </w:rPr>
        <w:t>onderwerp</w:t>
      </w:r>
      <w:r w:rsidRPr="00276931" w:rsidR="0052615B">
        <w:rPr>
          <w:rFonts w:ascii="Verdana" w:hAnsi="Verdana" w:cs="AppleSystemUIFont"/>
          <w:sz w:val="18"/>
          <w:szCs w:val="18"/>
        </w:rPr>
        <w:t xml:space="preserve"> </w:t>
      </w:r>
      <w:r w:rsidRPr="00276931">
        <w:rPr>
          <w:rFonts w:ascii="Verdana" w:hAnsi="Verdana" w:cs="AppleSystemUIFont"/>
          <w:sz w:val="18"/>
          <w:szCs w:val="18"/>
        </w:rPr>
        <w:t>een korte toelichting met de huidige status:</w:t>
      </w:r>
    </w:p>
    <w:p w:rsidRPr="00276931" w:rsidR="005B655E" w:rsidP="002B2C94" w:rsidRDefault="005B655E" w14:paraId="6A0304AB" w14:textId="77777777">
      <w:pPr>
        <w:autoSpaceDE w:val="0"/>
        <w:autoSpaceDN w:val="0"/>
        <w:adjustRightInd w:val="0"/>
        <w:spacing w:after="0" w:line="240" w:lineRule="atLeast"/>
        <w:rPr>
          <w:rFonts w:ascii="Verdana" w:hAnsi="Verdana" w:cs="AppleSystemUIFont"/>
          <w:color w:val="FFC000"/>
          <w:sz w:val="18"/>
          <w:szCs w:val="18"/>
        </w:rPr>
      </w:pPr>
    </w:p>
    <w:p w:rsidRPr="00680856" w:rsidR="005B655E" w:rsidP="002B2C94" w:rsidRDefault="005B655E" w14:paraId="10D71573" w14:textId="77777777">
      <w:pPr>
        <w:autoSpaceDE w:val="0"/>
        <w:autoSpaceDN w:val="0"/>
        <w:adjustRightInd w:val="0"/>
        <w:spacing w:after="0" w:line="240" w:lineRule="atLeast"/>
        <w:rPr>
          <w:rFonts w:ascii="Verdana" w:hAnsi="Verdana" w:cs="AppleSystemUIFont"/>
          <w:i/>
          <w:iCs/>
          <w:sz w:val="18"/>
          <w:szCs w:val="18"/>
        </w:rPr>
      </w:pPr>
      <w:r w:rsidRPr="00680856">
        <w:rPr>
          <w:rFonts w:ascii="Verdana" w:hAnsi="Verdana" w:cs="AppleSystemUIFont"/>
          <w:i/>
          <w:iCs/>
          <w:sz w:val="18"/>
          <w:szCs w:val="18"/>
        </w:rPr>
        <w:t>Meldpunt Datalekken</w:t>
      </w:r>
    </w:p>
    <w:p w:rsidRPr="00680856" w:rsidR="005B655E" w:rsidP="002B2C94" w:rsidRDefault="005B655E" w14:paraId="265EA3E3" w14:textId="5688B3A0">
      <w:pPr>
        <w:autoSpaceDE w:val="0"/>
        <w:autoSpaceDN w:val="0"/>
        <w:adjustRightInd w:val="0"/>
        <w:spacing w:after="0" w:line="240" w:lineRule="atLeast"/>
        <w:rPr>
          <w:rFonts w:ascii="Verdana" w:hAnsi="Verdana" w:cs="AppleSystemUIFont"/>
          <w:sz w:val="18"/>
          <w:szCs w:val="18"/>
        </w:rPr>
      </w:pPr>
      <w:r w:rsidRPr="00680856">
        <w:rPr>
          <w:rFonts w:ascii="Verdana" w:hAnsi="Verdana" w:cs="AppleSystemUIFont"/>
          <w:sz w:val="18"/>
          <w:szCs w:val="18"/>
        </w:rPr>
        <w:t xml:space="preserve">Op 10 december 2024 heeft de AP </w:t>
      </w:r>
      <w:r w:rsidR="00AE3E80">
        <w:rPr>
          <w:rFonts w:ascii="Verdana" w:hAnsi="Verdana" w:cs="AppleSystemUIFont"/>
          <w:sz w:val="18"/>
          <w:szCs w:val="18"/>
        </w:rPr>
        <w:t>een brief over</w:t>
      </w:r>
      <w:r w:rsidRPr="00680856">
        <w:rPr>
          <w:rFonts w:ascii="Verdana" w:hAnsi="Verdana" w:cs="AppleSystemUIFont"/>
          <w:sz w:val="18"/>
          <w:szCs w:val="18"/>
        </w:rPr>
        <w:t xml:space="preserve"> </w:t>
      </w:r>
      <w:r w:rsidR="00C11144">
        <w:rPr>
          <w:rFonts w:ascii="Verdana" w:hAnsi="Verdana" w:cs="AppleSystemUIFont"/>
          <w:sz w:val="18"/>
          <w:szCs w:val="18"/>
        </w:rPr>
        <w:t xml:space="preserve">het </w:t>
      </w:r>
      <w:r w:rsidRPr="00680856">
        <w:rPr>
          <w:rFonts w:ascii="Verdana" w:hAnsi="Verdana" w:cs="AppleSystemUIFont"/>
          <w:sz w:val="18"/>
          <w:szCs w:val="18"/>
        </w:rPr>
        <w:t xml:space="preserve">reguliere proces </w:t>
      </w:r>
      <w:r w:rsidR="00775542">
        <w:rPr>
          <w:rFonts w:ascii="Verdana" w:hAnsi="Verdana" w:cs="AppleSystemUIFont"/>
          <w:sz w:val="18"/>
          <w:szCs w:val="18"/>
        </w:rPr>
        <w:t>van</w:t>
      </w:r>
      <w:r w:rsidRPr="00680856">
        <w:rPr>
          <w:rFonts w:ascii="Verdana" w:hAnsi="Verdana" w:cs="AppleSystemUIFont"/>
          <w:sz w:val="18"/>
          <w:szCs w:val="18"/>
        </w:rPr>
        <w:t xml:space="preserve"> </w:t>
      </w:r>
      <w:r w:rsidR="00460897">
        <w:rPr>
          <w:rFonts w:ascii="Verdana" w:hAnsi="Verdana" w:cs="AppleSystemUIFont"/>
          <w:sz w:val="18"/>
          <w:szCs w:val="18"/>
        </w:rPr>
        <w:t xml:space="preserve">het meldproces </w:t>
      </w:r>
      <w:r w:rsidRPr="00680856">
        <w:rPr>
          <w:rFonts w:ascii="Verdana" w:hAnsi="Verdana" w:cs="AppleSystemUIFont"/>
          <w:sz w:val="18"/>
          <w:szCs w:val="18"/>
        </w:rPr>
        <w:t>datalekken met de Belastingdienst gedeeld</w:t>
      </w:r>
      <w:r w:rsidR="00C11144">
        <w:rPr>
          <w:rFonts w:ascii="Verdana" w:hAnsi="Verdana" w:cs="AppleSystemUIFont"/>
          <w:sz w:val="18"/>
          <w:szCs w:val="18"/>
        </w:rPr>
        <w:t>. D</w:t>
      </w:r>
      <w:r w:rsidR="00AE3E80">
        <w:rPr>
          <w:rFonts w:ascii="Verdana" w:hAnsi="Verdana" w:cs="AppleSystemUIFont"/>
          <w:sz w:val="18"/>
          <w:szCs w:val="18"/>
        </w:rPr>
        <w:t>aarin</w:t>
      </w:r>
      <w:r w:rsidR="00C11144">
        <w:rPr>
          <w:rFonts w:ascii="Verdana" w:hAnsi="Verdana" w:cs="AppleSystemUIFont"/>
          <w:sz w:val="18"/>
          <w:szCs w:val="18"/>
        </w:rPr>
        <w:t xml:space="preserve"> werd</w:t>
      </w:r>
      <w:r w:rsidR="00AE3E80">
        <w:rPr>
          <w:rFonts w:ascii="Verdana" w:hAnsi="Verdana" w:cs="AppleSystemUIFont"/>
          <w:sz w:val="18"/>
          <w:szCs w:val="18"/>
        </w:rPr>
        <w:t xml:space="preserve"> geconstateerd dat</w:t>
      </w:r>
      <w:r w:rsidRPr="00680856">
        <w:rPr>
          <w:rFonts w:ascii="Verdana" w:hAnsi="Verdana" w:cs="AppleSystemUIFont"/>
          <w:sz w:val="18"/>
          <w:szCs w:val="18"/>
        </w:rPr>
        <w:t xml:space="preserve"> de Belastingdienst zich de afgelopen jaren aantoonbaar heeft ingespannen om dit proces te verbeteren</w:t>
      </w:r>
      <w:r w:rsidR="00AE3E80">
        <w:rPr>
          <w:rFonts w:ascii="Verdana" w:hAnsi="Verdana" w:cs="AppleSystemUIFont"/>
          <w:sz w:val="18"/>
          <w:szCs w:val="18"/>
        </w:rPr>
        <w:t>. De AP</w:t>
      </w:r>
      <w:r w:rsidRPr="00680856">
        <w:rPr>
          <w:rFonts w:ascii="Verdana" w:hAnsi="Verdana" w:cs="AppleSystemUIFont"/>
          <w:sz w:val="18"/>
          <w:szCs w:val="18"/>
        </w:rPr>
        <w:t xml:space="preserve"> deed daarbij vijf aanvullende aanbevelingen. Door deze aanbevelingen te implementeren en structureel te verankeren in de werkprocessen, voldoet de Belastingdienst aan de meldplicht voor datalekken. Daarmee heeft de AP het toezichttraject op dit onderdeel afgerond, zoals bevestigd in haar brief van 11 september 2025</w:t>
      </w:r>
      <w:r>
        <w:rPr>
          <w:rFonts w:ascii="Verdana" w:hAnsi="Verdana" w:cs="AppleSystemUIFont"/>
          <w:sz w:val="18"/>
          <w:szCs w:val="18"/>
        </w:rPr>
        <w:t xml:space="preserve"> die u als bijlage aantreft (zie bijlage </w:t>
      </w:r>
      <w:r w:rsidR="00B77092">
        <w:rPr>
          <w:rFonts w:ascii="Verdana" w:hAnsi="Verdana" w:cs="AppleSystemUIFont"/>
          <w:sz w:val="18"/>
          <w:szCs w:val="18"/>
        </w:rPr>
        <w:t>2</w:t>
      </w:r>
      <w:r>
        <w:rPr>
          <w:rFonts w:ascii="Verdana" w:hAnsi="Verdana" w:cs="AppleSystemUIFont"/>
          <w:sz w:val="18"/>
          <w:szCs w:val="18"/>
        </w:rPr>
        <w:t xml:space="preserve">). </w:t>
      </w:r>
    </w:p>
    <w:p w:rsidRPr="00276931" w:rsidR="005B655E" w:rsidP="002B2C94" w:rsidRDefault="005B655E" w14:paraId="17C1FD68" w14:textId="77777777">
      <w:pPr>
        <w:autoSpaceDE w:val="0"/>
        <w:autoSpaceDN w:val="0"/>
        <w:adjustRightInd w:val="0"/>
        <w:spacing w:after="0" w:line="240" w:lineRule="atLeast"/>
        <w:rPr>
          <w:rFonts w:ascii="Verdana" w:hAnsi="Verdana" w:cs="AppleSystemUIFont"/>
          <w:sz w:val="18"/>
          <w:szCs w:val="18"/>
        </w:rPr>
      </w:pPr>
    </w:p>
    <w:p w:rsidRPr="00276931" w:rsidR="005B655E" w:rsidP="002B2C94" w:rsidRDefault="005B655E" w14:paraId="08232C44" w14:textId="784E9A37">
      <w:pPr>
        <w:autoSpaceDE w:val="0"/>
        <w:autoSpaceDN w:val="0"/>
        <w:adjustRightInd w:val="0"/>
        <w:spacing w:after="0" w:line="240" w:lineRule="atLeast"/>
        <w:rPr>
          <w:rFonts w:ascii="Verdana" w:hAnsi="Verdana" w:cs="AppleSystemUIFont"/>
          <w:sz w:val="18"/>
          <w:szCs w:val="18"/>
        </w:rPr>
      </w:pPr>
      <w:r w:rsidRPr="00276931">
        <w:rPr>
          <w:rFonts w:ascii="Verdana" w:hAnsi="Verdana" w:cs="AppleSystemUIFont"/>
          <w:i/>
          <w:iCs/>
          <w:sz w:val="18"/>
          <w:szCs w:val="18"/>
        </w:rPr>
        <w:t>Opdracht tot verbetering van de privacy</w:t>
      </w:r>
      <w:r w:rsidR="00615152">
        <w:rPr>
          <w:rFonts w:ascii="Verdana" w:hAnsi="Verdana" w:cs="AppleSystemUIFont"/>
          <w:i/>
          <w:iCs/>
          <w:sz w:val="18"/>
          <w:szCs w:val="18"/>
        </w:rPr>
        <w:t>-</w:t>
      </w:r>
      <w:r w:rsidRPr="00276931">
        <w:rPr>
          <w:rFonts w:ascii="Verdana" w:hAnsi="Verdana" w:cs="AppleSystemUIFont"/>
          <w:i/>
          <w:iCs/>
          <w:sz w:val="18"/>
          <w:szCs w:val="18"/>
        </w:rPr>
        <w:t>organisatie</w:t>
      </w:r>
      <w:r w:rsidRPr="00276931">
        <w:rPr>
          <w:rFonts w:ascii="Verdana" w:hAnsi="Verdana" w:cs="AppleSystemUIFont"/>
          <w:i/>
          <w:iCs/>
          <w:sz w:val="18"/>
          <w:szCs w:val="18"/>
        </w:rPr>
        <w:br/>
      </w:r>
      <w:r w:rsidRPr="00276931">
        <w:rPr>
          <w:rFonts w:ascii="Verdana" w:hAnsi="Verdana" w:cs="AppleSystemUIFont"/>
          <w:sz w:val="18"/>
          <w:szCs w:val="18"/>
        </w:rPr>
        <w:t xml:space="preserve">Op 23 december </w:t>
      </w:r>
      <w:r w:rsidR="0099381C">
        <w:rPr>
          <w:rFonts w:ascii="Verdana" w:hAnsi="Verdana" w:cs="AppleSystemUIFont"/>
          <w:sz w:val="18"/>
          <w:szCs w:val="18"/>
        </w:rPr>
        <w:t>2024</w:t>
      </w:r>
      <w:r w:rsidRPr="00276931">
        <w:rPr>
          <w:rFonts w:ascii="Verdana" w:hAnsi="Verdana" w:cs="AppleSystemUIFont"/>
          <w:sz w:val="18"/>
          <w:szCs w:val="18"/>
        </w:rPr>
        <w:t xml:space="preserve"> heeft de AP </w:t>
      </w:r>
      <w:r w:rsidR="00AE3E80">
        <w:rPr>
          <w:rFonts w:ascii="Verdana" w:hAnsi="Verdana" w:cs="AppleSystemUIFont"/>
          <w:sz w:val="18"/>
          <w:szCs w:val="18"/>
        </w:rPr>
        <w:t>een brief gestuurd</w:t>
      </w:r>
      <w:r w:rsidRPr="00276931">
        <w:rPr>
          <w:rFonts w:ascii="Verdana" w:hAnsi="Verdana" w:cs="AppleSystemUIFont"/>
          <w:sz w:val="18"/>
          <w:szCs w:val="18"/>
        </w:rPr>
        <w:t xml:space="preserve"> over de staat van de privacy</w:t>
      </w:r>
      <w:r w:rsidR="00615152">
        <w:rPr>
          <w:rFonts w:ascii="Verdana" w:hAnsi="Verdana" w:cs="AppleSystemUIFont"/>
          <w:sz w:val="18"/>
          <w:szCs w:val="18"/>
        </w:rPr>
        <w:t>-</w:t>
      </w:r>
      <w:r w:rsidRPr="00276931">
        <w:rPr>
          <w:rFonts w:ascii="Verdana" w:hAnsi="Verdana" w:cs="AppleSystemUIFont"/>
          <w:sz w:val="18"/>
          <w:szCs w:val="18"/>
        </w:rPr>
        <w:t>organisatie. De AP trekt de conclusie dat de Belastingdienst</w:t>
      </w:r>
      <w:r w:rsidR="0052615B">
        <w:rPr>
          <w:rFonts w:ascii="Verdana" w:hAnsi="Verdana" w:cs="AppleSystemUIFont"/>
          <w:sz w:val="18"/>
          <w:szCs w:val="18"/>
        </w:rPr>
        <w:t xml:space="preserve"> betekenisvolle</w:t>
      </w:r>
      <w:r w:rsidRPr="00276931">
        <w:rPr>
          <w:rFonts w:ascii="Verdana" w:hAnsi="Verdana" w:cs="AppleSystemUIFont"/>
          <w:sz w:val="18"/>
          <w:szCs w:val="18"/>
        </w:rPr>
        <w:t xml:space="preserve"> stappen heeft gezet, maar dat er </w:t>
      </w:r>
      <w:r w:rsidR="00AE3E80">
        <w:rPr>
          <w:rFonts w:ascii="Verdana" w:hAnsi="Verdana" w:cs="AppleSystemUIFont"/>
          <w:sz w:val="18"/>
          <w:szCs w:val="18"/>
        </w:rPr>
        <w:t xml:space="preserve">wel </w:t>
      </w:r>
      <w:r w:rsidRPr="00276931">
        <w:rPr>
          <w:rFonts w:ascii="Verdana" w:hAnsi="Verdana" w:cs="AppleSystemUIFont"/>
          <w:sz w:val="18"/>
          <w:szCs w:val="18"/>
        </w:rPr>
        <w:t xml:space="preserve">noodzakelijke verbeteringen moeten worden doorgevoerd. De Belastingdienst heeft </w:t>
      </w:r>
      <w:r w:rsidR="002338FA">
        <w:rPr>
          <w:rFonts w:ascii="Verdana" w:hAnsi="Verdana" w:cs="AppleSystemUIFont"/>
          <w:sz w:val="18"/>
          <w:szCs w:val="18"/>
        </w:rPr>
        <w:t>het doorvoeren van</w:t>
      </w:r>
      <w:r w:rsidRPr="00276931">
        <w:rPr>
          <w:rFonts w:ascii="Verdana" w:hAnsi="Verdana" w:cs="AppleSystemUIFont"/>
          <w:sz w:val="18"/>
          <w:szCs w:val="18"/>
        </w:rPr>
        <w:t xml:space="preserve"> deze verbeteringen direct opgepakt.</w:t>
      </w:r>
      <w:r w:rsidR="00976003">
        <w:rPr>
          <w:rFonts w:ascii="Verdana" w:hAnsi="Verdana" w:cs="AppleSystemUIFont"/>
          <w:sz w:val="18"/>
          <w:szCs w:val="18"/>
        </w:rPr>
        <w:t xml:space="preserve"> De eerste verbeteringen, zoals het vaststellen van een</w:t>
      </w:r>
      <w:r w:rsidRPr="00276931">
        <w:rPr>
          <w:rFonts w:ascii="Verdana" w:hAnsi="Verdana" w:cs="AppleSystemUIFont"/>
          <w:sz w:val="18"/>
          <w:szCs w:val="18"/>
        </w:rPr>
        <w:t xml:space="preserve"> </w:t>
      </w:r>
      <w:r w:rsidRPr="00276931" w:rsidR="00976003">
        <w:rPr>
          <w:rFonts w:ascii="Verdana" w:hAnsi="Verdana" w:cs="AppleSystemUIFont"/>
          <w:sz w:val="18"/>
          <w:szCs w:val="18"/>
        </w:rPr>
        <w:t>herziene privacygovernance</w:t>
      </w:r>
      <w:r w:rsidR="00976003">
        <w:rPr>
          <w:rFonts w:ascii="Verdana" w:hAnsi="Verdana" w:cs="AppleSystemUIFont"/>
          <w:sz w:val="18"/>
          <w:szCs w:val="18"/>
        </w:rPr>
        <w:t>, zijn uitgevoerd.</w:t>
      </w:r>
      <w:r w:rsidRPr="00276931" w:rsidR="00976003">
        <w:rPr>
          <w:rFonts w:ascii="Verdana" w:hAnsi="Verdana" w:cs="AppleSystemUIFont"/>
          <w:sz w:val="18"/>
          <w:szCs w:val="18"/>
        </w:rPr>
        <w:t xml:space="preserve"> </w:t>
      </w:r>
    </w:p>
    <w:p w:rsidRPr="00276931" w:rsidR="005B655E" w:rsidP="002B2C94" w:rsidRDefault="005B655E" w14:paraId="4865E9FF" w14:textId="77777777">
      <w:pPr>
        <w:autoSpaceDE w:val="0"/>
        <w:autoSpaceDN w:val="0"/>
        <w:adjustRightInd w:val="0"/>
        <w:spacing w:after="0" w:line="240" w:lineRule="atLeast"/>
        <w:rPr>
          <w:rFonts w:ascii="Verdana" w:hAnsi="Verdana" w:cs="AppleSystemUIFont"/>
          <w:sz w:val="18"/>
          <w:szCs w:val="18"/>
        </w:rPr>
      </w:pPr>
    </w:p>
    <w:p w:rsidRPr="00276931" w:rsidR="005B655E" w:rsidP="002B2C94" w:rsidRDefault="005B655E" w14:paraId="08CEA572" w14:textId="77777777">
      <w:pPr>
        <w:spacing w:after="0" w:line="240" w:lineRule="atLeast"/>
        <w:rPr>
          <w:rFonts w:ascii="Verdana" w:hAnsi="Verdana" w:cs="AppleSystemUIFont"/>
          <w:i/>
          <w:iCs/>
          <w:sz w:val="18"/>
          <w:szCs w:val="18"/>
        </w:rPr>
      </w:pPr>
      <w:r w:rsidRPr="00276931">
        <w:rPr>
          <w:rFonts w:ascii="Verdana" w:hAnsi="Verdana" w:cs="AppleSystemUIFont"/>
          <w:i/>
          <w:iCs/>
          <w:sz w:val="18"/>
          <w:szCs w:val="18"/>
        </w:rPr>
        <w:t xml:space="preserve">Ontheffing geheimhoudingsplicht in gevallen van vermoedelijk fiscale integriteitsschending </w:t>
      </w:r>
    </w:p>
    <w:p w:rsidRPr="00276931" w:rsidR="005B655E" w:rsidP="002B2C94" w:rsidRDefault="00976003" w14:paraId="7AADB6AA" w14:textId="1EB7D049">
      <w:pPr>
        <w:spacing w:line="240" w:lineRule="atLeast"/>
        <w:rPr>
          <w:rFonts w:ascii="Verdana" w:hAnsi="Verdana" w:cs="AppleSystemUIFont"/>
          <w:sz w:val="18"/>
          <w:szCs w:val="18"/>
        </w:rPr>
      </w:pPr>
      <w:r w:rsidRPr="00976003">
        <w:rPr>
          <w:rFonts w:ascii="Verdana" w:hAnsi="Verdana" w:cs="AppleSystemUIFont"/>
          <w:sz w:val="18"/>
          <w:szCs w:val="18"/>
        </w:rPr>
        <w:t xml:space="preserve">Artikel 67 van de AWR bevat </w:t>
      </w:r>
      <w:r w:rsidRPr="002B2C94">
        <w:rPr>
          <w:rFonts w:ascii="Verdana" w:hAnsi="Verdana" w:cs="AppleSystemUIFont"/>
          <w:sz w:val="18"/>
          <w:szCs w:val="18"/>
        </w:rPr>
        <w:t xml:space="preserve">een geheimhoudingsplicht voor iedereen die met </w:t>
      </w:r>
      <w:r w:rsidRPr="00976003">
        <w:rPr>
          <w:rFonts w:ascii="Verdana" w:hAnsi="Verdana" w:cs="AppleSystemUIFont"/>
          <w:sz w:val="18"/>
          <w:szCs w:val="18"/>
        </w:rPr>
        <w:t>belastingwetten</w:t>
      </w:r>
      <w:r w:rsidRPr="002B2C94">
        <w:rPr>
          <w:rFonts w:ascii="Verdana" w:hAnsi="Verdana" w:cs="AppleSystemUIFont"/>
          <w:sz w:val="18"/>
          <w:szCs w:val="18"/>
        </w:rPr>
        <w:t xml:space="preserve"> werkt.</w:t>
      </w:r>
      <w:r>
        <w:rPr>
          <w:rFonts w:ascii="Verdana" w:hAnsi="Verdana" w:cs="AppleSystemUIFont"/>
          <w:sz w:val="18"/>
          <w:szCs w:val="18"/>
        </w:rPr>
        <w:t xml:space="preserve"> Op grond van het derde lid van dit artikel kan hier </w:t>
      </w:r>
      <w:r w:rsidR="00E06A5A">
        <w:rPr>
          <w:rFonts w:ascii="Verdana" w:hAnsi="Verdana" w:cs="AppleSystemUIFont"/>
          <w:sz w:val="18"/>
          <w:szCs w:val="18"/>
        </w:rPr>
        <w:t xml:space="preserve">in individuele gevallen door of namens mij </w:t>
      </w:r>
      <w:r>
        <w:rPr>
          <w:rFonts w:ascii="Verdana" w:hAnsi="Verdana" w:cs="AppleSystemUIFont"/>
          <w:sz w:val="18"/>
          <w:szCs w:val="18"/>
        </w:rPr>
        <w:t>een ontheff</w:t>
      </w:r>
      <w:r w:rsidR="00AF556F">
        <w:rPr>
          <w:rFonts w:ascii="Verdana" w:hAnsi="Verdana" w:cs="AppleSystemUIFont"/>
          <w:sz w:val="18"/>
          <w:szCs w:val="18"/>
        </w:rPr>
        <w:t>ing</w:t>
      </w:r>
      <w:r>
        <w:rPr>
          <w:rFonts w:ascii="Verdana" w:hAnsi="Verdana" w:cs="AppleSystemUIFont"/>
          <w:sz w:val="18"/>
          <w:szCs w:val="18"/>
        </w:rPr>
        <w:t xml:space="preserve"> op gegeven worden. </w:t>
      </w:r>
      <w:r w:rsidRPr="00A359F4" w:rsidR="005B655E">
        <w:rPr>
          <w:rFonts w:ascii="Verdana" w:hAnsi="Verdana" w:cs="AppleSystemUIFont"/>
          <w:sz w:val="18"/>
          <w:szCs w:val="18"/>
        </w:rPr>
        <w:t xml:space="preserve">De AP </w:t>
      </w:r>
      <w:r>
        <w:rPr>
          <w:rFonts w:ascii="Verdana" w:hAnsi="Verdana" w:cs="AppleSystemUIFont"/>
          <w:sz w:val="18"/>
          <w:szCs w:val="18"/>
        </w:rPr>
        <w:t>heeft</w:t>
      </w:r>
      <w:r w:rsidR="0026411A">
        <w:rPr>
          <w:rFonts w:ascii="Verdana" w:hAnsi="Verdana" w:cs="AppleSystemUIFont"/>
          <w:sz w:val="18"/>
          <w:szCs w:val="18"/>
        </w:rPr>
        <w:t xml:space="preserve"> </w:t>
      </w:r>
      <w:r>
        <w:rPr>
          <w:rFonts w:ascii="Verdana" w:hAnsi="Verdana" w:cs="AppleSystemUIFont"/>
          <w:sz w:val="18"/>
          <w:szCs w:val="18"/>
        </w:rPr>
        <w:t>twee</w:t>
      </w:r>
      <w:r w:rsidRPr="00A359F4" w:rsidR="005B655E">
        <w:rPr>
          <w:rFonts w:ascii="Verdana" w:hAnsi="Verdana" w:cs="AppleSystemUIFont"/>
          <w:sz w:val="18"/>
          <w:szCs w:val="18"/>
        </w:rPr>
        <w:t xml:space="preserve"> AVG-klachten </w:t>
      </w:r>
      <w:r>
        <w:rPr>
          <w:rFonts w:ascii="Verdana" w:hAnsi="Verdana" w:cs="AppleSystemUIFont"/>
          <w:sz w:val="18"/>
          <w:szCs w:val="18"/>
        </w:rPr>
        <w:t xml:space="preserve">gekregen over het gebruik van deze uitzonderingsgrond. Naar aanleiding daarvan heeft de AP </w:t>
      </w:r>
      <w:r w:rsidR="00AF43FE">
        <w:rPr>
          <w:rFonts w:ascii="Verdana" w:hAnsi="Verdana" w:cs="AppleSystemUIFont"/>
          <w:sz w:val="18"/>
          <w:szCs w:val="18"/>
        </w:rPr>
        <w:t xml:space="preserve">op 1 februari 2024 </w:t>
      </w:r>
      <w:r>
        <w:rPr>
          <w:rFonts w:ascii="Verdana" w:hAnsi="Verdana" w:cs="AppleSystemUIFont"/>
          <w:sz w:val="18"/>
          <w:szCs w:val="18"/>
        </w:rPr>
        <w:t>een</w:t>
      </w:r>
      <w:r w:rsidRPr="00A359F4" w:rsidR="005B655E">
        <w:rPr>
          <w:rFonts w:ascii="Verdana" w:hAnsi="Verdana" w:cs="AppleSystemUIFont"/>
          <w:sz w:val="18"/>
          <w:szCs w:val="18"/>
        </w:rPr>
        <w:t xml:space="preserve"> </w:t>
      </w:r>
      <w:r w:rsidR="00AF43FE">
        <w:rPr>
          <w:rFonts w:ascii="Verdana" w:hAnsi="Verdana" w:cs="AppleSystemUIFont"/>
          <w:sz w:val="18"/>
          <w:szCs w:val="18"/>
        </w:rPr>
        <w:t>richtlijnengesprek gevoerd</w:t>
      </w:r>
      <w:r w:rsidRPr="00A359F4" w:rsidR="005B655E">
        <w:rPr>
          <w:rFonts w:ascii="Verdana" w:hAnsi="Verdana" w:cs="AppleSystemUIFont"/>
          <w:sz w:val="18"/>
          <w:szCs w:val="18"/>
        </w:rPr>
        <w:t xml:space="preserve"> met de Belastingdienst</w:t>
      </w:r>
      <w:r>
        <w:rPr>
          <w:rFonts w:ascii="Verdana" w:hAnsi="Verdana" w:cs="AppleSystemUIFont"/>
          <w:sz w:val="18"/>
          <w:szCs w:val="18"/>
        </w:rPr>
        <w:t>.</w:t>
      </w:r>
      <w:r w:rsidR="00162B28">
        <w:rPr>
          <w:rFonts w:ascii="Verdana" w:hAnsi="Verdana" w:cs="AppleSystemUIFont"/>
          <w:sz w:val="18"/>
          <w:szCs w:val="18"/>
        </w:rPr>
        <w:t xml:space="preserve"> </w:t>
      </w:r>
      <w:r>
        <w:rPr>
          <w:rFonts w:ascii="Verdana" w:hAnsi="Verdana" w:cs="AppleSystemUIFont"/>
          <w:sz w:val="18"/>
          <w:szCs w:val="18"/>
        </w:rPr>
        <w:t xml:space="preserve">Op basis </w:t>
      </w:r>
      <w:r w:rsidR="00162B28">
        <w:rPr>
          <w:rFonts w:ascii="Verdana" w:hAnsi="Verdana" w:cs="AppleSystemUIFont"/>
          <w:sz w:val="18"/>
          <w:szCs w:val="18"/>
        </w:rPr>
        <w:t xml:space="preserve">van het gesprek </w:t>
      </w:r>
      <w:r>
        <w:rPr>
          <w:rFonts w:ascii="Verdana" w:hAnsi="Verdana" w:cs="AppleSystemUIFont"/>
          <w:sz w:val="18"/>
          <w:szCs w:val="18"/>
        </w:rPr>
        <w:t xml:space="preserve">heeft de AP geconcludeerd </w:t>
      </w:r>
      <w:r w:rsidRPr="00A359F4" w:rsidR="005B655E">
        <w:rPr>
          <w:rFonts w:ascii="Verdana" w:hAnsi="Verdana" w:cs="AppleSystemUIFont"/>
          <w:sz w:val="18"/>
          <w:szCs w:val="18"/>
        </w:rPr>
        <w:t xml:space="preserve">dat artikel 67, derde lid, van de </w:t>
      </w:r>
      <w:r w:rsidR="004A2910">
        <w:rPr>
          <w:rFonts w:ascii="Verdana" w:hAnsi="Verdana" w:cs="AppleSystemUIFont"/>
          <w:sz w:val="18"/>
          <w:szCs w:val="18"/>
        </w:rPr>
        <w:t>AWR</w:t>
      </w:r>
      <w:r w:rsidRPr="00A359F4" w:rsidR="005B655E">
        <w:rPr>
          <w:rFonts w:ascii="Verdana" w:hAnsi="Verdana" w:cs="AppleSystemUIFont"/>
          <w:sz w:val="18"/>
          <w:szCs w:val="18"/>
        </w:rPr>
        <w:t xml:space="preserve"> is geformuleerd als een vrijwel ongeclausuleerde uitzonderingsbepaling.</w:t>
      </w:r>
      <w:r w:rsidR="00EB317D">
        <w:rPr>
          <w:rFonts w:ascii="Verdana" w:hAnsi="Verdana" w:cs="AppleSystemUIFont"/>
          <w:sz w:val="18"/>
          <w:szCs w:val="18"/>
        </w:rPr>
        <w:t xml:space="preserve"> Oftewel, </w:t>
      </w:r>
      <w:r w:rsidRPr="00EB317D" w:rsidR="00EB317D">
        <w:rPr>
          <w:rFonts w:ascii="Verdana" w:hAnsi="Verdana" w:cs="AppleSystemUIFont"/>
          <w:sz w:val="18"/>
          <w:szCs w:val="18"/>
        </w:rPr>
        <w:t>een uitzondering</w:t>
      </w:r>
      <w:r w:rsidR="00E06A5A">
        <w:rPr>
          <w:rFonts w:ascii="Verdana" w:hAnsi="Verdana" w:cs="AppleSystemUIFont"/>
          <w:sz w:val="18"/>
          <w:szCs w:val="18"/>
        </w:rPr>
        <w:t>smogelijkheid</w:t>
      </w:r>
      <w:r w:rsidRPr="00EB317D" w:rsidR="00E06A5A">
        <w:rPr>
          <w:rFonts w:ascii="Verdana" w:hAnsi="Verdana" w:cs="AppleSystemUIFont"/>
          <w:sz w:val="18"/>
          <w:szCs w:val="18"/>
        </w:rPr>
        <w:t xml:space="preserve"> in de wet</w:t>
      </w:r>
      <w:r w:rsidRPr="00EB317D" w:rsidR="00EB317D">
        <w:rPr>
          <w:rFonts w:ascii="Verdana" w:hAnsi="Verdana" w:cs="AppleSystemUIFont"/>
          <w:sz w:val="18"/>
          <w:szCs w:val="18"/>
        </w:rPr>
        <w:t xml:space="preserve"> die zo ruim en zonder duidelijke beperkingen is geformuleerd, dat zij in bijna alle gevallen kan worden toegepast.</w:t>
      </w:r>
      <w:r w:rsidRPr="00A359F4" w:rsidR="005B655E">
        <w:rPr>
          <w:rFonts w:ascii="Verdana" w:hAnsi="Verdana" w:cs="AppleSystemUIFont"/>
          <w:sz w:val="18"/>
          <w:szCs w:val="18"/>
        </w:rPr>
        <w:t xml:space="preserve"> De AP heeft de Belastingdienst</w:t>
      </w:r>
      <w:r w:rsidR="00775542">
        <w:rPr>
          <w:rFonts w:ascii="Verdana" w:hAnsi="Verdana" w:cs="AppleSystemUIFont"/>
          <w:sz w:val="18"/>
          <w:szCs w:val="18"/>
        </w:rPr>
        <w:t xml:space="preserve"> daarom</w:t>
      </w:r>
      <w:r w:rsidRPr="00A359F4" w:rsidR="005B655E">
        <w:rPr>
          <w:rFonts w:ascii="Verdana" w:hAnsi="Verdana" w:cs="AppleSystemUIFont"/>
          <w:sz w:val="18"/>
          <w:szCs w:val="18"/>
        </w:rPr>
        <w:t xml:space="preserve"> verzocht te onderzoeken op welke wijze </w:t>
      </w:r>
      <w:r w:rsidR="005B655E">
        <w:rPr>
          <w:rFonts w:ascii="Verdana" w:hAnsi="Verdana" w:cs="AppleSystemUIFont"/>
          <w:sz w:val="18"/>
          <w:szCs w:val="18"/>
        </w:rPr>
        <w:t>de wet</w:t>
      </w:r>
      <w:r w:rsidRPr="00A359F4" w:rsidR="005B655E">
        <w:rPr>
          <w:rFonts w:ascii="Verdana" w:hAnsi="Verdana" w:cs="AppleSystemUIFont"/>
          <w:sz w:val="18"/>
          <w:szCs w:val="18"/>
        </w:rPr>
        <w:t xml:space="preserve"> kan worden aangepast </w:t>
      </w:r>
      <w:r>
        <w:rPr>
          <w:rFonts w:ascii="Verdana" w:hAnsi="Verdana" w:cs="AppleSystemUIFont"/>
          <w:sz w:val="18"/>
          <w:szCs w:val="18"/>
        </w:rPr>
        <w:t xml:space="preserve">om dit </w:t>
      </w:r>
      <w:r w:rsidR="00C4386C">
        <w:rPr>
          <w:rFonts w:ascii="Verdana" w:hAnsi="Verdana" w:cs="AppleSystemUIFont"/>
          <w:sz w:val="18"/>
          <w:szCs w:val="18"/>
        </w:rPr>
        <w:t>te beperken</w:t>
      </w:r>
      <w:r>
        <w:rPr>
          <w:rFonts w:ascii="Verdana" w:hAnsi="Verdana" w:cs="AppleSystemUIFont"/>
          <w:sz w:val="18"/>
          <w:szCs w:val="18"/>
        </w:rPr>
        <w:t xml:space="preserve"> </w:t>
      </w:r>
      <w:r w:rsidRPr="00A359F4" w:rsidR="005B655E">
        <w:rPr>
          <w:rFonts w:ascii="Verdana" w:hAnsi="Verdana" w:cs="AppleSystemUIFont"/>
          <w:sz w:val="18"/>
          <w:szCs w:val="18"/>
        </w:rPr>
        <w:t>en in de tussentijd een beleidsregel op te stellen, die voldoende kenbaar is</w:t>
      </w:r>
      <w:r w:rsidR="005B655E">
        <w:rPr>
          <w:rFonts w:ascii="Verdana" w:hAnsi="Verdana" w:cs="AppleSystemUIFont"/>
          <w:sz w:val="18"/>
          <w:szCs w:val="18"/>
        </w:rPr>
        <w:t xml:space="preserve"> voor betrokkenen</w:t>
      </w:r>
      <w:r w:rsidRPr="00A359F4" w:rsidR="005B655E">
        <w:rPr>
          <w:rFonts w:ascii="Verdana" w:hAnsi="Verdana" w:cs="AppleSystemUIFont"/>
          <w:sz w:val="18"/>
          <w:szCs w:val="18"/>
        </w:rPr>
        <w:t xml:space="preserve">. </w:t>
      </w:r>
      <w:r w:rsidR="00225DBB">
        <w:rPr>
          <w:rFonts w:ascii="Verdana" w:hAnsi="Verdana" w:cs="AppleSystemUIFont"/>
          <w:sz w:val="18"/>
          <w:szCs w:val="18"/>
        </w:rPr>
        <w:t xml:space="preserve">De Belastingdienst </w:t>
      </w:r>
      <w:r w:rsidRPr="00225DBB" w:rsidR="00225DBB">
        <w:rPr>
          <w:rFonts w:ascii="Verdana" w:hAnsi="Verdana" w:cs="AppleSystemUIFont"/>
          <w:sz w:val="18"/>
          <w:szCs w:val="18"/>
        </w:rPr>
        <w:t xml:space="preserve">heeft </w:t>
      </w:r>
      <w:r w:rsidR="00225DBB">
        <w:rPr>
          <w:rFonts w:ascii="Verdana" w:hAnsi="Verdana" w:cs="AppleSystemUIFont"/>
          <w:sz w:val="18"/>
          <w:szCs w:val="18"/>
        </w:rPr>
        <w:t xml:space="preserve">sindsdien </w:t>
      </w:r>
      <w:r w:rsidRPr="00225DBB" w:rsidR="00225DBB">
        <w:rPr>
          <w:rFonts w:ascii="Verdana" w:hAnsi="Verdana" w:cs="AppleSystemUIFont"/>
          <w:sz w:val="18"/>
          <w:szCs w:val="18"/>
        </w:rPr>
        <w:t>een dergelijk beleidsbesluit in voorbereiding en in concept voorgelegd aan de Functionaris Gegevensbescherming (FG) van het ministerie van Financiën. Op dit moment wordt het beleidsbesluit beoordeeld op privacy</w:t>
      </w:r>
      <w:r w:rsidR="00E45A74">
        <w:rPr>
          <w:rFonts w:ascii="Verdana" w:hAnsi="Verdana" w:cs="AppleSystemUIFont"/>
          <w:sz w:val="18"/>
          <w:szCs w:val="18"/>
        </w:rPr>
        <w:t>-</w:t>
      </w:r>
      <w:r w:rsidRPr="00225DBB" w:rsidR="00225DBB">
        <w:rPr>
          <w:rFonts w:ascii="Verdana" w:hAnsi="Verdana" w:cs="AppleSystemUIFont"/>
          <w:sz w:val="18"/>
          <w:szCs w:val="18"/>
        </w:rPr>
        <w:t>aspecten. Daartoe wordt nu een Data Protection Impact Assessment</w:t>
      </w:r>
      <w:r w:rsidR="00153D80">
        <w:rPr>
          <w:rFonts w:ascii="Verdana" w:hAnsi="Verdana" w:cs="AppleSystemUIFont"/>
          <w:sz w:val="18"/>
          <w:szCs w:val="18"/>
        </w:rPr>
        <w:t xml:space="preserve"> (DPIA)</w:t>
      </w:r>
      <w:r w:rsidRPr="00225DBB" w:rsidR="00225DBB">
        <w:rPr>
          <w:rFonts w:ascii="Verdana" w:hAnsi="Verdana" w:cs="AppleSystemUIFont"/>
          <w:sz w:val="18"/>
          <w:szCs w:val="18"/>
        </w:rPr>
        <w:t xml:space="preserve"> gemaakt. Tot die tijd wordt geen ontheffing ten behoeve van integriteitskwesties verleend</w:t>
      </w:r>
      <w:r w:rsidR="005B655E">
        <w:rPr>
          <w:rFonts w:ascii="Verdana" w:hAnsi="Verdana" w:cs="AppleSystemUIFont"/>
          <w:sz w:val="18"/>
          <w:szCs w:val="18"/>
        </w:rPr>
        <w:t>.</w:t>
      </w:r>
      <w:r w:rsidRPr="00A359F4" w:rsidR="005B655E">
        <w:rPr>
          <w:rFonts w:ascii="Verdana" w:hAnsi="Verdana" w:cs="AppleSystemUIFont"/>
          <w:sz w:val="18"/>
          <w:szCs w:val="18"/>
        </w:rPr>
        <w:t xml:space="preserve"> Ik verwacht uw Kamer </w:t>
      </w:r>
      <w:r w:rsidR="005B655E">
        <w:rPr>
          <w:rFonts w:ascii="Verdana" w:hAnsi="Verdana" w:cs="AppleSystemUIFont"/>
          <w:sz w:val="18"/>
          <w:szCs w:val="18"/>
        </w:rPr>
        <w:t xml:space="preserve">voor het </w:t>
      </w:r>
      <w:r w:rsidR="003B5F5C">
        <w:rPr>
          <w:rFonts w:ascii="Verdana" w:hAnsi="Verdana" w:cs="AppleSystemUIFont"/>
          <w:sz w:val="18"/>
          <w:szCs w:val="18"/>
        </w:rPr>
        <w:t>einde van het jaar</w:t>
      </w:r>
      <w:r w:rsidRPr="00A359F4" w:rsidR="003B5F5C">
        <w:rPr>
          <w:rFonts w:ascii="Verdana" w:hAnsi="Verdana" w:cs="AppleSystemUIFont"/>
          <w:sz w:val="18"/>
          <w:szCs w:val="18"/>
        </w:rPr>
        <w:t xml:space="preserve"> </w:t>
      </w:r>
      <w:r w:rsidRPr="00A359F4" w:rsidR="005B655E">
        <w:rPr>
          <w:rFonts w:ascii="Verdana" w:hAnsi="Verdana" w:cs="AppleSystemUIFont"/>
          <w:sz w:val="18"/>
          <w:szCs w:val="18"/>
        </w:rPr>
        <w:t xml:space="preserve">te </w:t>
      </w:r>
      <w:r w:rsidR="005B655E">
        <w:rPr>
          <w:rFonts w:ascii="Verdana" w:hAnsi="Verdana" w:cs="AppleSystemUIFont"/>
          <w:sz w:val="18"/>
          <w:szCs w:val="18"/>
        </w:rPr>
        <w:t xml:space="preserve">kunnen </w:t>
      </w:r>
      <w:r w:rsidRPr="00A359F4" w:rsidR="005B655E">
        <w:rPr>
          <w:rFonts w:ascii="Verdana" w:hAnsi="Verdana" w:cs="AppleSystemUIFont"/>
          <w:sz w:val="18"/>
          <w:szCs w:val="18"/>
        </w:rPr>
        <w:t>informeren over de uitkomsten en het voorgenomen vervolgtraject.</w:t>
      </w:r>
    </w:p>
    <w:p w:rsidRPr="00276931" w:rsidR="005B655E" w:rsidP="002B2C94" w:rsidRDefault="005B655E" w14:paraId="7545970F" w14:textId="77777777">
      <w:pPr>
        <w:autoSpaceDE w:val="0"/>
        <w:autoSpaceDN w:val="0"/>
        <w:adjustRightInd w:val="0"/>
        <w:spacing w:after="0" w:line="240" w:lineRule="atLeast"/>
        <w:rPr>
          <w:rFonts w:ascii="Verdana" w:hAnsi="Verdana" w:cs="AppleSystemUIFont"/>
          <w:i/>
          <w:iCs/>
          <w:sz w:val="18"/>
          <w:szCs w:val="18"/>
        </w:rPr>
      </w:pPr>
      <w:r w:rsidRPr="00276931">
        <w:rPr>
          <w:rFonts w:ascii="Verdana" w:hAnsi="Verdana" w:cs="AppleSystemUIFont"/>
          <w:i/>
          <w:iCs/>
          <w:sz w:val="18"/>
          <w:szCs w:val="18"/>
        </w:rPr>
        <w:t>Onderzoek naar RAM en de ‘met RAM vergelijkbare systemen’</w:t>
      </w:r>
    </w:p>
    <w:p w:rsidRPr="0035643D" w:rsidR="00984056" w:rsidP="00984056" w:rsidRDefault="00984056" w14:paraId="4DD642E4" w14:textId="17D56C58">
      <w:pPr>
        <w:autoSpaceDE w:val="0"/>
        <w:autoSpaceDN w:val="0"/>
        <w:adjustRightInd w:val="0"/>
        <w:spacing w:after="0" w:line="240" w:lineRule="atLeast"/>
        <w:rPr>
          <w:rFonts w:ascii="Verdana" w:hAnsi="Verdana" w:cs="AppleSystemUIFont"/>
          <w:sz w:val="18"/>
          <w:szCs w:val="18"/>
        </w:rPr>
      </w:pPr>
      <w:r>
        <w:rPr>
          <w:rFonts w:ascii="Verdana" w:hAnsi="Verdana" w:cs="AppleSystemUIFont"/>
          <w:sz w:val="18"/>
          <w:szCs w:val="18"/>
        </w:rPr>
        <w:t>Mijn ambtsvoorganger heeft uw Kamer op 6 maart 2025</w:t>
      </w:r>
      <w:r>
        <w:rPr>
          <w:rStyle w:val="Voetnootmarkering"/>
          <w:rFonts w:ascii="Verdana" w:hAnsi="Verdana" w:cs="AppleSystemUIFont"/>
          <w:sz w:val="18"/>
          <w:szCs w:val="18"/>
        </w:rPr>
        <w:footnoteReference w:id="30"/>
      </w:r>
      <w:r>
        <w:rPr>
          <w:rFonts w:ascii="Verdana" w:hAnsi="Verdana" w:cs="AppleSystemUIFont"/>
          <w:sz w:val="18"/>
          <w:szCs w:val="18"/>
        </w:rPr>
        <w:t xml:space="preserve"> geïnformeerd over het </w:t>
      </w:r>
      <w:r w:rsidRPr="00276931">
        <w:rPr>
          <w:rFonts w:ascii="Verdana" w:hAnsi="Verdana" w:cs="AppleSystemUIFont"/>
          <w:sz w:val="18"/>
          <w:szCs w:val="18"/>
        </w:rPr>
        <w:t>Risico Analyse Model (RAM)</w:t>
      </w:r>
      <w:r>
        <w:rPr>
          <w:rFonts w:ascii="Verdana" w:hAnsi="Verdana" w:cs="AppleSystemUIFont"/>
          <w:sz w:val="18"/>
          <w:szCs w:val="18"/>
        </w:rPr>
        <w:t xml:space="preserve">. RAM is een database waarin (fiscale) gegevens van burgers en bedrijven waren opgenomen. De Belastingdienst heeft dit systeem in 2018 uitgeschakeld. </w:t>
      </w:r>
      <w:r w:rsidRPr="00276931">
        <w:rPr>
          <w:rFonts w:ascii="Verdana" w:hAnsi="Verdana" w:cs="AppleSystemUIFont"/>
          <w:sz w:val="18"/>
          <w:szCs w:val="18"/>
        </w:rPr>
        <w:t xml:space="preserve">Op 9 juli </w:t>
      </w:r>
      <w:r>
        <w:rPr>
          <w:rFonts w:ascii="Verdana" w:hAnsi="Verdana" w:cs="AppleSystemUIFont"/>
          <w:sz w:val="18"/>
          <w:szCs w:val="18"/>
        </w:rPr>
        <w:t>2025</w:t>
      </w:r>
      <w:r w:rsidRPr="00276931">
        <w:rPr>
          <w:rFonts w:ascii="Verdana" w:hAnsi="Verdana" w:cs="AppleSystemUIFont"/>
          <w:sz w:val="18"/>
          <w:szCs w:val="18"/>
        </w:rPr>
        <w:t xml:space="preserve"> heeft de AP </w:t>
      </w:r>
      <w:r>
        <w:rPr>
          <w:rFonts w:ascii="Verdana" w:hAnsi="Verdana" w:cs="AppleSystemUIFont"/>
          <w:sz w:val="18"/>
          <w:szCs w:val="18"/>
        </w:rPr>
        <w:t>een brief gestuurd over zes op dit moment in gebruik zijnde systemen die door KPMG zijn geclassificeerd als ‘met RAM vergelijkbare systemen’.</w:t>
      </w:r>
      <w:r w:rsidRPr="00276931">
        <w:rPr>
          <w:rFonts w:ascii="Verdana" w:hAnsi="Verdana" w:cs="AppleSystemUIFont"/>
          <w:sz w:val="18"/>
          <w:szCs w:val="18"/>
        </w:rPr>
        <w:t xml:space="preserve"> </w:t>
      </w:r>
      <w:r>
        <w:rPr>
          <w:rFonts w:ascii="Verdana" w:hAnsi="Verdana" w:cs="AppleSystemUIFont"/>
          <w:sz w:val="18"/>
          <w:szCs w:val="18"/>
        </w:rPr>
        <w:t xml:space="preserve">In deze brief deed de AP het dringende verzoek om uiterlijk 15 oktober 2025 een plan voor het uitfaseren van de </w:t>
      </w:r>
      <w:r w:rsidRPr="00276931">
        <w:rPr>
          <w:rFonts w:ascii="Verdana" w:hAnsi="Verdana" w:cs="AppleSystemUIFont"/>
          <w:sz w:val="18"/>
          <w:szCs w:val="18"/>
        </w:rPr>
        <w:t>systemen KTA en Informatiesjabloon</w:t>
      </w:r>
      <w:r>
        <w:rPr>
          <w:rFonts w:ascii="Verdana" w:hAnsi="Verdana" w:cs="AppleSystemUIFont"/>
          <w:sz w:val="18"/>
          <w:szCs w:val="18"/>
        </w:rPr>
        <w:t xml:space="preserve"> in te diene</w:t>
      </w:r>
      <w:r w:rsidR="00E45A74">
        <w:rPr>
          <w:rFonts w:ascii="Verdana" w:hAnsi="Verdana" w:cs="AppleSystemUIFont"/>
          <w:sz w:val="18"/>
          <w:szCs w:val="18"/>
        </w:rPr>
        <w:t xml:space="preserve">n. De </w:t>
      </w:r>
      <w:r>
        <w:rPr>
          <w:rFonts w:ascii="Verdana" w:hAnsi="Verdana" w:cs="AppleSystemUIFont"/>
          <w:sz w:val="18"/>
          <w:szCs w:val="18"/>
        </w:rPr>
        <w:t xml:space="preserve">Belastingdienst </w:t>
      </w:r>
      <w:r w:rsidR="00E45A74">
        <w:rPr>
          <w:rFonts w:ascii="Verdana" w:hAnsi="Verdana" w:cs="AppleSystemUIFont"/>
          <w:sz w:val="18"/>
          <w:szCs w:val="18"/>
        </w:rPr>
        <w:t xml:space="preserve">heeft </w:t>
      </w:r>
      <w:r>
        <w:rPr>
          <w:rFonts w:ascii="Verdana" w:hAnsi="Verdana" w:cs="AppleSystemUIFont"/>
          <w:sz w:val="18"/>
          <w:szCs w:val="18"/>
        </w:rPr>
        <w:t>dit plan conform planning aan de AP toegezonden.</w:t>
      </w:r>
      <w:r w:rsidRPr="00276931">
        <w:rPr>
          <w:rFonts w:ascii="Verdana" w:hAnsi="Verdana" w:cs="AppleSystemUIFont"/>
          <w:sz w:val="18"/>
          <w:szCs w:val="18"/>
        </w:rPr>
        <w:t xml:space="preserve"> Voor de systemen Gruff, IHP, SMOB en PRISMA </w:t>
      </w:r>
      <w:r w:rsidRPr="0035643D">
        <w:rPr>
          <w:rFonts w:ascii="Verdana" w:hAnsi="Verdana" w:cs="AppleSystemUIFont"/>
          <w:sz w:val="18"/>
          <w:szCs w:val="18"/>
        </w:rPr>
        <w:t xml:space="preserve">moeten tekortkomingen worden opgelost of systemen worden vervangen. Uw Kamer is hierover reeds bij </w:t>
      </w:r>
      <w:r w:rsidRPr="0035643D">
        <w:rPr>
          <w:rFonts w:ascii="Verdana" w:hAnsi="Verdana" w:cs="AppleSystemUIFont"/>
          <w:sz w:val="18"/>
          <w:szCs w:val="18"/>
          <w:shd w:val="clear" w:color="auto" w:fill="FFFFFF" w:themeFill="background1"/>
        </w:rPr>
        <w:t xml:space="preserve">brief van 10 juli </w:t>
      </w:r>
      <w:r>
        <w:rPr>
          <w:rFonts w:ascii="Verdana" w:hAnsi="Verdana" w:cs="AppleSystemUIFont"/>
          <w:sz w:val="18"/>
          <w:szCs w:val="18"/>
          <w:shd w:val="clear" w:color="auto" w:fill="FFFFFF" w:themeFill="background1"/>
        </w:rPr>
        <w:t>2025</w:t>
      </w:r>
      <w:r w:rsidRPr="0035643D">
        <w:rPr>
          <w:rFonts w:ascii="Verdana" w:hAnsi="Verdana" w:cs="AppleSystemUIFont"/>
          <w:sz w:val="18"/>
          <w:szCs w:val="18"/>
          <w:shd w:val="clear" w:color="auto" w:fill="FFFFFF" w:themeFill="background1"/>
        </w:rPr>
        <w:t xml:space="preserve"> geïnformeerd</w:t>
      </w:r>
      <w:r w:rsidRPr="0035643D">
        <w:rPr>
          <w:rFonts w:ascii="Verdana" w:hAnsi="Verdana" w:cs="AppleSystemUIFont"/>
          <w:sz w:val="18"/>
          <w:szCs w:val="18"/>
        </w:rPr>
        <w:t>.</w:t>
      </w:r>
    </w:p>
    <w:p w:rsidRPr="0035643D" w:rsidR="00984056" w:rsidP="00984056" w:rsidRDefault="00984056" w14:paraId="2FD10D81" w14:textId="77777777">
      <w:pPr>
        <w:autoSpaceDE w:val="0"/>
        <w:autoSpaceDN w:val="0"/>
        <w:adjustRightInd w:val="0"/>
        <w:spacing w:after="0" w:line="240" w:lineRule="atLeast"/>
        <w:rPr>
          <w:rFonts w:ascii="Verdana" w:hAnsi="Verdana" w:cs="AppleSystemUIFont"/>
          <w:sz w:val="18"/>
          <w:szCs w:val="18"/>
        </w:rPr>
      </w:pPr>
    </w:p>
    <w:p w:rsidR="00984056" w:rsidP="00984056" w:rsidRDefault="00984056" w14:paraId="01FFDE31" w14:textId="2770CA4B">
      <w:pPr>
        <w:autoSpaceDE w:val="0"/>
        <w:autoSpaceDN w:val="0"/>
        <w:adjustRightInd w:val="0"/>
        <w:spacing w:after="0" w:line="240" w:lineRule="atLeast"/>
        <w:rPr>
          <w:rFonts w:ascii="Verdana" w:hAnsi="Verdana" w:cs="AppleSystemUIFont"/>
          <w:sz w:val="18"/>
          <w:szCs w:val="18"/>
        </w:rPr>
      </w:pPr>
      <w:r w:rsidRPr="0035643D">
        <w:rPr>
          <w:rFonts w:ascii="Verdana" w:hAnsi="Verdana" w:cs="AppleSystemUIFont"/>
          <w:sz w:val="18"/>
          <w:szCs w:val="18"/>
        </w:rPr>
        <w:t>Daarnaast heeft mijn ambtsvoorganger</w:t>
      </w:r>
      <w:r>
        <w:rPr>
          <w:rFonts w:ascii="Verdana" w:hAnsi="Verdana" w:cs="AppleSystemUIFont"/>
          <w:sz w:val="18"/>
          <w:szCs w:val="18"/>
        </w:rPr>
        <w:t>, naar aanleiding van het genoemde onderzoek van KPMG,</w:t>
      </w:r>
      <w:r w:rsidRPr="0035643D">
        <w:rPr>
          <w:rFonts w:ascii="Verdana" w:hAnsi="Verdana" w:cs="AppleSystemUIFont"/>
          <w:sz w:val="18"/>
          <w:szCs w:val="18"/>
        </w:rPr>
        <w:t xml:space="preserve"> toegezegd om u in oktober van dit jaar opnieuw te informeren over de voortgang van de maatregelen rondom RAM. In het bijzonder gaat het om het onderzoek dat de Belastingdienst uitvoert </w:t>
      </w:r>
      <w:r>
        <w:rPr>
          <w:rFonts w:ascii="Verdana" w:hAnsi="Verdana" w:cs="AppleSystemUIFont"/>
          <w:sz w:val="18"/>
          <w:szCs w:val="18"/>
        </w:rPr>
        <w:t xml:space="preserve">naar </w:t>
      </w:r>
      <w:r w:rsidRPr="0035643D">
        <w:rPr>
          <w:rFonts w:ascii="Verdana" w:hAnsi="Verdana" w:cs="AppleSystemUIFont"/>
          <w:sz w:val="18"/>
          <w:szCs w:val="18"/>
        </w:rPr>
        <w:t>of</w:t>
      </w:r>
      <w:r>
        <w:rPr>
          <w:rFonts w:ascii="Verdana" w:hAnsi="Verdana" w:cs="AppleSystemUIFont"/>
          <w:sz w:val="18"/>
          <w:szCs w:val="18"/>
        </w:rPr>
        <w:t xml:space="preserve"> door </w:t>
      </w:r>
      <w:r w:rsidRPr="0035643D">
        <w:rPr>
          <w:rFonts w:ascii="Verdana" w:hAnsi="Verdana" w:cs="AppleSystemUIFont"/>
          <w:sz w:val="18"/>
          <w:szCs w:val="18"/>
        </w:rPr>
        <w:t>RAM-spreadsheets met selecties op nationaliteit en op postcode, grondrechten zijn geschonden. De Belastingdienst heeft in samenspraak met de Auditdienst Rijk</w:t>
      </w:r>
      <w:r>
        <w:rPr>
          <w:rFonts w:ascii="Verdana" w:hAnsi="Verdana" w:cs="AppleSystemUIFont"/>
          <w:sz w:val="18"/>
          <w:szCs w:val="18"/>
        </w:rPr>
        <w:t xml:space="preserve"> (ADR)</w:t>
      </w:r>
      <w:r w:rsidRPr="0035643D">
        <w:rPr>
          <w:rFonts w:ascii="Verdana" w:hAnsi="Verdana" w:cs="AppleSystemUIFont"/>
          <w:sz w:val="18"/>
          <w:szCs w:val="18"/>
        </w:rPr>
        <w:t xml:space="preserve">, die dit onderzoek als onafhankelijke partij </w:t>
      </w:r>
      <w:r>
        <w:rPr>
          <w:rFonts w:ascii="Verdana" w:hAnsi="Verdana" w:cs="AppleSystemUIFont"/>
          <w:sz w:val="18"/>
          <w:szCs w:val="18"/>
        </w:rPr>
        <w:t>beoordeelt</w:t>
      </w:r>
      <w:r w:rsidRPr="0035643D">
        <w:rPr>
          <w:rFonts w:ascii="Verdana" w:hAnsi="Verdana" w:cs="AppleSystemUIFont"/>
          <w:sz w:val="18"/>
          <w:szCs w:val="18"/>
        </w:rPr>
        <w:t>, vastgesteld dat er meer tijd nodig is. Ik verwacht u</w:t>
      </w:r>
      <w:r>
        <w:rPr>
          <w:rFonts w:ascii="Verdana" w:hAnsi="Verdana" w:cs="AppleSystemUIFont"/>
          <w:sz w:val="18"/>
          <w:szCs w:val="18"/>
        </w:rPr>
        <w:t>w Kamer</w:t>
      </w:r>
      <w:r w:rsidRPr="0035643D">
        <w:rPr>
          <w:rFonts w:ascii="Verdana" w:hAnsi="Verdana" w:cs="AppleSystemUIFont"/>
          <w:sz w:val="18"/>
          <w:szCs w:val="18"/>
        </w:rPr>
        <w:t xml:space="preserve"> </w:t>
      </w:r>
      <w:r>
        <w:rPr>
          <w:rFonts w:ascii="Verdana" w:hAnsi="Verdana" w:cs="AppleSystemUIFont"/>
          <w:sz w:val="18"/>
          <w:szCs w:val="18"/>
        </w:rPr>
        <w:t>uiterlijk medio</w:t>
      </w:r>
      <w:r w:rsidRPr="0035643D">
        <w:rPr>
          <w:rFonts w:ascii="Verdana" w:hAnsi="Verdana" w:cs="AppleSystemUIFont"/>
          <w:sz w:val="18"/>
          <w:szCs w:val="18"/>
        </w:rPr>
        <w:t xml:space="preserve"> december van dit jaar te kunnen informeren.</w:t>
      </w:r>
      <w:r>
        <w:rPr>
          <w:rFonts w:ascii="Verdana" w:hAnsi="Verdana" w:cs="AppleSystemUIFont"/>
          <w:sz w:val="18"/>
          <w:szCs w:val="18"/>
        </w:rPr>
        <w:t xml:space="preserve"> </w:t>
      </w:r>
    </w:p>
    <w:p w:rsidRPr="0035643D" w:rsidR="00984056" w:rsidP="00984056" w:rsidRDefault="00984056" w14:paraId="4FFBA67C" w14:textId="77777777">
      <w:pPr>
        <w:autoSpaceDE w:val="0"/>
        <w:autoSpaceDN w:val="0"/>
        <w:adjustRightInd w:val="0"/>
        <w:spacing w:after="0" w:line="240" w:lineRule="atLeast"/>
        <w:rPr>
          <w:rFonts w:ascii="Verdana" w:hAnsi="Verdana" w:cs="AppleSystemUIFont"/>
          <w:sz w:val="18"/>
          <w:szCs w:val="18"/>
        </w:rPr>
      </w:pPr>
      <w:r>
        <w:rPr>
          <w:rFonts w:ascii="Verdana" w:hAnsi="Verdana" w:cs="AppleSystemUIFont"/>
          <w:sz w:val="18"/>
          <w:szCs w:val="18"/>
        </w:rPr>
        <w:lastRenderedPageBreak/>
        <w:t>Uw Kamer wordt dan ook geïnformeerd over andere aan RAM gelieerde toezeggingen</w:t>
      </w:r>
      <w:r>
        <w:rPr>
          <w:rStyle w:val="Voetnootmarkering"/>
          <w:rFonts w:ascii="Verdana" w:hAnsi="Verdana" w:cs="AppleSystemUIFont"/>
          <w:sz w:val="18"/>
          <w:szCs w:val="18"/>
        </w:rPr>
        <w:footnoteReference w:id="31"/>
      </w:r>
      <w:r>
        <w:rPr>
          <w:rFonts w:ascii="Verdana" w:hAnsi="Verdana" w:cs="AppleSystemUIFont"/>
          <w:sz w:val="18"/>
          <w:szCs w:val="18"/>
        </w:rPr>
        <w:t xml:space="preserve"> en moties, zoals de hierboven genoemde plannen van aanpak voor de systemen KTA en Informatiesjabloon die de Belastingdienst aan de AP verstrekt, de stand van zaken van de applicatie die gebruikt wordt voor het handhaven en toezicht houden op Fiscale Dienstverleners (FD-monitor) en de uitvoering van verbeteracties op het gebied van convenanten en gegevensverstrekking.</w:t>
      </w:r>
    </w:p>
    <w:p w:rsidRPr="0035643D" w:rsidR="005B655E" w:rsidP="002B2C94" w:rsidRDefault="005B655E" w14:paraId="6EB85070" w14:textId="77777777">
      <w:pPr>
        <w:autoSpaceDE w:val="0"/>
        <w:autoSpaceDN w:val="0"/>
        <w:adjustRightInd w:val="0"/>
        <w:spacing w:after="0" w:line="240" w:lineRule="atLeast"/>
        <w:rPr>
          <w:rFonts w:ascii="Verdana" w:hAnsi="Verdana" w:cs="AppleSystemUIFont"/>
          <w:sz w:val="18"/>
          <w:szCs w:val="18"/>
        </w:rPr>
      </w:pPr>
    </w:p>
    <w:p w:rsidR="00DA0362" w:rsidP="00DA0362" w:rsidRDefault="00DA0362" w14:paraId="18E84613" w14:textId="77777777">
      <w:pPr>
        <w:autoSpaceDE w:val="0"/>
        <w:autoSpaceDN w:val="0"/>
        <w:adjustRightInd w:val="0"/>
        <w:spacing w:after="0" w:line="240" w:lineRule="atLeast"/>
        <w:rPr>
          <w:rFonts w:ascii="Verdana" w:hAnsi="Verdana" w:cs="AppleSystemUIFont"/>
          <w:i/>
          <w:iCs/>
          <w:sz w:val="18"/>
          <w:szCs w:val="18"/>
        </w:rPr>
      </w:pPr>
      <w:r w:rsidRPr="004A2910">
        <w:rPr>
          <w:rFonts w:ascii="Verdana" w:hAnsi="Verdana" w:cs="AppleSystemUIFont"/>
          <w:i/>
          <w:iCs/>
          <w:sz w:val="18"/>
          <w:szCs w:val="18"/>
        </w:rPr>
        <w:t xml:space="preserve">Selectie/discriminatie: Verzoek tot het maken van een plan: toetsing selectie- instrumenten aan o.a. artikel 22 AVG </w:t>
      </w:r>
    </w:p>
    <w:p w:rsidRPr="0035643D" w:rsidR="00DA0362" w:rsidP="00DA0362" w:rsidRDefault="00DA0362" w14:paraId="21D4FEBA" w14:textId="36BD787F">
      <w:pPr>
        <w:autoSpaceDE w:val="0"/>
        <w:autoSpaceDN w:val="0"/>
        <w:adjustRightInd w:val="0"/>
        <w:spacing w:after="0" w:line="240" w:lineRule="atLeast"/>
        <w:rPr>
          <w:rFonts w:ascii="Verdana" w:hAnsi="Verdana" w:cs="AppleSystemUIFont"/>
          <w:sz w:val="18"/>
          <w:szCs w:val="18"/>
        </w:rPr>
      </w:pPr>
      <w:r w:rsidRPr="0035643D">
        <w:rPr>
          <w:rFonts w:ascii="Verdana" w:hAnsi="Verdana" w:cs="AppleSystemUIFont"/>
          <w:sz w:val="18"/>
          <w:szCs w:val="18"/>
        </w:rPr>
        <w:t xml:space="preserve">Op 8 augustus </w:t>
      </w:r>
      <w:r>
        <w:rPr>
          <w:rFonts w:ascii="Verdana" w:hAnsi="Verdana" w:cs="AppleSystemUIFont"/>
          <w:sz w:val="18"/>
          <w:szCs w:val="18"/>
        </w:rPr>
        <w:t>2025</w:t>
      </w:r>
      <w:r w:rsidRPr="0035643D">
        <w:rPr>
          <w:rFonts w:ascii="Verdana" w:hAnsi="Verdana" w:cs="AppleSystemUIFont"/>
          <w:sz w:val="18"/>
          <w:szCs w:val="18"/>
        </w:rPr>
        <w:t xml:space="preserve"> heeft de Belastingdienst een brief van de AP ontvangen</w:t>
      </w:r>
      <w:r>
        <w:rPr>
          <w:rFonts w:ascii="Verdana" w:hAnsi="Verdana" w:cs="AppleSystemUIFont"/>
          <w:sz w:val="18"/>
          <w:szCs w:val="18"/>
        </w:rPr>
        <w:t xml:space="preserve"> over </w:t>
      </w:r>
      <w:r w:rsidRPr="00D50E56">
        <w:rPr>
          <w:rFonts w:ascii="Verdana" w:hAnsi="Verdana" w:cs="AppleSystemUIFont"/>
          <w:sz w:val="18"/>
          <w:szCs w:val="18"/>
        </w:rPr>
        <w:t xml:space="preserve">hun zorgen </w:t>
      </w:r>
      <w:r w:rsidR="00E45A74">
        <w:rPr>
          <w:rFonts w:ascii="Verdana" w:hAnsi="Verdana" w:cs="AppleSystemUIFont"/>
          <w:sz w:val="18"/>
          <w:szCs w:val="18"/>
        </w:rPr>
        <w:t>met betrekking tot</w:t>
      </w:r>
      <w:r w:rsidRPr="00D50E56" w:rsidR="00E45A74">
        <w:rPr>
          <w:rFonts w:ascii="Verdana" w:hAnsi="Verdana" w:cs="AppleSystemUIFont"/>
          <w:sz w:val="18"/>
          <w:szCs w:val="18"/>
        </w:rPr>
        <w:t xml:space="preserve"> </w:t>
      </w:r>
      <w:r w:rsidRPr="00D50E56">
        <w:rPr>
          <w:rFonts w:ascii="Verdana" w:hAnsi="Verdana" w:cs="AppleSystemUIFont"/>
          <w:sz w:val="18"/>
          <w:szCs w:val="18"/>
        </w:rPr>
        <w:t xml:space="preserve">de aantoonbaarheid van de objectieve rechtvaardiging van de selectiecriteria in de selectie-instrumenten die de Belastingdienst gebruikt. </w:t>
      </w:r>
      <w:r>
        <w:rPr>
          <w:rFonts w:ascii="Verdana" w:hAnsi="Verdana" w:cs="AppleSystemUIFont"/>
          <w:sz w:val="18"/>
          <w:szCs w:val="18"/>
        </w:rPr>
        <w:t xml:space="preserve">Dit is nodig voor het rechtmatig gebruik van (geautomatiseerde) selectie-instrumenten. </w:t>
      </w:r>
      <w:r w:rsidRPr="0035643D">
        <w:rPr>
          <w:rFonts w:ascii="Verdana" w:hAnsi="Verdana" w:cs="AppleSystemUIFont"/>
          <w:sz w:val="18"/>
          <w:szCs w:val="18"/>
        </w:rPr>
        <w:t xml:space="preserve">De AP heeft, naar aanleiding van een informatieverzoek en gesprekken met de Belastingdienst, </w:t>
      </w:r>
      <w:r w:rsidRPr="0035643D" w:rsidR="00E45A74">
        <w:rPr>
          <w:rFonts w:ascii="Verdana" w:hAnsi="Verdana" w:cs="AppleSystemUIFont"/>
          <w:sz w:val="18"/>
          <w:szCs w:val="18"/>
        </w:rPr>
        <w:t>geconstatee</w:t>
      </w:r>
      <w:r w:rsidR="00E45A74">
        <w:rPr>
          <w:rFonts w:ascii="Verdana" w:hAnsi="Verdana" w:cs="AppleSystemUIFont"/>
          <w:sz w:val="18"/>
          <w:szCs w:val="18"/>
        </w:rPr>
        <w:t>r</w:t>
      </w:r>
      <w:r w:rsidRPr="0035643D" w:rsidR="00E45A74">
        <w:rPr>
          <w:rFonts w:ascii="Verdana" w:hAnsi="Verdana" w:cs="AppleSystemUIFont"/>
          <w:sz w:val="18"/>
          <w:szCs w:val="18"/>
        </w:rPr>
        <w:t>d</w:t>
      </w:r>
      <w:r w:rsidRPr="0035643D">
        <w:rPr>
          <w:rFonts w:ascii="Verdana" w:hAnsi="Verdana" w:cs="AppleSystemUIFont"/>
          <w:sz w:val="18"/>
          <w:szCs w:val="18"/>
        </w:rPr>
        <w:t xml:space="preserve"> dat </w:t>
      </w:r>
      <w:r>
        <w:rPr>
          <w:rFonts w:ascii="Verdana" w:hAnsi="Verdana" w:cs="AppleSystemUIFont"/>
          <w:sz w:val="18"/>
          <w:szCs w:val="18"/>
        </w:rPr>
        <w:t xml:space="preserve">– </w:t>
      </w:r>
      <w:r w:rsidRPr="0035643D">
        <w:rPr>
          <w:rFonts w:ascii="Verdana" w:hAnsi="Verdana" w:cs="AppleSystemUIFont"/>
          <w:sz w:val="18"/>
          <w:szCs w:val="18"/>
        </w:rPr>
        <w:t>met de huidig</w:t>
      </w:r>
      <w:r>
        <w:rPr>
          <w:rFonts w:ascii="Verdana" w:hAnsi="Verdana" w:cs="AppleSystemUIFont"/>
          <w:sz w:val="18"/>
          <w:szCs w:val="18"/>
        </w:rPr>
        <w:t>e</w:t>
      </w:r>
      <w:r w:rsidRPr="0035643D">
        <w:rPr>
          <w:rFonts w:ascii="Verdana" w:hAnsi="Verdana" w:cs="AppleSystemUIFont"/>
          <w:sz w:val="18"/>
          <w:szCs w:val="18"/>
        </w:rPr>
        <w:t xml:space="preserve"> beschikbare informatie</w:t>
      </w:r>
      <w:r>
        <w:rPr>
          <w:rFonts w:ascii="Verdana" w:hAnsi="Verdana" w:cs="AppleSystemUIFont"/>
          <w:sz w:val="18"/>
          <w:szCs w:val="18"/>
        </w:rPr>
        <w:t xml:space="preserve"> –</w:t>
      </w:r>
      <w:r w:rsidRPr="0035643D">
        <w:rPr>
          <w:rFonts w:ascii="Verdana" w:hAnsi="Verdana" w:cs="AppleSystemUIFont"/>
          <w:sz w:val="18"/>
          <w:szCs w:val="18"/>
        </w:rPr>
        <w:t xml:space="preserve"> niet</w:t>
      </w:r>
      <w:r>
        <w:rPr>
          <w:rFonts w:ascii="Verdana" w:hAnsi="Verdana" w:cs="AppleSystemUIFont"/>
          <w:sz w:val="18"/>
          <w:szCs w:val="18"/>
        </w:rPr>
        <w:t xml:space="preserve"> </w:t>
      </w:r>
      <w:r w:rsidRPr="0035643D">
        <w:rPr>
          <w:rFonts w:ascii="Verdana" w:hAnsi="Verdana" w:cs="AppleSystemUIFont"/>
          <w:sz w:val="18"/>
          <w:szCs w:val="18"/>
        </w:rPr>
        <w:t xml:space="preserve">kan worden </w:t>
      </w:r>
      <w:r w:rsidR="0052615B">
        <w:rPr>
          <w:rFonts w:ascii="Verdana" w:hAnsi="Verdana" w:cs="AppleSystemUIFont"/>
          <w:sz w:val="18"/>
          <w:szCs w:val="18"/>
        </w:rPr>
        <w:t>aangetoond</w:t>
      </w:r>
      <w:r w:rsidRPr="0035643D" w:rsidR="0052615B">
        <w:rPr>
          <w:rFonts w:ascii="Verdana" w:hAnsi="Verdana" w:cs="AppleSystemUIFont"/>
          <w:sz w:val="18"/>
          <w:szCs w:val="18"/>
        </w:rPr>
        <w:t xml:space="preserve"> </w:t>
      </w:r>
      <w:r w:rsidRPr="0035643D">
        <w:rPr>
          <w:rFonts w:ascii="Verdana" w:hAnsi="Verdana" w:cs="AppleSystemUIFont"/>
          <w:sz w:val="18"/>
          <w:szCs w:val="18"/>
        </w:rPr>
        <w:t xml:space="preserve">of de Belastingdienst </w:t>
      </w:r>
      <w:r>
        <w:rPr>
          <w:rFonts w:ascii="Verdana" w:hAnsi="Verdana" w:cs="AppleSystemUIFont"/>
          <w:sz w:val="18"/>
          <w:szCs w:val="18"/>
        </w:rPr>
        <w:t xml:space="preserve">volledig </w:t>
      </w:r>
      <w:r w:rsidRPr="0035643D">
        <w:rPr>
          <w:rFonts w:ascii="Verdana" w:hAnsi="Verdana" w:cs="AppleSystemUIFont"/>
          <w:sz w:val="18"/>
          <w:szCs w:val="18"/>
        </w:rPr>
        <w:t>voldoet aan de vereisten van artikel 22 AVG.</w:t>
      </w:r>
      <w:r>
        <w:rPr>
          <w:rFonts w:ascii="Verdana" w:hAnsi="Verdana" w:cs="AppleSystemUIFont"/>
          <w:sz w:val="18"/>
          <w:szCs w:val="18"/>
        </w:rPr>
        <w:t xml:space="preserve"> </w:t>
      </w:r>
      <w:r w:rsidRPr="0035643D">
        <w:rPr>
          <w:rFonts w:ascii="Verdana" w:hAnsi="Verdana" w:cs="AppleSystemUIFont"/>
          <w:sz w:val="18"/>
          <w:szCs w:val="18"/>
        </w:rPr>
        <w:t xml:space="preserve">De Belastingdienst </w:t>
      </w:r>
      <w:r w:rsidR="000E1E77">
        <w:rPr>
          <w:rFonts w:ascii="Verdana" w:hAnsi="Verdana" w:cs="AppleSystemUIFont"/>
          <w:sz w:val="18"/>
          <w:szCs w:val="18"/>
        </w:rPr>
        <w:t xml:space="preserve">zal </w:t>
      </w:r>
      <w:r w:rsidRPr="0035643D">
        <w:rPr>
          <w:rFonts w:ascii="Verdana" w:hAnsi="Verdana" w:cs="AppleSystemUIFont"/>
          <w:sz w:val="18"/>
          <w:szCs w:val="18"/>
        </w:rPr>
        <w:t>uiterlijk 1 december</w:t>
      </w:r>
      <w:r>
        <w:rPr>
          <w:rFonts w:ascii="Verdana" w:hAnsi="Verdana" w:cs="AppleSystemUIFont"/>
          <w:sz w:val="18"/>
          <w:szCs w:val="18"/>
        </w:rPr>
        <w:t xml:space="preserve"> 2025</w:t>
      </w:r>
      <w:r w:rsidRPr="0035643D">
        <w:rPr>
          <w:rFonts w:ascii="Verdana" w:hAnsi="Verdana" w:cs="AppleSystemUIFont"/>
          <w:sz w:val="18"/>
          <w:szCs w:val="18"/>
        </w:rPr>
        <w:t xml:space="preserve"> een plan van aanpak op</w:t>
      </w:r>
      <w:r>
        <w:rPr>
          <w:rFonts w:ascii="Verdana" w:hAnsi="Verdana" w:cs="AppleSystemUIFont"/>
          <w:sz w:val="18"/>
          <w:szCs w:val="18"/>
        </w:rPr>
        <w:t>leveren</w:t>
      </w:r>
      <w:r w:rsidRPr="0035643D">
        <w:rPr>
          <w:rFonts w:ascii="Verdana" w:hAnsi="Verdana" w:cs="AppleSystemUIFont"/>
          <w:sz w:val="18"/>
          <w:szCs w:val="18"/>
        </w:rPr>
        <w:t xml:space="preserve">, waarin de geautomatiseerde selectie-instrumenten worden getoetst en beoordeeld aan de geldende wettelijke kaders en eisen en deze toetsing vastleggen. </w:t>
      </w:r>
      <w:r>
        <w:rPr>
          <w:rFonts w:ascii="Verdana" w:hAnsi="Verdana" w:cs="AppleSystemUIFont"/>
          <w:sz w:val="18"/>
          <w:szCs w:val="18"/>
        </w:rPr>
        <w:t>Daarmee</w:t>
      </w:r>
      <w:r w:rsidRPr="0035643D">
        <w:rPr>
          <w:rFonts w:ascii="Verdana" w:hAnsi="Verdana" w:cs="AppleSystemUIFont"/>
          <w:sz w:val="18"/>
          <w:szCs w:val="18"/>
        </w:rPr>
        <w:t xml:space="preserve"> kan worden </w:t>
      </w:r>
      <w:r w:rsidR="000E1E77">
        <w:rPr>
          <w:rFonts w:ascii="Verdana" w:hAnsi="Verdana" w:cs="AppleSystemUIFont"/>
          <w:sz w:val="18"/>
          <w:szCs w:val="18"/>
        </w:rPr>
        <w:t>vastgesteld</w:t>
      </w:r>
      <w:r w:rsidR="00AD0DFD">
        <w:rPr>
          <w:rFonts w:ascii="Verdana" w:hAnsi="Verdana" w:cs="AppleSystemUIFont"/>
          <w:sz w:val="18"/>
          <w:szCs w:val="18"/>
        </w:rPr>
        <w:t xml:space="preserve"> of</w:t>
      </w:r>
      <w:r w:rsidRPr="0035643D">
        <w:rPr>
          <w:rFonts w:ascii="Verdana" w:hAnsi="Verdana" w:cs="AppleSystemUIFont"/>
          <w:sz w:val="18"/>
          <w:szCs w:val="18"/>
        </w:rPr>
        <w:t xml:space="preserve"> de (geautomatiseerde) selectie-instrumenten rechtmatig in gebruik zijn. Uw Kamer is hierover </w:t>
      </w:r>
      <w:r w:rsidRPr="00276931" w:rsidR="0052615B">
        <w:rPr>
          <w:rFonts w:ascii="Verdana" w:hAnsi="Verdana" w:cs="AppleSystemUIFont"/>
          <w:sz w:val="18"/>
          <w:szCs w:val="18"/>
        </w:rPr>
        <w:t>geïnformeerd</w:t>
      </w:r>
      <w:r w:rsidRPr="0035643D" w:rsidDel="0052615B" w:rsidR="0052615B">
        <w:rPr>
          <w:rFonts w:ascii="Verdana" w:hAnsi="Verdana" w:cs="AppleSystemUIFont"/>
          <w:sz w:val="18"/>
          <w:szCs w:val="18"/>
        </w:rPr>
        <w:t xml:space="preserve"> </w:t>
      </w:r>
      <w:r w:rsidR="0052615B">
        <w:rPr>
          <w:rFonts w:ascii="Verdana" w:hAnsi="Verdana" w:cs="AppleSystemUIFont"/>
          <w:sz w:val="18"/>
          <w:szCs w:val="18"/>
        </w:rPr>
        <w:t>op</w:t>
      </w:r>
      <w:r w:rsidRPr="0035643D" w:rsidR="000E1E77">
        <w:rPr>
          <w:rFonts w:ascii="Verdana" w:hAnsi="Verdana" w:cs="AppleSystemUIFont"/>
          <w:sz w:val="18"/>
          <w:szCs w:val="18"/>
        </w:rPr>
        <w:t xml:space="preserve"> </w:t>
      </w:r>
      <w:r w:rsidRPr="0035643D">
        <w:rPr>
          <w:rFonts w:ascii="Verdana" w:hAnsi="Verdana" w:cs="AppleSystemUIFont"/>
          <w:sz w:val="18"/>
          <w:szCs w:val="18"/>
        </w:rPr>
        <w:t xml:space="preserve">10 september </w:t>
      </w:r>
      <w:r>
        <w:rPr>
          <w:rFonts w:ascii="Verdana" w:hAnsi="Verdana" w:cs="AppleSystemUIFont"/>
          <w:sz w:val="18"/>
          <w:szCs w:val="18"/>
        </w:rPr>
        <w:t>2025</w:t>
      </w:r>
      <w:r w:rsidRPr="00276931">
        <w:rPr>
          <w:rFonts w:ascii="Verdana" w:hAnsi="Verdana" w:cs="AppleSystemUIFont"/>
          <w:sz w:val="18"/>
          <w:szCs w:val="18"/>
        </w:rPr>
        <w:t>.</w:t>
      </w:r>
      <w:r w:rsidR="0052615B">
        <w:rPr>
          <w:rStyle w:val="Voetnootmarkering"/>
          <w:rFonts w:ascii="Verdana" w:hAnsi="Verdana" w:cs="AppleSystemUIFont"/>
          <w:sz w:val="18"/>
          <w:szCs w:val="18"/>
        </w:rPr>
        <w:footnoteReference w:id="32"/>
      </w:r>
      <w:r w:rsidRPr="00276931">
        <w:rPr>
          <w:rFonts w:ascii="Verdana" w:hAnsi="Verdana" w:cs="AppleSystemUIFont"/>
          <w:sz w:val="18"/>
          <w:szCs w:val="18"/>
        </w:rPr>
        <w:t xml:space="preserve"> </w:t>
      </w:r>
      <w:r w:rsidRPr="0035643D">
        <w:rPr>
          <w:rFonts w:ascii="Verdana" w:hAnsi="Verdana" w:cs="AppleSystemUIFont"/>
          <w:sz w:val="18"/>
          <w:szCs w:val="18"/>
        </w:rPr>
        <w:t>Ik verwacht u</w:t>
      </w:r>
      <w:r>
        <w:rPr>
          <w:rFonts w:ascii="Verdana" w:hAnsi="Verdana" w:cs="AppleSystemUIFont"/>
          <w:sz w:val="18"/>
          <w:szCs w:val="18"/>
        </w:rPr>
        <w:t>w Kamer in</w:t>
      </w:r>
      <w:r w:rsidRPr="0035643D">
        <w:rPr>
          <w:rFonts w:ascii="Verdana" w:hAnsi="Verdana" w:cs="AppleSystemUIFont"/>
          <w:sz w:val="18"/>
          <w:szCs w:val="18"/>
        </w:rPr>
        <w:t xml:space="preserve"> </w:t>
      </w:r>
      <w:r>
        <w:rPr>
          <w:rFonts w:ascii="Verdana" w:hAnsi="Verdana" w:cs="AppleSystemUIFont"/>
          <w:sz w:val="18"/>
          <w:szCs w:val="18"/>
        </w:rPr>
        <w:t>januari 2026</w:t>
      </w:r>
      <w:r w:rsidRPr="0035643D">
        <w:rPr>
          <w:rFonts w:ascii="Verdana" w:hAnsi="Verdana" w:cs="AppleSystemUIFont"/>
          <w:sz w:val="18"/>
          <w:szCs w:val="18"/>
        </w:rPr>
        <w:t xml:space="preserve"> </w:t>
      </w:r>
      <w:r>
        <w:rPr>
          <w:rFonts w:ascii="Verdana" w:hAnsi="Verdana" w:cs="AppleSystemUIFont"/>
          <w:sz w:val="18"/>
          <w:szCs w:val="18"/>
        </w:rPr>
        <w:t xml:space="preserve">over het plan van aanpak en de beoordeling ervan door de AP </w:t>
      </w:r>
      <w:r w:rsidRPr="0035643D">
        <w:rPr>
          <w:rFonts w:ascii="Verdana" w:hAnsi="Verdana" w:cs="AppleSystemUIFont"/>
          <w:sz w:val="18"/>
          <w:szCs w:val="18"/>
        </w:rPr>
        <w:t>te kunnen informeren.</w:t>
      </w:r>
    </w:p>
    <w:p w:rsidRPr="00276931" w:rsidR="00DA0362" w:rsidP="00DA0362" w:rsidRDefault="00DA0362" w14:paraId="033CE56A" w14:textId="77777777">
      <w:pPr>
        <w:autoSpaceDE w:val="0"/>
        <w:autoSpaceDN w:val="0"/>
        <w:adjustRightInd w:val="0"/>
        <w:spacing w:after="0" w:line="240" w:lineRule="atLeast"/>
        <w:rPr>
          <w:rFonts w:ascii="Verdana" w:hAnsi="Verdana" w:cs="AppleSystemUIFont"/>
          <w:sz w:val="18"/>
          <w:szCs w:val="18"/>
        </w:rPr>
      </w:pPr>
    </w:p>
    <w:p w:rsidR="00DA0362" w:rsidP="00DA0362" w:rsidRDefault="00DA0362" w14:paraId="5239BDB1" w14:textId="44140527">
      <w:pPr>
        <w:shd w:val="clear" w:color="auto" w:fill="FFFFFF" w:themeFill="background1"/>
        <w:autoSpaceDE w:val="0"/>
        <w:autoSpaceDN w:val="0"/>
        <w:adjustRightInd w:val="0"/>
        <w:spacing w:after="0" w:line="240" w:lineRule="atLeast"/>
        <w:rPr>
          <w:rFonts w:ascii="Verdana" w:hAnsi="Verdana" w:cs="AppleSystemUIFont"/>
          <w:sz w:val="18"/>
          <w:szCs w:val="18"/>
        </w:rPr>
      </w:pPr>
      <w:r w:rsidRPr="00680856">
        <w:rPr>
          <w:rFonts w:ascii="Verdana" w:hAnsi="Verdana" w:cs="AppleSystemUIFont"/>
          <w:i/>
          <w:iCs/>
          <w:sz w:val="18"/>
          <w:szCs w:val="18"/>
        </w:rPr>
        <w:t>Verwerkingsregisters AVG en W</w:t>
      </w:r>
      <w:r>
        <w:rPr>
          <w:rFonts w:ascii="Verdana" w:hAnsi="Verdana" w:cs="AppleSystemUIFont"/>
          <w:i/>
          <w:iCs/>
          <w:sz w:val="18"/>
          <w:szCs w:val="18"/>
        </w:rPr>
        <w:t>et politie</w:t>
      </w:r>
      <w:r w:rsidRPr="00680856">
        <w:rPr>
          <w:rFonts w:ascii="Verdana" w:hAnsi="Verdana" w:cs="AppleSystemUIFont"/>
          <w:i/>
          <w:iCs/>
          <w:sz w:val="18"/>
          <w:szCs w:val="18"/>
        </w:rPr>
        <w:t>g</w:t>
      </w:r>
      <w:r>
        <w:rPr>
          <w:rFonts w:ascii="Verdana" w:hAnsi="Verdana" w:cs="AppleSystemUIFont"/>
          <w:i/>
          <w:iCs/>
          <w:sz w:val="18"/>
          <w:szCs w:val="18"/>
        </w:rPr>
        <w:t xml:space="preserve">egevens </w:t>
      </w:r>
      <w:r w:rsidRPr="00680856">
        <w:rPr>
          <w:rFonts w:ascii="Verdana" w:hAnsi="Verdana" w:cs="AppleSystemUIFont"/>
          <w:i/>
          <w:iCs/>
          <w:sz w:val="18"/>
          <w:szCs w:val="18"/>
        </w:rPr>
        <w:br/>
      </w:r>
      <w:r w:rsidRPr="009B27AF">
        <w:rPr>
          <w:rFonts w:ascii="Verdana" w:hAnsi="Verdana" w:cs="Arial"/>
          <w:sz w:val="18"/>
          <w:szCs w:val="18"/>
        </w:rPr>
        <w:t>In een </w:t>
      </w:r>
      <w:hyperlink w:history="1" w:anchor="een-verwerkingsregister-bijhouden" r:id="rId7">
        <w:r w:rsidRPr="009B27AF">
          <w:rPr>
            <w:rFonts w:ascii="Verdana" w:hAnsi="Verdana" w:cs="Arial"/>
            <w:color w:val="0000FF"/>
            <w:sz w:val="18"/>
            <w:szCs w:val="18"/>
            <w:u w:val="single"/>
          </w:rPr>
          <w:t>verwerkingsregister</w:t>
        </w:r>
      </w:hyperlink>
      <w:r w:rsidRPr="009B27AF">
        <w:rPr>
          <w:rFonts w:ascii="Verdana" w:hAnsi="Verdana" w:cs="Arial"/>
          <w:color w:val="4C535D"/>
          <w:sz w:val="18"/>
          <w:szCs w:val="18"/>
        </w:rPr>
        <w:t> </w:t>
      </w:r>
      <w:r w:rsidRPr="009B27AF">
        <w:rPr>
          <w:rFonts w:ascii="Verdana" w:hAnsi="Verdana" w:cs="Arial"/>
          <w:sz w:val="18"/>
          <w:szCs w:val="18"/>
        </w:rPr>
        <w:t>staat</w:t>
      </w:r>
      <w:r w:rsidR="00775542">
        <w:rPr>
          <w:rFonts w:ascii="Verdana" w:hAnsi="Verdana" w:cs="Arial"/>
          <w:sz w:val="18"/>
          <w:szCs w:val="18"/>
        </w:rPr>
        <w:t xml:space="preserve"> bepaalde</w:t>
      </w:r>
      <w:r w:rsidRPr="009B27AF">
        <w:rPr>
          <w:rFonts w:ascii="Verdana" w:hAnsi="Verdana" w:cs="Arial"/>
          <w:sz w:val="18"/>
          <w:szCs w:val="18"/>
        </w:rPr>
        <w:t xml:space="preserve"> informatie over de persoonsgegevens die een organisatie verwerkt</w:t>
      </w:r>
      <w:r w:rsidR="00775542">
        <w:rPr>
          <w:rFonts w:ascii="Verdana" w:hAnsi="Verdana" w:cs="Arial"/>
          <w:sz w:val="18"/>
          <w:szCs w:val="18"/>
        </w:rPr>
        <w:t>, zoals het doel waarvoor de organisatie die persoonsgegevens verwerkt</w:t>
      </w:r>
      <w:r w:rsidRPr="009B27AF">
        <w:rPr>
          <w:rFonts w:ascii="Verdana" w:hAnsi="Verdana" w:cs="Arial"/>
          <w:sz w:val="18"/>
          <w:szCs w:val="18"/>
        </w:rPr>
        <w:t xml:space="preserve">. Alle organisaties die persoonsgegevens verwerken, zijn verplicht zo’n register op te stellen. </w:t>
      </w:r>
      <w:r w:rsidRPr="00F51FA2">
        <w:rPr>
          <w:rFonts w:ascii="Verdana" w:hAnsi="Verdana" w:cs="Arial"/>
          <w:sz w:val="18"/>
          <w:szCs w:val="18"/>
        </w:rPr>
        <w:t>Door de AP is onderzocht of, en zo ja in hoeverre, de Belastingdienst aan deze registerplichten voldoet.</w:t>
      </w:r>
      <w:r>
        <w:rPr>
          <w:rFonts w:ascii="Verdana" w:hAnsi="Verdana" w:cs="Arial"/>
          <w:sz w:val="18"/>
          <w:szCs w:val="18"/>
        </w:rPr>
        <w:t xml:space="preserve"> O</w:t>
      </w:r>
      <w:r w:rsidRPr="00680856">
        <w:rPr>
          <w:rFonts w:ascii="Verdana" w:hAnsi="Verdana" w:cs="AppleSystemUIFont"/>
          <w:sz w:val="18"/>
          <w:szCs w:val="18"/>
        </w:rPr>
        <w:t xml:space="preserve">p 17 september </w:t>
      </w:r>
      <w:r>
        <w:rPr>
          <w:rFonts w:ascii="Verdana" w:hAnsi="Verdana" w:cs="AppleSystemUIFont"/>
          <w:sz w:val="18"/>
          <w:szCs w:val="18"/>
        </w:rPr>
        <w:t xml:space="preserve">jl. heeft de AP haar bevindingen met de Belastingdienst gedeeld (zie bijlage </w:t>
      </w:r>
      <w:r w:rsidR="00B77092">
        <w:rPr>
          <w:rFonts w:ascii="Verdana" w:hAnsi="Verdana" w:cs="AppleSystemUIFont"/>
          <w:sz w:val="18"/>
          <w:szCs w:val="18"/>
        </w:rPr>
        <w:t>3</w:t>
      </w:r>
      <w:r>
        <w:rPr>
          <w:rFonts w:ascii="Verdana" w:hAnsi="Verdana" w:cs="AppleSystemUIFont"/>
          <w:sz w:val="18"/>
          <w:szCs w:val="18"/>
        </w:rPr>
        <w:t xml:space="preserve"> en </w:t>
      </w:r>
      <w:r w:rsidR="00B77092">
        <w:rPr>
          <w:rFonts w:ascii="Verdana" w:hAnsi="Verdana" w:cs="AppleSystemUIFont"/>
          <w:sz w:val="18"/>
          <w:szCs w:val="18"/>
        </w:rPr>
        <w:t>4</w:t>
      </w:r>
      <w:r>
        <w:rPr>
          <w:rFonts w:ascii="Verdana" w:hAnsi="Verdana" w:cs="AppleSystemUIFont"/>
          <w:sz w:val="18"/>
          <w:szCs w:val="18"/>
        </w:rPr>
        <w:t xml:space="preserve">). </w:t>
      </w:r>
      <w:r w:rsidRPr="009B27AF">
        <w:rPr>
          <w:rFonts w:ascii="Verdana" w:hAnsi="Verdana" w:cs="Arial"/>
          <w:sz w:val="18"/>
          <w:szCs w:val="18"/>
        </w:rPr>
        <w:t>De Belastingdienst heeft nog geen volledig verwerking</w:t>
      </w:r>
      <w:r>
        <w:rPr>
          <w:rFonts w:ascii="Verdana" w:hAnsi="Verdana" w:cs="Arial"/>
          <w:sz w:val="18"/>
          <w:szCs w:val="18"/>
        </w:rPr>
        <w:t>s</w:t>
      </w:r>
      <w:r w:rsidRPr="009B27AF">
        <w:rPr>
          <w:rFonts w:ascii="Verdana" w:hAnsi="Verdana" w:cs="Arial"/>
          <w:sz w:val="18"/>
          <w:szCs w:val="18"/>
        </w:rPr>
        <w:t>register</w:t>
      </w:r>
      <w:r w:rsidR="000E1E77">
        <w:rPr>
          <w:rFonts w:ascii="Verdana" w:hAnsi="Verdana" w:cs="Arial"/>
          <w:sz w:val="18"/>
          <w:szCs w:val="18"/>
        </w:rPr>
        <w:t>.</w:t>
      </w:r>
      <w:r w:rsidRPr="00EB317D">
        <w:rPr>
          <w:rFonts w:ascii="Verdana" w:hAnsi="Verdana" w:cs="AppleSystemUIFont"/>
          <w:sz w:val="18"/>
          <w:szCs w:val="18"/>
        </w:rPr>
        <w:t xml:space="preserve"> </w:t>
      </w:r>
      <w:r w:rsidRPr="00680856">
        <w:rPr>
          <w:rFonts w:ascii="Verdana" w:hAnsi="Verdana" w:cs="AppleSystemUIFont"/>
          <w:sz w:val="18"/>
          <w:szCs w:val="18"/>
        </w:rPr>
        <w:t xml:space="preserve">De AP constateert dat de Belastingdienst zich maximaal inspant om eind 2025 te beschikken over een volledig en actueel AVG-register. </w:t>
      </w:r>
      <w:r w:rsidR="0052615B">
        <w:rPr>
          <w:rFonts w:ascii="Verdana" w:hAnsi="Verdana" w:cs="AppleSystemUIFont"/>
          <w:sz w:val="18"/>
          <w:szCs w:val="18"/>
        </w:rPr>
        <w:t>De AP concludeer</w:t>
      </w:r>
      <w:r w:rsidR="0053282F">
        <w:rPr>
          <w:rFonts w:ascii="Verdana" w:hAnsi="Verdana" w:cs="AppleSystemUIFont"/>
          <w:sz w:val="18"/>
          <w:szCs w:val="18"/>
        </w:rPr>
        <w:t>t verder</w:t>
      </w:r>
      <w:r w:rsidR="0052615B">
        <w:rPr>
          <w:rFonts w:ascii="Verdana" w:hAnsi="Verdana" w:cs="AppleSystemUIFont"/>
          <w:sz w:val="18"/>
          <w:szCs w:val="18"/>
        </w:rPr>
        <w:t xml:space="preserve"> dat v</w:t>
      </w:r>
      <w:r w:rsidRPr="00680856">
        <w:rPr>
          <w:rFonts w:ascii="Verdana" w:hAnsi="Verdana" w:cs="AppleSystemUIFont"/>
          <w:sz w:val="18"/>
          <w:szCs w:val="18"/>
        </w:rPr>
        <w:t xml:space="preserve">oor het Wpg-register nog geen concreet tijdpad </w:t>
      </w:r>
      <w:r w:rsidRPr="00680856" w:rsidR="0052615B">
        <w:rPr>
          <w:rFonts w:ascii="Verdana" w:hAnsi="Verdana" w:cs="AppleSystemUIFont"/>
          <w:sz w:val="18"/>
          <w:szCs w:val="18"/>
        </w:rPr>
        <w:t xml:space="preserve">is </w:t>
      </w:r>
      <w:r w:rsidRPr="00680856">
        <w:rPr>
          <w:rFonts w:ascii="Verdana" w:hAnsi="Verdana" w:cs="AppleSystemUIFont"/>
          <w:sz w:val="18"/>
          <w:szCs w:val="18"/>
        </w:rPr>
        <w:t>vastgesteld</w:t>
      </w:r>
      <w:r>
        <w:rPr>
          <w:rFonts w:ascii="Verdana" w:hAnsi="Verdana" w:cs="AppleSystemUIFont"/>
          <w:sz w:val="18"/>
          <w:szCs w:val="18"/>
        </w:rPr>
        <w:t>. D</w:t>
      </w:r>
      <w:r w:rsidRPr="00680856">
        <w:rPr>
          <w:rFonts w:ascii="Verdana" w:hAnsi="Verdana" w:cs="AppleSystemUIFont"/>
          <w:sz w:val="18"/>
          <w:szCs w:val="18"/>
        </w:rPr>
        <w:t xml:space="preserve">e AP roept de Belastingdienst op uiterlijk in de eerste helft van 2026 dit register te voltooien. </w:t>
      </w:r>
      <w:r>
        <w:rPr>
          <w:rFonts w:ascii="Verdana" w:hAnsi="Verdana" w:cs="AppleSystemUIFont"/>
          <w:sz w:val="18"/>
          <w:szCs w:val="18"/>
        </w:rPr>
        <w:t xml:space="preserve">De Belastingdienst zorgt ervoor dat </w:t>
      </w:r>
      <w:r w:rsidR="00775542">
        <w:rPr>
          <w:rFonts w:ascii="Verdana" w:hAnsi="Verdana" w:cs="AppleSystemUIFont"/>
          <w:sz w:val="18"/>
          <w:szCs w:val="18"/>
        </w:rPr>
        <w:t xml:space="preserve">zowel </w:t>
      </w:r>
      <w:r>
        <w:rPr>
          <w:rFonts w:ascii="Verdana" w:hAnsi="Verdana" w:cs="AppleSystemUIFont"/>
          <w:sz w:val="18"/>
          <w:szCs w:val="18"/>
        </w:rPr>
        <w:t>het AVG-register</w:t>
      </w:r>
      <w:r w:rsidR="00775542">
        <w:rPr>
          <w:rFonts w:ascii="Verdana" w:hAnsi="Verdana" w:cs="AppleSystemUIFont"/>
          <w:sz w:val="18"/>
          <w:szCs w:val="18"/>
        </w:rPr>
        <w:t xml:space="preserve"> als het Wpg-register</w:t>
      </w:r>
      <w:r>
        <w:rPr>
          <w:rFonts w:ascii="Verdana" w:hAnsi="Verdana" w:cs="AppleSystemUIFont"/>
          <w:sz w:val="18"/>
          <w:szCs w:val="18"/>
        </w:rPr>
        <w:t xml:space="preserve"> eind dit jaar gereed is</w:t>
      </w:r>
      <w:r w:rsidR="0052615B">
        <w:rPr>
          <w:rFonts w:ascii="Verdana" w:hAnsi="Verdana" w:cs="AppleSystemUIFont"/>
          <w:sz w:val="18"/>
          <w:szCs w:val="18"/>
        </w:rPr>
        <w:t xml:space="preserve">. </w:t>
      </w:r>
      <w:r w:rsidRPr="00680856">
        <w:rPr>
          <w:rFonts w:ascii="Verdana" w:hAnsi="Verdana" w:cs="AppleSystemUIFont"/>
          <w:sz w:val="18"/>
          <w:szCs w:val="18"/>
        </w:rPr>
        <w:t>In 2026 beoordeelt de AP opnieuw of beide registers volledig, actueel en duurzaam geborgd zijn.</w:t>
      </w:r>
    </w:p>
    <w:p w:rsidRPr="005B655E" w:rsidR="005B655E" w:rsidP="005B655E" w:rsidRDefault="005B655E" w14:paraId="4F09AE76" w14:textId="77777777">
      <w:pPr>
        <w:shd w:val="clear" w:color="auto" w:fill="FFFFFF" w:themeFill="background1"/>
        <w:autoSpaceDE w:val="0"/>
        <w:autoSpaceDN w:val="0"/>
        <w:adjustRightInd w:val="0"/>
        <w:spacing w:after="0" w:line="240" w:lineRule="auto"/>
        <w:rPr>
          <w:rFonts w:ascii="Verdana" w:hAnsi="Verdana" w:cs="AppleSystemUIFont"/>
          <w:sz w:val="18"/>
          <w:szCs w:val="18"/>
        </w:rPr>
      </w:pPr>
    </w:p>
    <w:p w:rsidR="00D94D6A" w:rsidRDefault="00D94D6A" w14:paraId="46840067" w14:textId="77777777">
      <w:pPr>
        <w:rPr>
          <w:rFonts w:ascii="Verdana" w:hAnsi="Verdana" w:eastAsia="Times New Roman" w:cs="Aptos"/>
          <w:b/>
          <w:bCs/>
          <w:sz w:val="18"/>
          <w:szCs w:val="18"/>
          <w14:ligatures w14:val="standardContextual"/>
        </w:rPr>
      </w:pPr>
      <w:r>
        <w:rPr>
          <w:rFonts w:ascii="Verdana" w:hAnsi="Verdana" w:eastAsia="Times New Roman" w:cs="Aptos"/>
          <w:b/>
          <w:bCs/>
          <w:sz w:val="18"/>
          <w:szCs w:val="18"/>
          <w14:ligatures w14:val="standardContextual"/>
        </w:rPr>
        <w:br w:type="page"/>
      </w:r>
    </w:p>
    <w:p w:rsidR="007731C0" w:rsidP="007731C0" w:rsidRDefault="007731C0" w14:paraId="138360E0" w14:textId="312CF144">
      <w:pPr>
        <w:rPr>
          <w:rFonts w:ascii="Verdana" w:hAnsi="Verdana"/>
          <w:b/>
          <w:bCs/>
          <w:sz w:val="18"/>
          <w:szCs w:val="18"/>
        </w:rPr>
      </w:pPr>
      <w:r>
        <w:rPr>
          <w:rFonts w:ascii="Verdana" w:hAnsi="Verdana" w:eastAsia="Times New Roman" w:cs="Aptos"/>
          <w:b/>
          <w:bCs/>
          <w:sz w:val="18"/>
          <w:szCs w:val="18"/>
          <w14:ligatures w14:val="standardContextual"/>
        </w:rPr>
        <w:lastRenderedPageBreak/>
        <w:t xml:space="preserve">III. </w:t>
      </w:r>
      <w:r w:rsidRPr="007731C0">
        <w:rPr>
          <w:rFonts w:ascii="Verdana" w:hAnsi="Verdana" w:eastAsia="Times New Roman" w:cs="Aptos"/>
          <w:b/>
          <w:bCs/>
          <w:sz w:val="18"/>
          <w:szCs w:val="18"/>
          <w14:ligatures w14:val="standardContextual"/>
        </w:rPr>
        <w:t>Continu verbeteren dienstverlening, toezicht</w:t>
      </w:r>
      <w:r w:rsidR="00A00476">
        <w:rPr>
          <w:rFonts w:ascii="Verdana" w:hAnsi="Verdana" w:eastAsia="Times New Roman" w:cs="Aptos"/>
          <w:b/>
          <w:bCs/>
          <w:sz w:val="18"/>
          <w:szCs w:val="18"/>
          <w14:ligatures w14:val="standardContextual"/>
        </w:rPr>
        <w:t xml:space="preserve"> en</w:t>
      </w:r>
      <w:r w:rsidRPr="007731C0">
        <w:rPr>
          <w:rFonts w:ascii="Verdana" w:hAnsi="Verdana" w:eastAsia="Times New Roman" w:cs="Aptos"/>
          <w:b/>
          <w:bCs/>
          <w:sz w:val="18"/>
          <w:szCs w:val="18"/>
          <w14:ligatures w14:val="standardContextual"/>
        </w:rPr>
        <w:t xml:space="preserve"> opsporing</w:t>
      </w:r>
    </w:p>
    <w:p w:rsidRPr="00276931" w:rsidR="007731C0" w:rsidP="007731C0" w:rsidRDefault="007731C0" w14:paraId="4DF443F9" w14:textId="5A45750C">
      <w:pPr>
        <w:rPr>
          <w:rFonts w:ascii="Verdana" w:hAnsi="Verdana" w:eastAsia="Verdana" w:cs="Verdana"/>
          <w:b/>
          <w:bCs/>
          <w:sz w:val="18"/>
          <w:szCs w:val="18"/>
        </w:rPr>
      </w:pPr>
      <w:bookmarkStart w:name="_Hlk210725450" w:id="16"/>
      <w:r>
        <w:rPr>
          <w:rFonts w:ascii="Verdana" w:hAnsi="Verdana" w:eastAsia="Verdana" w:cs="Verdana"/>
          <w:b/>
          <w:bCs/>
          <w:sz w:val="18"/>
          <w:szCs w:val="18"/>
        </w:rPr>
        <w:t>1</w:t>
      </w:r>
      <w:r w:rsidR="007F29E6">
        <w:rPr>
          <w:rFonts w:ascii="Verdana" w:hAnsi="Verdana" w:eastAsia="Verdana" w:cs="Verdana"/>
          <w:b/>
          <w:bCs/>
          <w:sz w:val="18"/>
          <w:szCs w:val="18"/>
        </w:rPr>
        <w:t>4</w:t>
      </w:r>
      <w:r w:rsidRPr="00276931">
        <w:rPr>
          <w:rFonts w:ascii="Verdana" w:hAnsi="Verdana" w:eastAsia="Verdana" w:cs="Verdana"/>
          <w:b/>
          <w:bCs/>
          <w:sz w:val="18"/>
          <w:szCs w:val="18"/>
        </w:rPr>
        <w:t>. Visie op AI</w:t>
      </w:r>
    </w:p>
    <w:bookmarkEnd w:id="16"/>
    <w:p w:rsidR="003167F8" w:rsidP="003167F8" w:rsidRDefault="003167F8" w14:paraId="303AA0B3" w14:textId="74507A46">
      <w:pPr>
        <w:rPr>
          <w:rFonts w:ascii="Verdana" w:hAnsi="Verdana"/>
          <w:sz w:val="18"/>
          <w:szCs w:val="18"/>
        </w:rPr>
      </w:pPr>
      <w:r w:rsidRPr="00276931">
        <w:rPr>
          <w:rFonts w:ascii="Verdana" w:hAnsi="Verdana"/>
          <w:sz w:val="18"/>
          <w:szCs w:val="18"/>
        </w:rPr>
        <w:t>Mijn ambtsvoorganger heeft toegezegd om uw Kamer te informeren over het gebruik van kunstmatige intelligentie, of</w:t>
      </w:r>
      <w:r w:rsidR="005C7150">
        <w:rPr>
          <w:rFonts w:ascii="Verdana" w:hAnsi="Verdana"/>
          <w:sz w:val="18"/>
          <w:szCs w:val="18"/>
        </w:rPr>
        <w:t>wel</w:t>
      </w:r>
      <w:r w:rsidRPr="00276931">
        <w:rPr>
          <w:rFonts w:ascii="Verdana" w:hAnsi="Verdana"/>
          <w:sz w:val="18"/>
          <w:szCs w:val="18"/>
        </w:rPr>
        <w:t xml:space="preserve"> </w:t>
      </w:r>
      <w:r w:rsidRPr="00276931">
        <w:rPr>
          <w:rFonts w:ascii="Verdana" w:hAnsi="Verdana"/>
          <w:i/>
          <w:sz w:val="18"/>
          <w:szCs w:val="18"/>
        </w:rPr>
        <w:t>Artificial Intelligence</w:t>
      </w:r>
      <w:r w:rsidRPr="00276931">
        <w:rPr>
          <w:rFonts w:ascii="Verdana" w:hAnsi="Verdana"/>
          <w:sz w:val="18"/>
          <w:szCs w:val="18"/>
        </w:rPr>
        <w:t xml:space="preserve"> (AI)</w:t>
      </w:r>
      <w:r w:rsidR="005C7150">
        <w:rPr>
          <w:rFonts w:ascii="Verdana" w:hAnsi="Verdana"/>
          <w:sz w:val="18"/>
          <w:szCs w:val="18"/>
        </w:rPr>
        <w:t xml:space="preserve">, </w:t>
      </w:r>
      <w:r w:rsidRPr="00276931">
        <w:rPr>
          <w:rFonts w:ascii="Verdana" w:hAnsi="Verdana"/>
          <w:sz w:val="18"/>
          <w:szCs w:val="18"/>
        </w:rPr>
        <w:t xml:space="preserve">bij de Belastingdienst. Op 6 juni </w:t>
      </w:r>
      <w:r w:rsidR="005C7150">
        <w:rPr>
          <w:rFonts w:ascii="Verdana" w:hAnsi="Verdana"/>
          <w:sz w:val="18"/>
          <w:szCs w:val="18"/>
        </w:rPr>
        <w:t>2025</w:t>
      </w:r>
      <w:r w:rsidRPr="00276931">
        <w:rPr>
          <w:rFonts w:ascii="Verdana" w:hAnsi="Verdana"/>
          <w:sz w:val="18"/>
          <w:szCs w:val="18"/>
        </w:rPr>
        <w:t xml:space="preserve"> is de Visie op AI </w:t>
      </w:r>
      <w:r w:rsidR="00DD788E">
        <w:rPr>
          <w:rFonts w:ascii="Verdana" w:hAnsi="Verdana"/>
          <w:sz w:val="18"/>
          <w:szCs w:val="18"/>
        </w:rPr>
        <w:t>van het Ministerie van Financiën</w:t>
      </w:r>
      <w:r w:rsidRPr="00276931">
        <w:rPr>
          <w:rFonts w:ascii="Verdana" w:hAnsi="Verdana"/>
          <w:sz w:val="18"/>
          <w:szCs w:val="18"/>
        </w:rPr>
        <w:t xml:space="preserve"> vastgesteld</w:t>
      </w:r>
      <w:r>
        <w:rPr>
          <w:rFonts w:ascii="Verdana" w:hAnsi="Verdana"/>
          <w:sz w:val="18"/>
          <w:szCs w:val="18"/>
        </w:rPr>
        <w:t xml:space="preserve"> (zie bijlage </w:t>
      </w:r>
      <w:r w:rsidR="00B77092">
        <w:rPr>
          <w:rFonts w:ascii="Verdana" w:hAnsi="Verdana"/>
          <w:sz w:val="18"/>
          <w:szCs w:val="18"/>
        </w:rPr>
        <w:t>5</w:t>
      </w:r>
      <w:r>
        <w:rPr>
          <w:rFonts w:ascii="Verdana" w:hAnsi="Verdana"/>
          <w:sz w:val="18"/>
          <w:szCs w:val="18"/>
        </w:rPr>
        <w:t>)</w:t>
      </w:r>
      <w:r w:rsidRPr="00276931">
        <w:rPr>
          <w:rFonts w:ascii="Verdana" w:hAnsi="Verdana"/>
          <w:sz w:val="18"/>
          <w:szCs w:val="18"/>
        </w:rPr>
        <w:t xml:space="preserve">. Deze visie </w:t>
      </w:r>
      <w:r>
        <w:rPr>
          <w:rFonts w:ascii="Verdana" w:hAnsi="Verdana"/>
          <w:sz w:val="18"/>
          <w:szCs w:val="18"/>
        </w:rPr>
        <w:t>is</w:t>
      </w:r>
      <w:r w:rsidRPr="00276931">
        <w:rPr>
          <w:rFonts w:ascii="Verdana" w:hAnsi="Verdana"/>
          <w:sz w:val="18"/>
          <w:szCs w:val="18"/>
        </w:rPr>
        <w:t xml:space="preserve"> opgesteld </w:t>
      </w:r>
      <w:r w:rsidR="000B2490">
        <w:rPr>
          <w:rFonts w:ascii="Verdana" w:hAnsi="Verdana"/>
          <w:sz w:val="18"/>
          <w:szCs w:val="18"/>
        </w:rPr>
        <w:t>voor</w:t>
      </w:r>
      <w:r w:rsidRPr="00276931">
        <w:rPr>
          <w:rFonts w:ascii="Verdana" w:hAnsi="Verdana"/>
          <w:sz w:val="18"/>
          <w:szCs w:val="18"/>
        </w:rPr>
        <w:t xml:space="preserve"> het gehele </w:t>
      </w:r>
      <w:r w:rsidR="004A2910">
        <w:rPr>
          <w:rFonts w:ascii="Verdana" w:hAnsi="Verdana"/>
          <w:sz w:val="18"/>
          <w:szCs w:val="18"/>
        </w:rPr>
        <w:t>M</w:t>
      </w:r>
      <w:r w:rsidRPr="00276931">
        <w:rPr>
          <w:rFonts w:ascii="Verdana" w:hAnsi="Verdana"/>
          <w:sz w:val="18"/>
          <w:szCs w:val="18"/>
        </w:rPr>
        <w:t xml:space="preserve">inisterie van Financiën. </w:t>
      </w:r>
      <w:r w:rsidRPr="00314E7F">
        <w:rPr>
          <w:rFonts w:ascii="Verdana" w:hAnsi="Verdana"/>
          <w:sz w:val="18"/>
          <w:szCs w:val="18"/>
        </w:rPr>
        <w:t xml:space="preserve">Het doel van deze visie is om de kansen die er liggen met AI te kunnen </w:t>
      </w:r>
      <w:r w:rsidR="00EE03DD">
        <w:rPr>
          <w:rFonts w:ascii="Verdana" w:hAnsi="Verdana"/>
          <w:sz w:val="18"/>
          <w:szCs w:val="18"/>
        </w:rPr>
        <w:t>benutten</w:t>
      </w:r>
      <w:r w:rsidRPr="00314E7F" w:rsidR="00EE03DD">
        <w:rPr>
          <w:rFonts w:ascii="Verdana" w:hAnsi="Verdana"/>
          <w:sz w:val="18"/>
          <w:szCs w:val="18"/>
        </w:rPr>
        <w:t xml:space="preserve"> </w:t>
      </w:r>
      <w:r w:rsidRPr="00314E7F">
        <w:rPr>
          <w:rFonts w:ascii="Verdana" w:hAnsi="Verdana"/>
          <w:sz w:val="18"/>
          <w:szCs w:val="18"/>
        </w:rPr>
        <w:t>en om gelijktijdig verantwoorde stappen te zetten om te voldoen aan de Europese AI</w:t>
      </w:r>
      <w:r w:rsidR="0058365B">
        <w:rPr>
          <w:rFonts w:ascii="Verdana" w:hAnsi="Verdana"/>
          <w:sz w:val="18"/>
          <w:szCs w:val="18"/>
        </w:rPr>
        <w:t>-</w:t>
      </w:r>
      <w:r w:rsidRPr="00314E7F">
        <w:rPr>
          <w:rFonts w:ascii="Verdana" w:hAnsi="Verdana"/>
          <w:sz w:val="18"/>
          <w:szCs w:val="18"/>
        </w:rPr>
        <w:t xml:space="preserve">verordening. Deze visie is voor de Belastingdienst </w:t>
      </w:r>
      <w:r w:rsidR="004D543D">
        <w:rPr>
          <w:rFonts w:ascii="Verdana" w:hAnsi="Verdana"/>
          <w:sz w:val="18"/>
          <w:szCs w:val="18"/>
        </w:rPr>
        <w:t>uitgewerkt</w:t>
      </w:r>
      <w:r w:rsidRPr="00314E7F" w:rsidR="004D543D">
        <w:rPr>
          <w:rFonts w:ascii="Verdana" w:hAnsi="Verdana"/>
          <w:sz w:val="18"/>
          <w:szCs w:val="18"/>
        </w:rPr>
        <w:t xml:space="preserve"> </w:t>
      </w:r>
      <w:r w:rsidRPr="00314E7F">
        <w:rPr>
          <w:rFonts w:ascii="Verdana" w:hAnsi="Verdana"/>
          <w:sz w:val="18"/>
          <w:szCs w:val="18"/>
        </w:rPr>
        <w:t>in een strategie op AI.</w:t>
      </w:r>
      <w:r>
        <w:rPr>
          <w:rFonts w:ascii="Verdana" w:hAnsi="Verdana"/>
          <w:sz w:val="18"/>
          <w:szCs w:val="18"/>
        </w:rPr>
        <w:t xml:space="preserve"> In deze strategie wordt de visie </w:t>
      </w:r>
      <w:r w:rsidR="005119A2">
        <w:rPr>
          <w:rFonts w:ascii="Verdana" w:hAnsi="Verdana"/>
          <w:sz w:val="18"/>
          <w:szCs w:val="18"/>
        </w:rPr>
        <w:t xml:space="preserve">verder </w:t>
      </w:r>
      <w:r>
        <w:rPr>
          <w:rFonts w:ascii="Verdana" w:hAnsi="Verdana"/>
          <w:sz w:val="18"/>
          <w:szCs w:val="18"/>
        </w:rPr>
        <w:t xml:space="preserve">geconcretiseerd </w:t>
      </w:r>
      <w:r w:rsidR="005119A2">
        <w:rPr>
          <w:rFonts w:ascii="Verdana" w:hAnsi="Verdana"/>
          <w:sz w:val="18"/>
          <w:szCs w:val="18"/>
        </w:rPr>
        <w:t xml:space="preserve">en wordt </w:t>
      </w:r>
      <w:r>
        <w:rPr>
          <w:rFonts w:ascii="Verdana" w:hAnsi="Verdana"/>
          <w:sz w:val="18"/>
          <w:szCs w:val="18"/>
        </w:rPr>
        <w:t>de menselijke betrokkenheid bij de inzet van AI</w:t>
      </w:r>
      <w:r w:rsidR="00021094">
        <w:rPr>
          <w:rFonts w:ascii="Verdana" w:hAnsi="Verdana"/>
          <w:sz w:val="18"/>
          <w:szCs w:val="18"/>
        </w:rPr>
        <w:t xml:space="preserve"> geborgd</w:t>
      </w:r>
      <w:r w:rsidR="00D57CA2">
        <w:rPr>
          <w:rFonts w:ascii="Verdana" w:hAnsi="Verdana"/>
          <w:sz w:val="18"/>
          <w:szCs w:val="18"/>
        </w:rPr>
        <w:t>. B</w:t>
      </w:r>
      <w:r>
        <w:rPr>
          <w:rFonts w:ascii="Verdana" w:hAnsi="Verdana"/>
          <w:sz w:val="18"/>
          <w:szCs w:val="18"/>
        </w:rPr>
        <w:t>eslissingen waar AI bij</w:t>
      </w:r>
      <w:r w:rsidR="0058365B">
        <w:rPr>
          <w:rFonts w:ascii="Verdana" w:hAnsi="Verdana"/>
          <w:sz w:val="18"/>
          <w:szCs w:val="18"/>
        </w:rPr>
        <w:t xml:space="preserve"> </w:t>
      </w:r>
      <w:r w:rsidR="00EE03DD">
        <w:rPr>
          <w:rFonts w:ascii="Verdana" w:hAnsi="Verdana"/>
          <w:sz w:val="18"/>
          <w:szCs w:val="18"/>
        </w:rPr>
        <w:t xml:space="preserve">is </w:t>
      </w:r>
      <w:r>
        <w:rPr>
          <w:rFonts w:ascii="Verdana" w:hAnsi="Verdana"/>
          <w:sz w:val="18"/>
          <w:szCs w:val="18"/>
        </w:rPr>
        <w:t>betrokken</w:t>
      </w:r>
      <w:r w:rsidR="0058365B">
        <w:rPr>
          <w:rFonts w:ascii="Verdana" w:hAnsi="Verdana"/>
          <w:sz w:val="18"/>
          <w:szCs w:val="18"/>
        </w:rPr>
        <w:t>,</w:t>
      </w:r>
      <w:r>
        <w:rPr>
          <w:rFonts w:ascii="Verdana" w:hAnsi="Verdana"/>
          <w:sz w:val="18"/>
          <w:szCs w:val="18"/>
        </w:rPr>
        <w:t xml:space="preserve"> </w:t>
      </w:r>
      <w:r w:rsidR="00D57CA2">
        <w:rPr>
          <w:rFonts w:ascii="Verdana" w:hAnsi="Verdana"/>
          <w:sz w:val="18"/>
          <w:szCs w:val="18"/>
        </w:rPr>
        <w:t>moeten kunnen worden uitgelegd.</w:t>
      </w:r>
      <w:r>
        <w:rPr>
          <w:rFonts w:ascii="Verdana" w:hAnsi="Verdana"/>
          <w:sz w:val="18"/>
          <w:szCs w:val="18"/>
        </w:rPr>
        <w:t xml:space="preserve"> </w:t>
      </w:r>
      <w:r w:rsidR="00D57CA2">
        <w:rPr>
          <w:rFonts w:ascii="Verdana" w:hAnsi="Verdana"/>
          <w:sz w:val="18"/>
          <w:szCs w:val="18"/>
        </w:rPr>
        <w:t xml:space="preserve">Ook </w:t>
      </w:r>
      <w:r w:rsidR="00021094">
        <w:rPr>
          <w:rFonts w:ascii="Verdana" w:hAnsi="Verdana"/>
          <w:sz w:val="18"/>
          <w:szCs w:val="18"/>
        </w:rPr>
        <w:t xml:space="preserve">worden </w:t>
      </w:r>
      <w:r w:rsidR="008713EA">
        <w:rPr>
          <w:rFonts w:ascii="Verdana" w:hAnsi="Verdana"/>
          <w:sz w:val="18"/>
          <w:szCs w:val="18"/>
        </w:rPr>
        <w:t>de</w:t>
      </w:r>
      <w:r w:rsidR="00D57CA2">
        <w:rPr>
          <w:rFonts w:ascii="Verdana" w:hAnsi="Verdana"/>
          <w:sz w:val="18"/>
          <w:szCs w:val="18"/>
        </w:rPr>
        <w:t xml:space="preserve"> </w:t>
      </w:r>
      <w:r w:rsidR="008713EA">
        <w:rPr>
          <w:rFonts w:ascii="Verdana" w:hAnsi="Verdana"/>
          <w:sz w:val="18"/>
          <w:szCs w:val="18"/>
        </w:rPr>
        <w:t>e</w:t>
      </w:r>
      <w:r>
        <w:rPr>
          <w:rFonts w:ascii="Verdana" w:hAnsi="Verdana"/>
          <w:sz w:val="18"/>
          <w:szCs w:val="18"/>
        </w:rPr>
        <w:t>thisch</w:t>
      </w:r>
      <w:r w:rsidR="005562F6">
        <w:rPr>
          <w:rFonts w:ascii="Verdana" w:hAnsi="Verdana"/>
          <w:sz w:val="18"/>
          <w:szCs w:val="18"/>
        </w:rPr>
        <w:t>e</w:t>
      </w:r>
      <w:r w:rsidR="008713EA">
        <w:rPr>
          <w:rFonts w:ascii="Verdana" w:hAnsi="Verdana"/>
          <w:sz w:val="18"/>
          <w:szCs w:val="18"/>
        </w:rPr>
        <w:t xml:space="preserve"> en</w:t>
      </w:r>
      <w:r>
        <w:rPr>
          <w:rFonts w:ascii="Verdana" w:hAnsi="Verdana"/>
          <w:sz w:val="18"/>
          <w:szCs w:val="18"/>
        </w:rPr>
        <w:t xml:space="preserve"> </w:t>
      </w:r>
      <w:r w:rsidR="008713EA">
        <w:rPr>
          <w:rFonts w:ascii="Verdana" w:hAnsi="Verdana"/>
          <w:sz w:val="18"/>
          <w:szCs w:val="18"/>
        </w:rPr>
        <w:t>j</w:t>
      </w:r>
      <w:r>
        <w:rPr>
          <w:rFonts w:ascii="Verdana" w:hAnsi="Verdana"/>
          <w:sz w:val="18"/>
          <w:szCs w:val="18"/>
        </w:rPr>
        <w:t xml:space="preserve">uridische </w:t>
      </w:r>
      <w:r w:rsidR="008713EA">
        <w:rPr>
          <w:rFonts w:ascii="Verdana" w:hAnsi="Verdana"/>
          <w:sz w:val="18"/>
          <w:szCs w:val="18"/>
        </w:rPr>
        <w:t xml:space="preserve">aspecten en dilemma’s </w:t>
      </w:r>
      <w:r>
        <w:rPr>
          <w:rFonts w:ascii="Verdana" w:hAnsi="Verdana"/>
          <w:sz w:val="18"/>
          <w:szCs w:val="18"/>
        </w:rPr>
        <w:t>bij de ontwikkeling van AI-toepassingen</w:t>
      </w:r>
      <w:r w:rsidRPr="00021094" w:rsidR="00021094">
        <w:rPr>
          <w:rFonts w:ascii="Verdana" w:hAnsi="Verdana"/>
          <w:sz w:val="18"/>
          <w:szCs w:val="18"/>
        </w:rPr>
        <w:t xml:space="preserve"> </w:t>
      </w:r>
      <w:r w:rsidR="00021094">
        <w:rPr>
          <w:rFonts w:ascii="Verdana" w:hAnsi="Verdana"/>
          <w:sz w:val="18"/>
          <w:szCs w:val="18"/>
        </w:rPr>
        <w:t>beoordeeld</w:t>
      </w:r>
      <w:r>
        <w:rPr>
          <w:rFonts w:ascii="Verdana" w:hAnsi="Verdana"/>
          <w:sz w:val="18"/>
          <w:szCs w:val="18"/>
        </w:rPr>
        <w:t xml:space="preserve">. </w:t>
      </w:r>
    </w:p>
    <w:p w:rsidRPr="00276931" w:rsidR="003167F8" w:rsidP="003167F8" w:rsidRDefault="003167F8" w14:paraId="5433C260" w14:textId="2A611F1D">
      <w:pPr>
        <w:rPr>
          <w:rFonts w:ascii="Verdana" w:hAnsi="Verdana"/>
          <w:sz w:val="18"/>
          <w:szCs w:val="18"/>
        </w:rPr>
      </w:pPr>
      <w:r w:rsidRPr="00276931">
        <w:rPr>
          <w:rFonts w:ascii="Verdana" w:hAnsi="Verdana"/>
          <w:sz w:val="18"/>
          <w:szCs w:val="18"/>
        </w:rPr>
        <w:t xml:space="preserve">De ontwikkelingen op het gebied van AI volgen elkaar snel op. Burgers, bedrijven en overheidsorganisaties, waaronder de Belastingdienst, krijgen er volop mee te maken. Generatieve AI-toepassingen zoals ChatGPT en Copilot worden door burgers en bedrijven ingezet om onder andere bezwaarbrieven of sollicitaties te schrijven. Ook brengen nieuwe medewerkers kennis van en ervaringen met AI met zich mee van voorgaande werkgevers. </w:t>
      </w:r>
    </w:p>
    <w:p w:rsidRPr="00276931" w:rsidR="0052615B" w:rsidP="0052615B" w:rsidRDefault="0052615B" w14:paraId="3C0B445D" w14:textId="4E0FC191">
      <w:pPr>
        <w:rPr>
          <w:rFonts w:ascii="Verdana" w:hAnsi="Verdana"/>
          <w:sz w:val="18"/>
          <w:szCs w:val="18"/>
        </w:rPr>
      </w:pPr>
      <w:r>
        <w:rPr>
          <w:rFonts w:ascii="Verdana" w:hAnsi="Verdana"/>
          <w:sz w:val="18"/>
          <w:szCs w:val="18"/>
        </w:rPr>
        <w:t xml:space="preserve">De Belastingdienst ziet kansen in het gebruik van AI. </w:t>
      </w:r>
      <w:r w:rsidRPr="00276931">
        <w:rPr>
          <w:rFonts w:ascii="Verdana" w:hAnsi="Verdana"/>
          <w:sz w:val="18"/>
          <w:szCs w:val="18"/>
        </w:rPr>
        <w:t xml:space="preserve">Tegelijkertijd realiseert de Belastingdienst </w:t>
      </w:r>
      <w:r w:rsidR="005562F6">
        <w:rPr>
          <w:rFonts w:ascii="Verdana" w:hAnsi="Verdana"/>
          <w:sz w:val="18"/>
          <w:szCs w:val="18"/>
        </w:rPr>
        <w:t>zich</w:t>
      </w:r>
      <w:r w:rsidRPr="00276931">
        <w:rPr>
          <w:rFonts w:ascii="Verdana" w:hAnsi="Verdana"/>
          <w:sz w:val="18"/>
          <w:szCs w:val="18"/>
        </w:rPr>
        <w:t xml:space="preserve"> dat er, naast de vele mogelijkheden, ook risico</w:t>
      </w:r>
      <w:r w:rsidR="00A91EAE">
        <w:rPr>
          <w:rFonts w:ascii="Verdana" w:hAnsi="Verdana"/>
          <w:sz w:val="18"/>
          <w:szCs w:val="18"/>
        </w:rPr>
        <w:t>’</w:t>
      </w:r>
      <w:r w:rsidRPr="00276931">
        <w:rPr>
          <w:rFonts w:ascii="Verdana" w:hAnsi="Verdana"/>
          <w:sz w:val="18"/>
          <w:szCs w:val="18"/>
        </w:rPr>
        <w:t xml:space="preserve">s </w:t>
      </w:r>
      <w:r>
        <w:rPr>
          <w:rFonts w:ascii="Verdana" w:hAnsi="Verdana"/>
          <w:sz w:val="18"/>
          <w:szCs w:val="18"/>
        </w:rPr>
        <w:t>aan</w:t>
      </w:r>
      <w:r w:rsidR="00A91EAE">
        <w:rPr>
          <w:rFonts w:ascii="Verdana" w:hAnsi="Verdana"/>
          <w:sz w:val="18"/>
          <w:szCs w:val="18"/>
        </w:rPr>
        <w:t xml:space="preserve"> </w:t>
      </w:r>
      <w:r w:rsidRPr="00276931">
        <w:rPr>
          <w:rFonts w:ascii="Verdana" w:hAnsi="Verdana"/>
          <w:sz w:val="18"/>
          <w:szCs w:val="18"/>
        </w:rPr>
        <w:t>zijn verbonden. Daarom heeft de Belastingdienst een aantal kernwaarden opgesteld en uitgewerkt</w:t>
      </w:r>
      <w:r>
        <w:rPr>
          <w:rFonts w:ascii="Verdana" w:hAnsi="Verdana"/>
          <w:sz w:val="18"/>
          <w:szCs w:val="18"/>
        </w:rPr>
        <w:t xml:space="preserve"> </w:t>
      </w:r>
      <w:r w:rsidRPr="00276931">
        <w:rPr>
          <w:rFonts w:ascii="Verdana" w:hAnsi="Verdana"/>
          <w:sz w:val="18"/>
          <w:szCs w:val="18"/>
        </w:rPr>
        <w:t>die als fundament dien</w:t>
      </w:r>
      <w:r>
        <w:rPr>
          <w:rFonts w:ascii="Verdana" w:hAnsi="Verdana"/>
          <w:sz w:val="18"/>
          <w:szCs w:val="18"/>
        </w:rPr>
        <w:t>en</w:t>
      </w:r>
      <w:r w:rsidRPr="00276931">
        <w:rPr>
          <w:rFonts w:ascii="Verdana" w:hAnsi="Verdana"/>
          <w:sz w:val="18"/>
          <w:szCs w:val="18"/>
        </w:rPr>
        <w:t xml:space="preserve"> voor de verantwoorde, transparante en effectieve inzet van AI.</w:t>
      </w:r>
      <w:r>
        <w:rPr>
          <w:rFonts w:ascii="Verdana" w:hAnsi="Verdana"/>
          <w:sz w:val="18"/>
          <w:szCs w:val="18"/>
        </w:rPr>
        <w:t xml:space="preserve"> Deze kernwaarden worden vanaf nu toegepast op vraagstukken met betrekking tot AI. Daarnaast </w:t>
      </w:r>
      <w:r w:rsidRPr="00276931">
        <w:rPr>
          <w:rFonts w:ascii="Verdana" w:hAnsi="Verdana"/>
          <w:sz w:val="18"/>
          <w:szCs w:val="18"/>
        </w:rPr>
        <w:t xml:space="preserve">zijn voldoende waarborgen ingericht, zodat de gegevens van burgers en bedrijven worden beschermd en besluitvorming zorgvuldig verloopt. </w:t>
      </w:r>
      <w:r>
        <w:rPr>
          <w:rFonts w:ascii="Verdana" w:hAnsi="Verdana"/>
          <w:sz w:val="18"/>
          <w:szCs w:val="18"/>
        </w:rPr>
        <w:t>Over de voortgang van de werkzaamheden op het gebied van AI zal ik u op de hoogte houden via de stand-van-zakenbrieven.</w:t>
      </w:r>
    </w:p>
    <w:p w:rsidR="007731C0" w:rsidP="007731C0" w:rsidRDefault="007731C0" w14:paraId="2F55802C" w14:textId="129AD72C">
      <w:pPr>
        <w:rPr>
          <w:rFonts w:ascii="Verdana" w:hAnsi="Verdana" w:eastAsia="Verdana" w:cs="Verdana"/>
          <w:b/>
          <w:bCs/>
          <w:sz w:val="18"/>
          <w:szCs w:val="18"/>
        </w:rPr>
      </w:pPr>
      <w:r>
        <w:rPr>
          <w:rFonts w:ascii="Verdana" w:hAnsi="Verdana" w:eastAsia="Verdana" w:cs="Verdana"/>
          <w:b/>
          <w:bCs/>
          <w:sz w:val="18"/>
          <w:szCs w:val="18"/>
        </w:rPr>
        <w:t>1</w:t>
      </w:r>
      <w:r w:rsidR="007F29E6">
        <w:rPr>
          <w:rFonts w:ascii="Verdana" w:hAnsi="Verdana" w:eastAsia="Verdana" w:cs="Verdana"/>
          <w:b/>
          <w:bCs/>
          <w:sz w:val="18"/>
          <w:szCs w:val="18"/>
        </w:rPr>
        <w:t>5</w:t>
      </w:r>
      <w:r>
        <w:rPr>
          <w:rFonts w:ascii="Verdana" w:hAnsi="Verdana" w:eastAsia="Verdana" w:cs="Verdana"/>
          <w:b/>
          <w:bCs/>
          <w:sz w:val="18"/>
          <w:szCs w:val="18"/>
        </w:rPr>
        <w:t xml:space="preserve">. </w:t>
      </w:r>
      <w:r w:rsidRPr="00680856">
        <w:rPr>
          <w:rFonts w:ascii="Verdana" w:hAnsi="Verdana" w:eastAsia="Verdana" w:cs="Verdana"/>
          <w:b/>
          <w:bCs/>
          <w:sz w:val="18"/>
          <w:szCs w:val="18"/>
        </w:rPr>
        <w:t xml:space="preserve">Adviescommissie Analytics - Generatieve AI bij de Belastingdienst </w:t>
      </w:r>
    </w:p>
    <w:p w:rsidRPr="00276931" w:rsidR="007731C0" w:rsidP="007731C0" w:rsidRDefault="007731C0" w14:paraId="7E22D439" w14:textId="31245B1E">
      <w:pPr>
        <w:rPr>
          <w:rFonts w:ascii="Verdana" w:hAnsi="Verdana" w:eastAsia="Verdana" w:cs="Verdana"/>
          <w:sz w:val="18"/>
          <w:szCs w:val="18"/>
        </w:rPr>
      </w:pPr>
      <w:r w:rsidRPr="00276931">
        <w:rPr>
          <w:rFonts w:ascii="Verdana" w:hAnsi="Verdana" w:eastAsia="Verdana" w:cs="Verdana"/>
          <w:sz w:val="18"/>
          <w:szCs w:val="18"/>
        </w:rPr>
        <w:t xml:space="preserve">De Adviescommissie Analytics adviseert het </w:t>
      </w:r>
      <w:r w:rsidR="004D543D">
        <w:rPr>
          <w:rFonts w:ascii="Verdana" w:hAnsi="Verdana" w:eastAsia="Verdana" w:cs="Verdana"/>
          <w:sz w:val="18"/>
          <w:szCs w:val="18"/>
        </w:rPr>
        <w:t>M</w:t>
      </w:r>
      <w:r w:rsidRPr="00276931">
        <w:rPr>
          <w:rFonts w:ascii="Verdana" w:hAnsi="Verdana" w:eastAsia="Verdana" w:cs="Verdana"/>
          <w:sz w:val="18"/>
          <w:szCs w:val="18"/>
        </w:rPr>
        <w:t xml:space="preserve">inisterie van Financiën over de verantwoorde omgang met data-analyse, algoritmen, risicomodellen en artificiële intelligentie. </w:t>
      </w:r>
      <w:r>
        <w:rPr>
          <w:rFonts w:ascii="Verdana" w:hAnsi="Verdana" w:eastAsia="Verdana" w:cs="Verdana"/>
          <w:sz w:val="18"/>
          <w:szCs w:val="18"/>
        </w:rPr>
        <w:t>Eerder</w:t>
      </w:r>
      <w:r>
        <w:rPr>
          <w:rStyle w:val="Voetnootmarkering"/>
          <w:rFonts w:ascii="Verdana" w:hAnsi="Verdana" w:eastAsia="Verdana" w:cs="Verdana"/>
          <w:sz w:val="18"/>
          <w:szCs w:val="18"/>
        </w:rPr>
        <w:footnoteReference w:id="33"/>
      </w:r>
      <w:r>
        <w:rPr>
          <w:rFonts w:ascii="Verdana" w:hAnsi="Verdana" w:eastAsia="Verdana" w:cs="Verdana"/>
          <w:sz w:val="18"/>
          <w:szCs w:val="18"/>
        </w:rPr>
        <w:t xml:space="preserve"> is aangegeven dat u via de stand</w:t>
      </w:r>
      <w:r w:rsidR="00BF7C6E">
        <w:rPr>
          <w:rFonts w:ascii="Verdana" w:hAnsi="Verdana" w:eastAsia="Verdana" w:cs="Verdana"/>
          <w:sz w:val="18"/>
          <w:szCs w:val="18"/>
        </w:rPr>
        <w:t>-</w:t>
      </w:r>
      <w:r>
        <w:rPr>
          <w:rFonts w:ascii="Verdana" w:hAnsi="Verdana" w:eastAsia="Verdana" w:cs="Verdana"/>
          <w:sz w:val="18"/>
          <w:szCs w:val="18"/>
        </w:rPr>
        <w:t>van</w:t>
      </w:r>
      <w:r w:rsidR="00BF7C6E">
        <w:rPr>
          <w:rFonts w:ascii="Verdana" w:hAnsi="Verdana" w:eastAsia="Verdana" w:cs="Verdana"/>
          <w:sz w:val="18"/>
          <w:szCs w:val="18"/>
        </w:rPr>
        <w:t>-</w:t>
      </w:r>
      <w:r>
        <w:rPr>
          <w:rFonts w:ascii="Verdana" w:hAnsi="Verdana" w:eastAsia="Verdana" w:cs="Verdana"/>
          <w:sz w:val="18"/>
          <w:szCs w:val="18"/>
        </w:rPr>
        <w:t>zakenbrie</w:t>
      </w:r>
      <w:r w:rsidR="00691620">
        <w:rPr>
          <w:rFonts w:ascii="Verdana" w:hAnsi="Verdana" w:eastAsia="Verdana" w:cs="Verdana"/>
          <w:sz w:val="18"/>
          <w:szCs w:val="18"/>
        </w:rPr>
        <w:t>ven</w:t>
      </w:r>
      <w:r>
        <w:rPr>
          <w:rFonts w:ascii="Verdana" w:hAnsi="Verdana" w:eastAsia="Verdana" w:cs="Verdana"/>
          <w:sz w:val="18"/>
          <w:szCs w:val="18"/>
        </w:rPr>
        <w:t xml:space="preserve"> op de hoogte wordt gehouden van deze adviezen. </w:t>
      </w:r>
      <w:r w:rsidRPr="00276931">
        <w:rPr>
          <w:rFonts w:ascii="Verdana" w:hAnsi="Verdana" w:eastAsia="Verdana" w:cs="Verdana"/>
          <w:sz w:val="18"/>
          <w:szCs w:val="18"/>
        </w:rPr>
        <w:t xml:space="preserve">Op 7 juli 2025 heeft deze commissie een advies </w:t>
      </w:r>
      <w:r w:rsidRPr="00276931" w:rsidR="00691620">
        <w:rPr>
          <w:rFonts w:ascii="Verdana" w:hAnsi="Verdana" w:eastAsia="Verdana" w:cs="Verdana"/>
          <w:sz w:val="18"/>
          <w:szCs w:val="18"/>
        </w:rPr>
        <w:t xml:space="preserve">overhandigd </w:t>
      </w:r>
      <w:r w:rsidRPr="00276931">
        <w:rPr>
          <w:rFonts w:ascii="Verdana" w:hAnsi="Verdana" w:eastAsia="Verdana" w:cs="Verdana"/>
          <w:sz w:val="18"/>
          <w:szCs w:val="18"/>
        </w:rPr>
        <w:t xml:space="preserve">over een nieuwe mogelijke AI-toepassing </w:t>
      </w:r>
      <w:r w:rsidR="00BF7C6E">
        <w:rPr>
          <w:rFonts w:ascii="Verdana" w:hAnsi="Verdana" w:eastAsia="Verdana" w:cs="Verdana"/>
          <w:sz w:val="18"/>
          <w:szCs w:val="18"/>
        </w:rPr>
        <w:t xml:space="preserve">binnen de Belastingdienst </w:t>
      </w:r>
      <w:r w:rsidRPr="007820D0">
        <w:rPr>
          <w:rFonts w:ascii="Verdana" w:hAnsi="Verdana" w:eastAsia="Verdana" w:cs="Verdana"/>
          <w:sz w:val="18"/>
          <w:szCs w:val="18"/>
        </w:rPr>
        <w:t xml:space="preserve">(zie </w:t>
      </w:r>
      <w:r w:rsidR="00A45EE0">
        <w:rPr>
          <w:rFonts w:ascii="Verdana" w:hAnsi="Verdana" w:eastAsia="Verdana" w:cs="Verdana"/>
          <w:sz w:val="18"/>
          <w:szCs w:val="18"/>
        </w:rPr>
        <w:t>bijlage</w:t>
      </w:r>
      <w:r w:rsidRPr="007820D0">
        <w:rPr>
          <w:rFonts w:ascii="Verdana" w:hAnsi="Verdana" w:eastAsia="Verdana" w:cs="Verdana"/>
          <w:sz w:val="18"/>
          <w:szCs w:val="18"/>
        </w:rPr>
        <w:t xml:space="preserve"> </w:t>
      </w:r>
      <w:r w:rsidR="00B77092">
        <w:rPr>
          <w:rFonts w:ascii="Verdana" w:hAnsi="Verdana" w:eastAsia="Verdana" w:cs="Verdana"/>
          <w:sz w:val="18"/>
          <w:szCs w:val="18"/>
        </w:rPr>
        <w:t>6</w:t>
      </w:r>
      <w:r w:rsidRPr="007820D0">
        <w:rPr>
          <w:rFonts w:ascii="Verdana" w:hAnsi="Verdana" w:eastAsia="Verdana" w:cs="Verdana"/>
          <w:sz w:val="18"/>
          <w:szCs w:val="18"/>
        </w:rPr>
        <w:t>).</w:t>
      </w:r>
      <w:r w:rsidRPr="00276931">
        <w:rPr>
          <w:rFonts w:ascii="Verdana" w:hAnsi="Verdana" w:eastAsia="Verdana" w:cs="Verdana"/>
          <w:sz w:val="18"/>
          <w:szCs w:val="18"/>
        </w:rPr>
        <w:t xml:space="preserve"> </w:t>
      </w:r>
      <w:r>
        <w:rPr>
          <w:rFonts w:ascii="Verdana" w:hAnsi="Verdana" w:eastAsia="Verdana" w:cs="Verdana"/>
          <w:sz w:val="18"/>
          <w:szCs w:val="18"/>
        </w:rPr>
        <w:t xml:space="preserve">De bestuurlijke reactie op het advies is te vinden in de </w:t>
      </w:r>
      <w:r w:rsidR="00A45EE0">
        <w:rPr>
          <w:rFonts w:ascii="Verdana" w:hAnsi="Verdana" w:eastAsia="Verdana" w:cs="Verdana"/>
          <w:sz w:val="18"/>
          <w:szCs w:val="18"/>
        </w:rPr>
        <w:t>bijlage</w:t>
      </w:r>
      <w:r>
        <w:rPr>
          <w:rFonts w:ascii="Verdana" w:hAnsi="Verdana" w:eastAsia="Verdana" w:cs="Verdana"/>
          <w:sz w:val="18"/>
          <w:szCs w:val="18"/>
        </w:rPr>
        <w:t xml:space="preserve"> van deze brief (zie </w:t>
      </w:r>
      <w:r w:rsidR="00A45EE0">
        <w:rPr>
          <w:rFonts w:ascii="Verdana" w:hAnsi="Verdana" w:eastAsia="Verdana" w:cs="Verdana"/>
          <w:sz w:val="18"/>
          <w:szCs w:val="18"/>
        </w:rPr>
        <w:t>bijlage</w:t>
      </w:r>
      <w:r>
        <w:rPr>
          <w:rFonts w:ascii="Verdana" w:hAnsi="Verdana" w:eastAsia="Verdana" w:cs="Verdana"/>
          <w:sz w:val="18"/>
          <w:szCs w:val="18"/>
        </w:rPr>
        <w:t xml:space="preserve"> </w:t>
      </w:r>
      <w:r w:rsidR="00B77092">
        <w:rPr>
          <w:rFonts w:ascii="Verdana" w:hAnsi="Verdana" w:eastAsia="Verdana" w:cs="Verdana"/>
          <w:sz w:val="18"/>
          <w:szCs w:val="18"/>
        </w:rPr>
        <w:t>7</w:t>
      </w:r>
      <w:r>
        <w:rPr>
          <w:rFonts w:ascii="Verdana" w:hAnsi="Verdana" w:eastAsia="Verdana" w:cs="Verdana"/>
          <w:sz w:val="18"/>
          <w:szCs w:val="18"/>
        </w:rPr>
        <w:t>).</w:t>
      </w:r>
    </w:p>
    <w:p w:rsidRPr="00AE0DCD" w:rsidR="007731C0" w:rsidP="003B3AFB" w:rsidRDefault="007731C0" w14:paraId="19349069" w14:textId="77777777">
      <w:pPr>
        <w:spacing w:after="0"/>
        <w:rPr>
          <w:rFonts w:ascii="Verdana" w:hAnsi="Verdana" w:eastAsia="Verdana" w:cs="Verdana"/>
          <w:sz w:val="18"/>
          <w:szCs w:val="18"/>
        </w:rPr>
      </w:pPr>
      <w:r w:rsidRPr="00AE0DCD">
        <w:rPr>
          <w:rFonts w:ascii="Verdana" w:hAnsi="Verdana" w:eastAsia="Verdana" w:cs="Verdana"/>
          <w:sz w:val="18"/>
          <w:szCs w:val="18"/>
        </w:rPr>
        <w:t>Het advies gaat over een mogelijke nieuwe toepassing van Generatieve AI (GenAI), namelijk de BelBot. Deze chatbot is uitsluitend bedoeld ter ondersteuning van medewerkers van de BelastingTelefoon en draagt op twee manieren bij aan het verder verbeteren van de dienstverlening:</w:t>
      </w:r>
    </w:p>
    <w:p w:rsidRPr="00AE0DCD" w:rsidR="007731C0" w:rsidP="003B3AFB" w:rsidRDefault="007731C0" w14:paraId="1094CFCF" w14:textId="3972AA72">
      <w:pPr>
        <w:numPr>
          <w:ilvl w:val="0"/>
          <w:numId w:val="33"/>
        </w:numPr>
        <w:spacing w:after="0"/>
        <w:ind w:left="357" w:hanging="357"/>
        <w:rPr>
          <w:rFonts w:ascii="Verdana" w:hAnsi="Verdana" w:eastAsia="Verdana" w:cs="Verdana"/>
          <w:sz w:val="18"/>
          <w:szCs w:val="18"/>
        </w:rPr>
      </w:pPr>
      <w:r w:rsidRPr="00AE0DCD">
        <w:rPr>
          <w:rFonts w:ascii="Verdana" w:hAnsi="Verdana" w:eastAsia="Verdana" w:cs="Verdana"/>
          <w:sz w:val="18"/>
          <w:szCs w:val="18"/>
        </w:rPr>
        <w:t>Met het opzoeken en klaarzetten van informatie. De Bel</w:t>
      </w:r>
      <w:r w:rsidR="006147E1">
        <w:rPr>
          <w:rFonts w:ascii="Verdana" w:hAnsi="Verdana" w:eastAsia="Verdana" w:cs="Verdana"/>
          <w:sz w:val="18"/>
          <w:szCs w:val="18"/>
        </w:rPr>
        <w:t>B</w:t>
      </w:r>
      <w:r w:rsidRPr="00AE0DCD">
        <w:rPr>
          <w:rFonts w:ascii="Verdana" w:hAnsi="Verdana" w:eastAsia="Verdana" w:cs="Verdana"/>
          <w:sz w:val="18"/>
          <w:szCs w:val="18"/>
        </w:rPr>
        <w:t>ot kan zo bijdragen aan een snellere afhandeling (reductie van de uitzoektijd), betere kwaliteit (juiste, consistente en begrijpelijke antwoorden) en een betere verantwoording (reprodu</w:t>
      </w:r>
      <w:r w:rsidRPr="00AE0DCD">
        <w:rPr>
          <w:rFonts w:ascii="Verdana" w:hAnsi="Verdana" w:eastAsia="Verdana" w:cs="Verdana"/>
          <w:sz w:val="18"/>
          <w:szCs w:val="18"/>
        </w:rPr>
        <w:softHyphen/>
        <w:t xml:space="preserve">ceerbare antwoorden met een heldere onderbouwing). </w:t>
      </w:r>
    </w:p>
    <w:p w:rsidRPr="00AE0DCD" w:rsidR="007731C0" w:rsidP="007731C0" w:rsidRDefault="007731C0" w14:paraId="37F4EC80" w14:textId="77777777">
      <w:pPr>
        <w:numPr>
          <w:ilvl w:val="0"/>
          <w:numId w:val="33"/>
        </w:numPr>
        <w:rPr>
          <w:rFonts w:ascii="Verdana" w:hAnsi="Verdana" w:eastAsia="Verdana" w:cs="Verdana"/>
          <w:sz w:val="18"/>
          <w:szCs w:val="18"/>
        </w:rPr>
      </w:pPr>
      <w:r w:rsidRPr="00AE0DCD">
        <w:rPr>
          <w:rFonts w:ascii="Verdana" w:hAnsi="Verdana" w:eastAsia="Verdana" w:cs="Verdana"/>
          <w:sz w:val="18"/>
          <w:szCs w:val="18"/>
        </w:rPr>
        <w:t>Door middel van ondersteuning voor het opleidingstraject van nieuwe medewerkers, bijvoorbeeld door bij concrete vragen aan te geven welke informatie nodig is, waar die informatie staat en hoe medewerkers tot een antwoord kunnen komen.</w:t>
      </w:r>
    </w:p>
    <w:p w:rsidRPr="00276931" w:rsidR="007731C0" w:rsidP="007731C0" w:rsidRDefault="007731C0" w14:paraId="4A21BC19" w14:textId="77777777">
      <w:pPr>
        <w:rPr>
          <w:rFonts w:ascii="Verdana" w:hAnsi="Verdana" w:eastAsia="Verdana" w:cs="Verdana"/>
          <w:sz w:val="18"/>
          <w:szCs w:val="18"/>
        </w:rPr>
      </w:pPr>
      <w:r w:rsidRPr="00276931">
        <w:rPr>
          <w:rFonts w:ascii="Verdana" w:hAnsi="Verdana" w:eastAsia="Verdana" w:cs="Verdana"/>
          <w:sz w:val="18"/>
          <w:szCs w:val="18"/>
        </w:rPr>
        <w:t>Op basis van een afgeschermd en kleinschalig experiment zijn de eerste ervaringen opgedaan met de mogelijkheden van dergelijke ondersteuning. Naar aanleiding van deze ervaringen heeft de Belastingdienst de Adviescommissie Analytics om advies gevraagd.</w:t>
      </w:r>
    </w:p>
    <w:p w:rsidR="007731C0" w:rsidP="007731C0" w:rsidRDefault="007731C0" w14:paraId="0B39DD82" w14:textId="5599AB52">
      <w:pPr>
        <w:rPr>
          <w:rFonts w:ascii="Verdana" w:hAnsi="Verdana" w:eastAsia="Verdana" w:cs="Verdana"/>
          <w:sz w:val="18"/>
          <w:szCs w:val="18"/>
        </w:rPr>
      </w:pPr>
      <w:r w:rsidRPr="00276931">
        <w:rPr>
          <w:rFonts w:ascii="Verdana" w:hAnsi="Verdana" w:eastAsia="Verdana" w:cs="Verdana"/>
          <w:sz w:val="18"/>
          <w:szCs w:val="18"/>
        </w:rPr>
        <w:t xml:space="preserve">De commissie adviseert positief over de gekozen opzet van een dergelijke interne chatbot. Het past binnen de visie </w:t>
      </w:r>
      <w:r w:rsidRPr="00276931" w:rsidR="00691620">
        <w:rPr>
          <w:rFonts w:ascii="Verdana" w:hAnsi="Verdana" w:eastAsia="Verdana" w:cs="Verdana"/>
          <w:sz w:val="18"/>
          <w:szCs w:val="18"/>
        </w:rPr>
        <w:t xml:space="preserve">op AI </w:t>
      </w:r>
      <w:r w:rsidRPr="00276931">
        <w:rPr>
          <w:rFonts w:ascii="Verdana" w:hAnsi="Verdana" w:eastAsia="Verdana" w:cs="Verdana"/>
          <w:sz w:val="18"/>
          <w:szCs w:val="18"/>
        </w:rPr>
        <w:t xml:space="preserve">die het </w:t>
      </w:r>
      <w:r w:rsidR="004D543D">
        <w:rPr>
          <w:rFonts w:ascii="Verdana" w:hAnsi="Verdana" w:eastAsia="Verdana" w:cs="Verdana"/>
          <w:sz w:val="18"/>
          <w:szCs w:val="18"/>
        </w:rPr>
        <w:t>M</w:t>
      </w:r>
      <w:r w:rsidRPr="00276931">
        <w:rPr>
          <w:rFonts w:ascii="Verdana" w:hAnsi="Verdana" w:eastAsia="Verdana" w:cs="Verdana"/>
          <w:sz w:val="18"/>
          <w:szCs w:val="18"/>
        </w:rPr>
        <w:t xml:space="preserve">inisterie van Financiën heeft. De Belastingdienst herkent zich in de voorwaarden die de commissie verbindt aan de verantwoorde inzet van </w:t>
      </w:r>
      <w:r w:rsidRPr="00276931" w:rsidR="00F4357C">
        <w:rPr>
          <w:rFonts w:ascii="Verdana" w:hAnsi="Verdana" w:eastAsia="Verdana" w:cs="Verdana"/>
          <w:sz w:val="18"/>
          <w:szCs w:val="18"/>
        </w:rPr>
        <w:t>Gen</w:t>
      </w:r>
      <w:r w:rsidRPr="00276931">
        <w:rPr>
          <w:rFonts w:ascii="Verdana" w:hAnsi="Verdana" w:eastAsia="Verdana" w:cs="Verdana"/>
          <w:sz w:val="18"/>
          <w:szCs w:val="18"/>
        </w:rPr>
        <w:t xml:space="preserve">AI bij de BelastingTelefoon. Ook geeft de commissie handvatten die de Belastingdienst gebruikt bij de </w:t>
      </w:r>
      <w:r w:rsidRPr="00276931">
        <w:rPr>
          <w:rFonts w:ascii="Verdana" w:hAnsi="Verdana" w:eastAsia="Verdana" w:cs="Verdana"/>
          <w:sz w:val="18"/>
          <w:szCs w:val="18"/>
        </w:rPr>
        <w:lastRenderedPageBreak/>
        <w:t>verdere uitwerking van deze ontwikkeling</w:t>
      </w:r>
      <w:r w:rsidR="007872BD">
        <w:rPr>
          <w:rFonts w:ascii="Verdana" w:hAnsi="Verdana" w:eastAsia="Verdana" w:cs="Verdana"/>
          <w:sz w:val="18"/>
          <w:szCs w:val="18"/>
        </w:rPr>
        <w:t xml:space="preserve">. Voor meer informatie over hoe </w:t>
      </w:r>
      <w:r w:rsidR="00691620">
        <w:rPr>
          <w:rFonts w:ascii="Verdana" w:hAnsi="Verdana" w:eastAsia="Verdana" w:cs="Verdana"/>
          <w:sz w:val="18"/>
          <w:szCs w:val="18"/>
        </w:rPr>
        <w:t xml:space="preserve">de Belastingdienst </w:t>
      </w:r>
      <w:r w:rsidR="007872BD">
        <w:rPr>
          <w:rFonts w:ascii="Verdana" w:hAnsi="Verdana" w:eastAsia="Verdana" w:cs="Verdana"/>
          <w:sz w:val="18"/>
          <w:szCs w:val="18"/>
        </w:rPr>
        <w:t xml:space="preserve">dat gaan doen verwijs ik </w:t>
      </w:r>
      <w:r w:rsidR="00691620">
        <w:rPr>
          <w:rFonts w:ascii="Verdana" w:hAnsi="Verdana" w:eastAsia="Verdana" w:cs="Verdana"/>
          <w:sz w:val="18"/>
          <w:szCs w:val="18"/>
        </w:rPr>
        <w:t xml:space="preserve">u </w:t>
      </w:r>
      <w:r w:rsidR="007872BD">
        <w:rPr>
          <w:rFonts w:ascii="Verdana" w:hAnsi="Verdana" w:eastAsia="Verdana" w:cs="Verdana"/>
          <w:sz w:val="18"/>
          <w:szCs w:val="18"/>
        </w:rPr>
        <w:t>graag naar de bestuurlijke reactie op het advies</w:t>
      </w:r>
      <w:r w:rsidR="004D543D">
        <w:rPr>
          <w:rFonts w:ascii="Verdana" w:hAnsi="Verdana" w:eastAsia="Verdana" w:cs="Verdana"/>
          <w:sz w:val="18"/>
          <w:szCs w:val="18"/>
        </w:rPr>
        <w:t xml:space="preserve"> (zie</w:t>
      </w:r>
      <w:r w:rsidR="007872BD">
        <w:rPr>
          <w:rFonts w:ascii="Verdana" w:hAnsi="Verdana" w:eastAsia="Verdana" w:cs="Verdana"/>
          <w:sz w:val="18"/>
          <w:szCs w:val="18"/>
        </w:rPr>
        <w:t xml:space="preserve"> bijlage </w:t>
      </w:r>
      <w:r w:rsidR="00B77092">
        <w:rPr>
          <w:rFonts w:ascii="Verdana" w:hAnsi="Verdana" w:eastAsia="Verdana" w:cs="Verdana"/>
          <w:sz w:val="18"/>
          <w:szCs w:val="18"/>
        </w:rPr>
        <w:t>7</w:t>
      </w:r>
      <w:r w:rsidR="004D543D">
        <w:rPr>
          <w:rFonts w:ascii="Verdana" w:hAnsi="Verdana" w:eastAsia="Verdana" w:cs="Verdana"/>
          <w:sz w:val="18"/>
          <w:szCs w:val="18"/>
        </w:rPr>
        <w:t>)</w:t>
      </w:r>
      <w:r w:rsidR="007872BD">
        <w:rPr>
          <w:rFonts w:ascii="Verdana" w:hAnsi="Verdana" w:eastAsia="Verdana" w:cs="Verdana"/>
          <w:sz w:val="18"/>
          <w:szCs w:val="18"/>
        </w:rPr>
        <w:t xml:space="preserve">. </w:t>
      </w:r>
    </w:p>
    <w:p w:rsidRPr="00A23B3D" w:rsidR="00A23B3D" w:rsidP="00A23B3D" w:rsidRDefault="00A23B3D" w14:paraId="6691D9A7" w14:textId="2400A97F">
      <w:pPr>
        <w:autoSpaceDE w:val="0"/>
        <w:autoSpaceDN w:val="0"/>
        <w:adjustRightInd w:val="0"/>
        <w:spacing w:after="0" w:line="240" w:lineRule="auto"/>
        <w:rPr>
          <w:rFonts w:ascii="Verdana" w:hAnsi="Verdana" w:eastAsia="Calibri" w:cs="Verdana"/>
          <w:b/>
          <w:bCs/>
          <w:sz w:val="18"/>
          <w:szCs w:val="18"/>
        </w:rPr>
      </w:pPr>
      <w:r w:rsidRPr="00A23B3D">
        <w:rPr>
          <w:rFonts w:ascii="Verdana" w:hAnsi="Verdana" w:eastAsia="Calibri" w:cs="Verdana"/>
          <w:b/>
          <w:bCs/>
          <w:sz w:val="18"/>
          <w:szCs w:val="18"/>
        </w:rPr>
        <w:t>1</w:t>
      </w:r>
      <w:r w:rsidR="007F29E6">
        <w:rPr>
          <w:rFonts w:ascii="Verdana" w:hAnsi="Verdana" w:eastAsia="Calibri" w:cs="Verdana"/>
          <w:b/>
          <w:bCs/>
          <w:sz w:val="18"/>
          <w:szCs w:val="18"/>
        </w:rPr>
        <w:t>6</w:t>
      </w:r>
      <w:r w:rsidRPr="00A23B3D">
        <w:rPr>
          <w:rFonts w:ascii="Verdana" w:hAnsi="Verdana" w:eastAsia="Calibri" w:cs="Verdana"/>
          <w:b/>
          <w:bCs/>
          <w:sz w:val="18"/>
          <w:szCs w:val="18"/>
        </w:rPr>
        <w:t>. Coronabelastingschulden en -betalingsregeling</w:t>
      </w:r>
    </w:p>
    <w:p w:rsidRPr="00A23B3D" w:rsidR="00A23B3D" w:rsidP="00A23B3D" w:rsidRDefault="00A23B3D" w14:paraId="0457D428" w14:textId="77777777">
      <w:pPr>
        <w:spacing w:after="0" w:line="256" w:lineRule="auto"/>
        <w:rPr>
          <w:rFonts w:ascii="Verdana" w:hAnsi="Verdana" w:eastAsia="Calibri" w:cs="Times New Roman"/>
          <w:sz w:val="18"/>
          <w:szCs w:val="18"/>
        </w:rPr>
      </w:pPr>
    </w:p>
    <w:p w:rsidRPr="00A23B3D" w:rsidR="00A23B3D" w:rsidP="00A23B3D" w:rsidRDefault="00A23B3D" w14:paraId="3872B901" w14:textId="72A137A8">
      <w:pPr>
        <w:spacing w:after="0" w:line="256" w:lineRule="auto"/>
        <w:rPr>
          <w:rFonts w:ascii="Verdana" w:hAnsi="Verdana" w:eastAsia="Calibri" w:cs="Times New Roman"/>
          <w:sz w:val="18"/>
          <w:szCs w:val="18"/>
        </w:rPr>
      </w:pPr>
      <w:r w:rsidRPr="00A23B3D">
        <w:rPr>
          <w:rFonts w:ascii="Verdana" w:hAnsi="Verdana" w:eastAsia="Calibri" w:cs="Times New Roman"/>
          <w:sz w:val="18"/>
          <w:szCs w:val="18"/>
        </w:rPr>
        <w:t>Zoals mijn ambtsvoorganger op 7 februari 2024</w:t>
      </w:r>
      <w:r w:rsidRPr="00A23B3D">
        <w:rPr>
          <w:rFonts w:ascii="Verdana" w:hAnsi="Verdana" w:eastAsia="Calibri" w:cs="Times New Roman"/>
          <w:sz w:val="18"/>
          <w:szCs w:val="18"/>
          <w:vertAlign w:val="superscript"/>
        </w:rPr>
        <w:footnoteReference w:id="34"/>
      </w:r>
      <w:r w:rsidRPr="00A23B3D">
        <w:rPr>
          <w:rFonts w:ascii="Verdana" w:hAnsi="Verdana" w:eastAsia="Calibri" w:cs="Times New Roman"/>
          <w:sz w:val="18"/>
          <w:szCs w:val="18"/>
        </w:rPr>
        <w:t xml:space="preserve"> heeft aangegeven wordt u met de stand-van-zake</w:t>
      </w:r>
      <w:r w:rsidR="005562F6">
        <w:rPr>
          <w:rFonts w:ascii="Verdana" w:hAnsi="Verdana" w:eastAsia="Calibri" w:cs="Times New Roman"/>
          <w:sz w:val="18"/>
          <w:szCs w:val="18"/>
        </w:rPr>
        <w:t>n</w:t>
      </w:r>
      <w:r w:rsidRPr="00A23B3D">
        <w:rPr>
          <w:rFonts w:ascii="Verdana" w:hAnsi="Verdana" w:eastAsia="Calibri" w:cs="Times New Roman"/>
          <w:sz w:val="18"/>
          <w:szCs w:val="18"/>
        </w:rPr>
        <w:t>brieven ook geïnformeerd over de coronabelastingschulden en – betalingsregeling.</w:t>
      </w:r>
    </w:p>
    <w:p w:rsidRPr="00A23B3D" w:rsidR="00A23B3D" w:rsidP="00A23B3D" w:rsidRDefault="00A23B3D" w14:paraId="2430373A" w14:textId="77777777">
      <w:pPr>
        <w:spacing w:after="0" w:line="256" w:lineRule="auto"/>
        <w:rPr>
          <w:rFonts w:ascii="Verdana" w:hAnsi="Verdana" w:eastAsia="Calibri" w:cs="Times New Roman"/>
          <w:sz w:val="18"/>
          <w:szCs w:val="18"/>
        </w:rPr>
      </w:pPr>
    </w:p>
    <w:p w:rsidRPr="00A23B3D" w:rsidR="00A23B3D" w:rsidP="00A23B3D" w:rsidRDefault="00A23B3D" w14:paraId="68C37A12" w14:textId="2DE11CD9">
      <w:pPr>
        <w:spacing w:after="0" w:line="256" w:lineRule="auto"/>
        <w:rPr>
          <w:rFonts w:ascii="Verdana" w:hAnsi="Verdana" w:eastAsia="Calibri" w:cs="Times New Roman"/>
          <w:sz w:val="18"/>
          <w:szCs w:val="18"/>
        </w:rPr>
      </w:pPr>
      <w:r w:rsidRPr="00A23B3D">
        <w:rPr>
          <w:rFonts w:ascii="Verdana" w:hAnsi="Verdana" w:eastAsia="Calibri" w:cs="Times New Roman"/>
          <w:sz w:val="18"/>
          <w:szCs w:val="18"/>
        </w:rPr>
        <w:t>In totaal hebben zo’n 400.000 ondernemers vanwege de coronacrisis belastinguitstel gekregen voor een bedrag van € 47,8 miljard. Voor het aflossen van de schuld is aan 266.000 ondernemers een betalingsregeling van 60 maanden aangeboden. De betalingsregeling is op 1 oktober 2022 gestart. Op peildatum 10 september 2025 resteert nog € 4,5 miljard aan coronabelastingschuld binnen de betalingsregeling voor ongeveer 106.000 ondernemers.</w:t>
      </w:r>
    </w:p>
    <w:p w:rsidRPr="00A23B3D" w:rsidR="00A23B3D" w:rsidP="00A23B3D" w:rsidRDefault="00A23B3D" w14:paraId="2E2EE1C0" w14:textId="77777777">
      <w:pPr>
        <w:spacing w:after="0" w:line="256" w:lineRule="auto"/>
        <w:rPr>
          <w:rFonts w:ascii="Verdana" w:hAnsi="Verdana" w:eastAsia="Calibri" w:cs="Times New Roman"/>
          <w:sz w:val="18"/>
          <w:szCs w:val="18"/>
        </w:rPr>
      </w:pPr>
    </w:p>
    <w:p w:rsidRPr="00A23B3D" w:rsidR="00A23B3D" w:rsidP="00A23B3D" w:rsidRDefault="00A23B3D" w14:paraId="57975B17" w14:textId="301C6B34">
      <w:pPr>
        <w:spacing w:after="0" w:line="256" w:lineRule="auto"/>
        <w:rPr>
          <w:rFonts w:ascii="Verdana" w:hAnsi="Verdana" w:eastAsia="Calibri" w:cs="Times New Roman"/>
          <w:sz w:val="18"/>
          <w:szCs w:val="18"/>
        </w:rPr>
      </w:pPr>
      <w:r w:rsidRPr="00A23B3D">
        <w:rPr>
          <w:rFonts w:ascii="Verdana" w:hAnsi="Verdana" w:eastAsia="Calibri" w:cs="Times New Roman"/>
          <w:sz w:val="18"/>
          <w:szCs w:val="18"/>
        </w:rPr>
        <w:t xml:space="preserve">In 2025 en deels in 2026 wordt aan meer dan 2.000 ondernemers alsnog een betalingsregeling van 60 maanden aangeboden (voor een bedrag van ongeveer € 48 miljoen). </w:t>
      </w:r>
      <w:bookmarkStart w:name="_Hlk209011006" w:id="17"/>
      <w:r w:rsidRPr="00A23B3D">
        <w:rPr>
          <w:rFonts w:ascii="Verdana" w:hAnsi="Verdana" w:eastAsia="Calibri" w:cs="Times New Roman"/>
          <w:sz w:val="18"/>
          <w:szCs w:val="18"/>
        </w:rPr>
        <w:t>Deze aantallen zijn nog niet verwerkt in de kerncijfers</w:t>
      </w:r>
      <w:bookmarkEnd w:id="17"/>
      <w:r w:rsidRPr="00A23B3D">
        <w:rPr>
          <w:rFonts w:ascii="Verdana" w:hAnsi="Verdana" w:eastAsia="Calibri" w:cs="Times New Roman"/>
          <w:sz w:val="18"/>
          <w:szCs w:val="18"/>
        </w:rPr>
        <w:t>. De betalingsregeling was nog niet eerder aan deze groep ondernemers aangeboden, vanwege de afhandeling van een Uitvoeringsorganisatie Herstel Toeslagen (UHT) proces of het onderzoek naar benadeling in een MSNP-traject. De betalingsregelingen zijn voor een aantal ondernemers al gestart vanaf juli 2025. De laatste regelingen starten zodra het UHT-proces of MSNP-onderzoek is afgerond.</w:t>
      </w:r>
      <w:r w:rsidRPr="00A23B3D">
        <w:rPr>
          <w:rFonts w:ascii="Verdana" w:hAnsi="Verdana" w:eastAsia="Calibri" w:cs="Times New Roman"/>
          <w:sz w:val="18"/>
          <w:szCs w:val="18"/>
        </w:rPr>
        <w:br/>
      </w:r>
    </w:p>
    <w:tbl>
      <w:tblPr>
        <w:tblW w:w="9000" w:type="dxa"/>
        <w:tblCellMar>
          <w:left w:w="70" w:type="dxa"/>
          <w:right w:w="70" w:type="dxa"/>
        </w:tblCellMar>
        <w:tblLook w:val="04A0" w:firstRow="1" w:lastRow="0" w:firstColumn="1" w:lastColumn="0" w:noHBand="0" w:noVBand="1"/>
      </w:tblPr>
      <w:tblGrid>
        <w:gridCol w:w="7780"/>
        <w:gridCol w:w="1220"/>
      </w:tblGrid>
      <w:tr w:rsidRPr="00A23B3D" w:rsidR="00A23B3D" w:rsidTr="00A23B3D" w14:paraId="6EF6BE7E" w14:textId="77777777">
        <w:trPr>
          <w:trHeight w:val="348"/>
        </w:trPr>
        <w:tc>
          <w:tcPr>
            <w:tcW w:w="7780" w:type="dxa"/>
            <w:noWrap/>
            <w:hideMark/>
          </w:tcPr>
          <w:p w:rsidRPr="00A23B3D" w:rsidR="00A23B3D" w:rsidP="00A23B3D" w:rsidRDefault="00A23B3D" w14:paraId="648E611D" w14:textId="77777777">
            <w:pPr>
              <w:spacing w:line="240" w:lineRule="auto"/>
              <w:rPr>
                <w:rFonts w:ascii="Verdana" w:hAnsi="Verdana" w:eastAsia="Times New Roman" w:cs="Calibri"/>
                <w:i/>
                <w:iCs/>
                <w:sz w:val="18"/>
                <w:szCs w:val="18"/>
              </w:rPr>
            </w:pPr>
            <w:r w:rsidRPr="00A23B3D">
              <w:rPr>
                <w:rFonts w:ascii="Verdana" w:hAnsi="Verdana" w:eastAsia="Times New Roman" w:cs="Calibri"/>
                <w:i/>
                <w:iCs/>
                <w:sz w:val="18"/>
                <w:szCs w:val="18"/>
              </w:rPr>
              <w:t>Kerncijfers coronabetalingsregeling (aantallen ondernemers en bedragen)</w:t>
            </w:r>
          </w:p>
        </w:tc>
        <w:tc>
          <w:tcPr>
            <w:tcW w:w="1220" w:type="dxa"/>
            <w:noWrap/>
            <w:vAlign w:val="bottom"/>
            <w:hideMark/>
          </w:tcPr>
          <w:p w:rsidRPr="00A23B3D" w:rsidR="00A23B3D" w:rsidP="00A23B3D" w:rsidRDefault="00A23B3D" w14:paraId="4530749F" w14:textId="77777777">
            <w:pPr>
              <w:spacing w:line="256" w:lineRule="auto"/>
              <w:rPr>
                <w:rFonts w:ascii="Verdana" w:hAnsi="Verdana" w:eastAsia="Times New Roman" w:cs="Calibri"/>
                <w:i/>
                <w:iCs/>
                <w:sz w:val="18"/>
                <w:szCs w:val="18"/>
              </w:rPr>
            </w:pPr>
          </w:p>
        </w:tc>
      </w:tr>
      <w:tr w:rsidRPr="00A23B3D" w:rsidR="00A23B3D" w:rsidTr="00A23B3D" w14:paraId="05AC9FC7" w14:textId="77777777">
        <w:trPr>
          <w:trHeight w:val="290"/>
        </w:trPr>
        <w:tc>
          <w:tcPr>
            <w:tcW w:w="7780" w:type="dxa"/>
            <w:noWrap/>
            <w:vAlign w:val="bottom"/>
            <w:hideMark/>
          </w:tcPr>
          <w:p w:rsidRPr="00A23B3D" w:rsidR="00A23B3D" w:rsidP="00A23B3D" w:rsidRDefault="00A23B3D" w14:paraId="0AF6D399" w14:textId="77777777">
            <w:pPr>
              <w:spacing w:line="240" w:lineRule="auto"/>
              <w:rPr>
                <w:rFonts w:ascii="Verdana" w:hAnsi="Verdana" w:eastAsia="Times New Roman" w:cs="Calibri"/>
                <w:b/>
                <w:bCs/>
                <w:sz w:val="18"/>
                <w:szCs w:val="18"/>
              </w:rPr>
            </w:pPr>
            <w:r w:rsidRPr="00A23B3D">
              <w:rPr>
                <w:rFonts w:ascii="Verdana" w:hAnsi="Verdana" w:eastAsia="Times New Roman" w:cs="Calibri"/>
                <w:b/>
                <w:bCs/>
                <w:sz w:val="18"/>
                <w:szCs w:val="18"/>
              </w:rPr>
              <w:t>Totalen</w:t>
            </w:r>
          </w:p>
        </w:tc>
        <w:tc>
          <w:tcPr>
            <w:tcW w:w="1220" w:type="dxa"/>
            <w:noWrap/>
            <w:vAlign w:val="bottom"/>
            <w:hideMark/>
          </w:tcPr>
          <w:p w:rsidRPr="00A23B3D" w:rsidR="00A23B3D" w:rsidP="00A23B3D" w:rsidRDefault="00A23B3D" w14:paraId="3A2056BF" w14:textId="77777777">
            <w:pPr>
              <w:spacing w:line="256" w:lineRule="auto"/>
              <w:rPr>
                <w:rFonts w:ascii="Verdana" w:hAnsi="Verdana" w:eastAsia="Times New Roman" w:cs="Calibri"/>
                <w:b/>
                <w:bCs/>
                <w:sz w:val="18"/>
                <w:szCs w:val="18"/>
              </w:rPr>
            </w:pPr>
          </w:p>
        </w:tc>
      </w:tr>
      <w:tr w:rsidRPr="00A23B3D" w:rsidR="00A23B3D" w:rsidTr="00A23B3D" w14:paraId="16321045" w14:textId="77777777">
        <w:trPr>
          <w:trHeight w:val="290"/>
        </w:trPr>
        <w:tc>
          <w:tcPr>
            <w:tcW w:w="7780" w:type="dxa"/>
            <w:noWrap/>
            <w:vAlign w:val="bottom"/>
            <w:hideMark/>
          </w:tcPr>
          <w:p w:rsidRPr="00A23B3D" w:rsidR="00A23B3D" w:rsidP="00A23B3D" w:rsidRDefault="00A23B3D" w14:paraId="4A7A4639" w14:textId="77777777">
            <w:pPr>
              <w:spacing w:line="240" w:lineRule="auto"/>
              <w:rPr>
                <w:rFonts w:ascii="Verdana" w:hAnsi="Verdana" w:eastAsia="Times New Roman" w:cs="Calibri"/>
                <w:b/>
                <w:bCs/>
                <w:i/>
                <w:iCs/>
                <w:sz w:val="18"/>
                <w:szCs w:val="18"/>
              </w:rPr>
            </w:pPr>
            <w:r w:rsidRPr="00A23B3D">
              <w:rPr>
                <w:rFonts w:ascii="Verdana" w:hAnsi="Verdana" w:eastAsia="Times New Roman" w:cs="Calibri"/>
                <w:b/>
                <w:bCs/>
                <w:i/>
                <w:iCs/>
                <w:sz w:val="18"/>
                <w:szCs w:val="18"/>
              </w:rPr>
              <w:t>Aantallen ondernemers</w:t>
            </w:r>
          </w:p>
        </w:tc>
        <w:tc>
          <w:tcPr>
            <w:tcW w:w="1220" w:type="dxa"/>
            <w:noWrap/>
            <w:vAlign w:val="bottom"/>
            <w:hideMark/>
          </w:tcPr>
          <w:p w:rsidRPr="00A23B3D" w:rsidR="00A23B3D" w:rsidP="00A23B3D" w:rsidRDefault="00A23B3D" w14:paraId="4FE4C3A2" w14:textId="77777777">
            <w:pPr>
              <w:spacing w:line="256" w:lineRule="auto"/>
              <w:rPr>
                <w:rFonts w:ascii="Verdana" w:hAnsi="Verdana" w:eastAsia="Times New Roman" w:cs="Calibri"/>
                <w:b/>
                <w:bCs/>
                <w:i/>
                <w:iCs/>
                <w:sz w:val="18"/>
                <w:szCs w:val="18"/>
              </w:rPr>
            </w:pPr>
          </w:p>
        </w:tc>
      </w:tr>
      <w:tr w:rsidRPr="00A23B3D" w:rsidR="00A23B3D" w:rsidTr="00A23B3D" w14:paraId="7B531C90" w14:textId="77777777">
        <w:trPr>
          <w:trHeight w:val="300"/>
        </w:trPr>
        <w:tc>
          <w:tcPr>
            <w:tcW w:w="7780" w:type="dxa"/>
            <w:tcBorders>
              <w:top w:val="nil"/>
              <w:left w:val="nil"/>
              <w:bottom w:val="dashed" w:color="auto" w:sz="8" w:space="0"/>
              <w:right w:val="nil"/>
            </w:tcBorders>
            <w:noWrap/>
            <w:vAlign w:val="bottom"/>
            <w:hideMark/>
          </w:tcPr>
          <w:p w:rsidRPr="00A23B3D" w:rsidR="00A23B3D" w:rsidP="00A23B3D" w:rsidRDefault="00A23B3D" w14:paraId="19A6E88E" w14:textId="77777777">
            <w:pPr>
              <w:spacing w:line="240" w:lineRule="auto"/>
              <w:rPr>
                <w:rFonts w:ascii="Verdana" w:hAnsi="Verdana" w:eastAsia="Times New Roman" w:cs="Calibri"/>
                <w:sz w:val="18"/>
                <w:szCs w:val="18"/>
              </w:rPr>
            </w:pPr>
            <w:r w:rsidRPr="00A23B3D">
              <w:rPr>
                <w:rFonts w:ascii="Verdana" w:hAnsi="Verdana" w:eastAsia="Times New Roman" w:cs="Calibri"/>
                <w:sz w:val="18"/>
                <w:szCs w:val="18"/>
              </w:rPr>
              <w:t>Totaal aantal ondernemers dat uitstel heeft aangevraagd (tot 1 april 2022)</w:t>
            </w:r>
          </w:p>
        </w:tc>
        <w:tc>
          <w:tcPr>
            <w:tcW w:w="1220" w:type="dxa"/>
            <w:tcBorders>
              <w:top w:val="nil"/>
              <w:left w:val="nil"/>
              <w:bottom w:val="dashed" w:color="auto" w:sz="8" w:space="0"/>
              <w:right w:val="nil"/>
            </w:tcBorders>
            <w:noWrap/>
            <w:vAlign w:val="bottom"/>
            <w:hideMark/>
          </w:tcPr>
          <w:p w:rsidRPr="00A23B3D" w:rsidR="00A23B3D" w:rsidP="00A23B3D" w:rsidRDefault="00A23B3D" w14:paraId="33345FFC" w14:textId="77777777">
            <w:pPr>
              <w:spacing w:line="240" w:lineRule="auto"/>
              <w:jc w:val="right"/>
              <w:rPr>
                <w:rFonts w:ascii="Verdana" w:hAnsi="Verdana" w:eastAsia="Times New Roman" w:cs="Calibri"/>
                <w:sz w:val="18"/>
                <w:szCs w:val="18"/>
              </w:rPr>
            </w:pPr>
            <w:r w:rsidRPr="00A23B3D">
              <w:rPr>
                <w:rFonts w:ascii="Verdana" w:hAnsi="Verdana" w:eastAsia="Times New Roman" w:cs="Calibri"/>
                <w:sz w:val="18"/>
                <w:szCs w:val="18"/>
              </w:rPr>
              <w:t>400.206</w:t>
            </w:r>
          </w:p>
        </w:tc>
      </w:tr>
      <w:tr w:rsidRPr="00A23B3D" w:rsidR="00A23B3D" w:rsidTr="00A23B3D" w14:paraId="5D821B10" w14:textId="77777777">
        <w:trPr>
          <w:trHeight w:val="300"/>
        </w:trPr>
        <w:tc>
          <w:tcPr>
            <w:tcW w:w="7780" w:type="dxa"/>
            <w:noWrap/>
            <w:vAlign w:val="bottom"/>
            <w:hideMark/>
          </w:tcPr>
          <w:p w:rsidRPr="00A23B3D" w:rsidR="00A23B3D" w:rsidP="00A23B3D" w:rsidRDefault="00A23B3D" w14:paraId="3E7BAE3C" w14:textId="77777777">
            <w:pPr>
              <w:spacing w:line="240" w:lineRule="auto"/>
              <w:rPr>
                <w:rFonts w:ascii="Verdana" w:hAnsi="Verdana" w:eastAsia="Times New Roman" w:cs="Calibri"/>
                <w:sz w:val="18"/>
                <w:szCs w:val="18"/>
              </w:rPr>
            </w:pPr>
            <w:r w:rsidRPr="00A23B3D">
              <w:rPr>
                <w:rFonts w:ascii="Verdana" w:hAnsi="Verdana" w:eastAsia="Times New Roman" w:cs="Calibri"/>
                <w:sz w:val="18"/>
                <w:szCs w:val="18"/>
              </w:rPr>
              <w:t>Aantal ondernemers met een betalingsregeling per 1 oktober 2022</w:t>
            </w:r>
          </w:p>
        </w:tc>
        <w:tc>
          <w:tcPr>
            <w:tcW w:w="1220" w:type="dxa"/>
            <w:noWrap/>
            <w:vAlign w:val="bottom"/>
            <w:hideMark/>
          </w:tcPr>
          <w:p w:rsidRPr="00A23B3D" w:rsidR="00A23B3D" w:rsidP="00A23B3D" w:rsidRDefault="00A23B3D" w14:paraId="29D7F942" w14:textId="77777777">
            <w:pPr>
              <w:spacing w:line="240" w:lineRule="auto"/>
              <w:jc w:val="right"/>
              <w:rPr>
                <w:rFonts w:ascii="Verdana" w:hAnsi="Verdana" w:eastAsia="Times New Roman" w:cs="Calibri"/>
                <w:sz w:val="18"/>
                <w:szCs w:val="18"/>
              </w:rPr>
            </w:pPr>
            <w:r w:rsidRPr="00A23B3D">
              <w:rPr>
                <w:rFonts w:ascii="Verdana" w:hAnsi="Verdana" w:eastAsia="Times New Roman" w:cs="Calibri"/>
                <w:sz w:val="18"/>
                <w:szCs w:val="18"/>
              </w:rPr>
              <w:t>266.369</w:t>
            </w:r>
          </w:p>
        </w:tc>
      </w:tr>
      <w:tr w:rsidRPr="00A23B3D" w:rsidR="00A23B3D" w:rsidTr="00A23B3D" w14:paraId="7A2F3167" w14:textId="77777777">
        <w:trPr>
          <w:trHeight w:val="290"/>
        </w:trPr>
        <w:tc>
          <w:tcPr>
            <w:tcW w:w="7780" w:type="dxa"/>
            <w:tcBorders>
              <w:top w:val="dashed" w:color="auto" w:sz="8" w:space="0"/>
              <w:left w:val="nil"/>
              <w:bottom w:val="nil"/>
              <w:right w:val="nil"/>
            </w:tcBorders>
            <w:noWrap/>
            <w:vAlign w:val="bottom"/>
            <w:hideMark/>
          </w:tcPr>
          <w:p w:rsidRPr="00A23B3D" w:rsidR="00A23B3D" w:rsidP="00A23B3D" w:rsidRDefault="00A23B3D" w14:paraId="63551698" w14:textId="77777777">
            <w:pPr>
              <w:spacing w:line="240" w:lineRule="auto"/>
              <w:rPr>
                <w:rFonts w:ascii="Verdana" w:hAnsi="Verdana" w:eastAsia="Times New Roman" w:cs="Calibri"/>
                <w:sz w:val="18"/>
                <w:szCs w:val="18"/>
              </w:rPr>
            </w:pPr>
            <w:r w:rsidRPr="00A23B3D">
              <w:rPr>
                <w:rFonts w:ascii="Verdana" w:hAnsi="Verdana" w:eastAsia="Times New Roman" w:cs="Calibri"/>
                <w:sz w:val="18"/>
                <w:szCs w:val="18"/>
              </w:rPr>
              <w:t>Aantal ondernemers met een betalingsregeling (peildatum 10 september 2025)</w:t>
            </w:r>
          </w:p>
        </w:tc>
        <w:tc>
          <w:tcPr>
            <w:tcW w:w="1220" w:type="dxa"/>
            <w:tcBorders>
              <w:top w:val="dashed" w:color="auto" w:sz="8" w:space="0"/>
              <w:left w:val="nil"/>
              <w:bottom w:val="nil"/>
              <w:right w:val="nil"/>
            </w:tcBorders>
            <w:noWrap/>
            <w:vAlign w:val="bottom"/>
            <w:hideMark/>
          </w:tcPr>
          <w:p w:rsidRPr="00A23B3D" w:rsidR="00A23B3D" w:rsidP="00A23B3D" w:rsidRDefault="00A23B3D" w14:paraId="5250A0A1" w14:textId="77777777">
            <w:pPr>
              <w:spacing w:line="240" w:lineRule="auto"/>
              <w:jc w:val="right"/>
              <w:rPr>
                <w:rFonts w:ascii="Verdana" w:hAnsi="Verdana" w:eastAsia="Times New Roman" w:cs="Calibri"/>
                <w:sz w:val="18"/>
                <w:szCs w:val="18"/>
              </w:rPr>
            </w:pPr>
            <w:r w:rsidRPr="00A23B3D">
              <w:rPr>
                <w:rFonts w:ascii="Verdana" w:hAnsi="Verdana" w:eastAsia="Times New Roman" w:cs="Calibri"/>
                <w:sz w:val="18"/>
                <w:szCs w:val="18"/>
              </w:rPr>
              <w:t>106.322</w:t>
            </w:r>
          </w:p>
        </w:tc>
      </w:tr>
      <w:tr w:rsidRPr="00A23B3D" w:rsidR="00A23B3D" w:rsidTr="00A23B3D" w14:paraId="20BC9D83" w14:textId="77777777">
        <w:trPr>
          <w:trHeight w:val="290"/>
        </w:trPr>
        <w:tc>
          <w:tcPr>
            <w:tcW w:w="7780" w:type="dxa"/>
            <w:noWrap/>
            <w:vAlign w:val="bottom"/>
            <w:hideMark/>
          </w:tcPr>
          <w:p w:rsidRPr="00A23B3D" w:rsidR="00A23B3D" w:rsidP="00A23B3D" w:rsidRDefault="00A23B3D" w14:paraId="7F87325A" w14:textId="77777777">
            <w:pPr>
              <w:spacing w:line="256" w:lineRule="auto"/>
              <w:rPr>
                <w:rFonts w:ascii="Verdana" w:hAnsi="Verdana" w:eastAsia="Times New Roman" w:cs="Calibri"/>
                <w:sz w:val="18"/>
                <w:szCs w:val="18"/>
              </w:rPr>
            </w:pPr>
          </w:p>
        </w:tc>
        <w:tc>
          <w:tcPr>
            <w:tcW w:w="1220" w:type="dxa"/>
            <w:noWrap/>
            <w:vAlign w:val="bottom"/>
            <w:hideMark/>
          </w:tcPr>
          <w:p w:rsidRPr="00A23B3D" w:rsidR="00A23B3D" w:rsidP="00A23B3D" w:rsidRDefault="00A23B3D" w14:paraId="00A3A34E" w14:textId="77777777">
            <w:pPr>
              <w:spacing w:after="0" w:line="256" w:lineRule="auto"/>
              <w:rPr>
                <w:rFonts w:ascii="Calibri" w:hAnsi="Calibri" w:eastAsia="Calibri" w:cs="Times New Roman"/>
                <w:sz w:val="20"/>
                <w:szCs w:val="20"/>
                <w:lang w:eastAsia="nl-NL"/>
              </w:rPr>
            </w:pPr>
          </w:p>
        </w:tc>
      </w:tr>
      <w:tr w:rsidRPr="00A23B3D" w:rsidR="00A23B3D" w:rsidTr="00A23B3D" w14:paraId="24B3453A" w14:textId="77777777">
        <w:trPr>
          <w:trHeight w:val="290"/>
        </w:trPr>
        <w:tc>
          <w:tcPr>
            <w:tcW w:w="7780" w:type="dxa"/>
            <w:noWrap/>
            <w:vAlign w:val="bottom"/>
            <w:hideMark/>
          </w:tcPr>
          <w:p w:rsidRPr="00A23B3D" w:rsidR="00A23B3D" w:rsidP="00A23B3D" w:rsidRDefault="00A23B3D" w14:paraId="7EF36A94" w14:textId="77777777">
            <w:pPr>
              <w:spacing w:line="240" w:lineRule="auto"/>
              <w:rPr>
                <w:rFonts w:ascii="Verdana" w:hAnsi="Verdana" w:eastAsia="Times New Roman" w:cs="Calibri"/>
                <w:b/>
                <w:bCs/>
                <w:i/>
                <w:iCs/>
                <w:sz w:val="18"/>
                <w:szCs w:val="18"/>
              </w:rPr>
            </w:pPr>
            <w:r w:rsidRPr="00A23B3D">
              <w:rPr>
                <w:rFonts w:ascii="Verdana" w:hAnsi="Verdana" w:eastAsia="Times New Roman" w:cs="Calibri"/>
                <w:b/>
                <w:bCs/>
                <w:i/>
                <w:iCs/>
                <w:sz w:val="18"/>
                <w:szCs w:val="18"/>
              </w:rPr>
              <w:t>Bedragen</w:t>
            </w:r>
          </w:p>
        </w:tc>
        <w:tc>
          <w:tcPr>
            <w:tcW w:w="1220" w:type="dxa"/>
            <w:noWrap/>
            <w:vAlign w:val="bottom"/>
            <w:hideMark/>
          </w:tcPr>
          <w:p w:rsidRPr="00A23B3D" w:rsidR="00A23B3D" w:rsidP="00A23B3D" w:rsidRDefault="00A23B3D" w14:paraId="5B4C99C0" w14:textId="77777777">
            <w:pPr>
              <w:spacing w:line="256" w:lineRule="auto"/>
              <w:rPr>
                <w:rFonts w:ascii="Verdana" w:hAnsi="Verdana" w:eastAsia="Times New Roman" w:cs="Calibri"/>
                <w:b/>
                <w:bCs/>
                <w:i/>
                <w:iCs/>
                <w:sz w:val="18"/>
                <w:szCs w:val="18"/>
              </w:rPr>
            </w:pPr>
          </w:p>
        </w:tc>
      </w:tr>
      <w:tr w:rsidRPr="00A23B3D" w:rsidR="00A23B3D" w:rsidTr="00A23B3D" w14:paraId="5765C790" w14:textId="77777777">
        <w:trPr>
          <w:trHeight w:val="300"/>
        </w:trPr>
        <w:tc>
          <w:tcPr>
            <w:tcW w:w="7780" w:type="dxa"/>
            <w:tcBorders>
              <w:top w:val="nil"/>
              <w:left w:val="nil"/>
              <w:bottom w:val="dashed" w:color="auto" w:sz="8" w:space="0"/>
              <w:right w:val="nil"/>
            </w:tcBorders>
            <w:noWrap/>
            <w:vAlign w:val="bottom"/>
            <w:hideMark/>
          </w:tcPr>
          <w:p w:rsidRPr="00A23B3D" w:rsidR="00A23B3D" w:rsidP="00A23B3D" w:rsidRDefault="00A23B3D" w14:paraId="0C7379D2" w14:textId="77777777">
            <w:pPr>
              <w:spacing w:line="240" w:lineRule="auto"/>
              <w:rPr>
                <w:rFonts w:ascii="Verdana" w:hAnsi="Verdana" w:eastAsia="Times New Roman" w:cs="Calibri"/>
                <w:sz w:val="18"/>
                <w:szCs w:val="18"/>
              </w:rPr>
            </w:pPr>
            <w:r w:rsidRPr="00A23B3D">
              <w:rPr>
                <w:rFonts w:ascii="Verdana" w:hAnsi="Verdana" w:eastAsia="Times New Roman" w:cs="Calibri"/>
                <w:sz w:val="18"/>
                <w:szCs w:val="18"/>
              </w:rPr>
              <w:t>Totaal oorspronkelijk bedrag van aanslagen waarvoor uitstel is verleend</w:t>
            </w:r>
          </w:p>
        </w:tc>
        <w:tc>
          <w:tcPr>
            <w:tcW w:w="1220" w:type="dxa"/>
            <w:tcBorders>
              <w:top w:val="nil"/>
              <w:left w:val="nil"/>
              <w:bottom w:val="dashed" w:color="auto" w:sz="8" w:space="0"/>
              <w:right w:val="nil"/>
            </w:tcBorders>
            <w:noWrap/>
            <w:vAlign w:val="bottom"/>
            <w:hideMark/>
          </w:tcPr>
          <w:p w:rsidRPr="00A23B3D" w:rsidR="00A23B3D" w:rsidP="00A23B3D" w:rsidRDefault="00A23B3D" w14:paraId="45152629" w14:textId="77777777">
            <w:pPr>
              <w:spacing w:line="240" w:lineRule="auto"/>
              <w:jc w:val="right"/>
              <w:rPr>
                <w:rFonts w:ascii="Verdana" w:hAnsi="Verdana" w:eastAsia="Times New Roman" w:cs="Calibri"/>
                <w:sz w:val="18"/>
                <w:szCs w:val="18"/>
              </w:rPr>
            </w:pPr>
            <w:r w:rsidRPr="00A23B3D">
              <w:rPr>
                <w:rFonts w:ascii="Verdana" w:hAnsi="Verdana" w:eastAsia="Times New Roman" w:cs="Calibri"/>
                <w:sz w:val="18"/>
                <w:szCs w:val="18"/>
              </w:rPr>
              <w:t xml:space="preserve">€ 47,8 mrd. </w:t>
            </w:r>
          </w:p>
        </w:tc>
      </w:tr>
      <w:tr w:rsidRPr="00A23B3D" w:rsidR="00A23B3D" w:rsidTr="00A23B3D" w14:paraId="3E7F7D48" w14:textId="77777777">
        <w:trPr>
          <w:trHeight w:val="300"/>
        </w:trPr>
        <w:tc>
          <w:tcPr>
            <w:tcW w:w="7780" w:type="dxa"/>
            <w:tcBorders>
              <w:top w:val="nil"/>
              <w:left w:val="nil"/>
              <w:bottom w:val="dashed" w:color="auto" w:sz="8" w:space="0"/>
              <w:right w:val="nil"/>
            </w:tcBorders>
            <w:noWrap/>
            <w:vAlign w:val="bottom"/>
            <w:hideMark/>
          </w:tcPr>
          <w:p w:rsidRPr="00A23B3D" w:rsidR="00A23B3D" w:rsidP="00A23B3D" w:rsidRDefault="00A23B3D" w14:paraId="76A5C2E4" w14:textId="77777777">
            <w:pPr>
              <w:spacing w:line="240" w:lineRule="auto"/>
              <w:rPr>
                <w:rFonts w:ascii="Verdana" w:hAnsi="Verdana" w:eastAsia="Times New Roman" w:cs="Calibri"/>
                <w:sz w:val="18"/>
                <w:szCs w:val="18"/>
              </w:rPr>
            </w:pPr>
            <w:r w:rsidRPr="00A23B3D">
              <w:rPr>
                <w:rFonts w:ascii="Verdana" w:hAnsi="Verdana" w:eastAsia="Times New Roman" w:cs="Calibri"/>
                <w:sz w:val="18"/>
                <w:szCs w:val="18"/>
              </w:rPr>
              <w:t>Openstaande belastingschuld bij start betalingsregeling per 1 oktober 2022</w:t>
            </w:r>
          </w:p>
        </w:tc>
        <w:tc>
          <w:tcPr>
            <w:tcW w:w="1220" w:type="dxa"/>
            <w:tcBorders>
              <w:top w:val="nil"/>
              <w:left w:val="nil"/>
              <w:bottom w:val="dashed" w:color="auto" w:sz="8" w:space="0"/>
              <w:right w:val="nil"/>
            </w:tcBorders>
            <w:noWrap/>
            <w:vAlign w:val="bottom"/>
            <w:hideMark/>
          </w:tcPr>
          <w:p w:rsidRPr="00A23B3D" w:rsidR="00A23B3D" w:rsidP="00A23B3D" w:rsidRDefault="00A23B3D" w14:paraId="50328E07" w14:textId="77777777">
            <w:pPr>
              <w:spacing w:line="240" w:lineRule="auto"/>
              <w:jc w:val="right"/>
              <w:rPr>
                <w:rFonts w:ascii="Verdana" w:hAnsi="Verdana" w:eastAsia="Times New Roman" w:cs="Calibri"/>
                <w:sz w:val="18"/>
                <w:szCs w:val="18"/>
              </w:rPr>
            </w:pPr>
            <w:r w:rsidRPr="00A23B3D">
              <w:rPr>
                <w:rFonts w:ascii="Verdana" w:hAnsi="Verdana" w:eastAsia="Times New Roman" w:cs="Calibri"/>
                <w:sz w:val="18"/>
                <w:szCs w:val="18"/>
              </w:rPr>
              <w:t xml:space="preserve">€ 19,6 mrd. </w:t>
            </w:r>
          </w:p>
        </w:tc>
      </w:tr>
      <w:tr w:rsidRPr="00A23B3D" w:rsidR="00A23B3D" w:rsidTr="00A23B3D" w14:paraId="6C30FBF2" w14:textId="77777777">
        <w:trPr>
          <w:trHeight w:val="290"/>
        </w:trPr>
        <w:tc>
          <w:tcPr>
            <w:tcW w:w="7780" w:type="dxa"/>
            <w:noWrap/>
            <w:vAlign w:val="bottom"/>
            <w:hideMark/>
          </w:tcPr>
          <w:p w:rsidRPr="00A23B3D" w:rsidR="00A23B3D" w:rsidP="00A23B3D" w:rsidRDefault="00A23B3D" w14:paraId="3BF60BB9" w14:textId="77777777">
            <w:pPr>
              <w:spacing w:line="240" w:lineRule="auto"/>
              <w:rPr>
                <w:rFonts w:ascii="Verdana" w:hAnsi="Verdana" w:eastAsia="Times New Roman" w:cs="Calibri"/>
                <w:sz w:val="18"/>
                <w:szCs w:val="18"/>
              </w:rPr>
            </w:pPr>
            <w:r w:rsidRPr="00A23B3D">
              <w:rPr>
                <w:rFonts w:ascii="Verdana" w:hAnsi="Verdana" w:eastAsia="Times New Roman" w:cs="Calibri"/>
                <w:sz w:val="18"/>
                <w:szCs w:val="18"/>
              </w:rPr>
              <w:t>Openstaande belastingschuld in de betalingsregeling (peildatum 10 sept. 2025)</w:t>
            </w:r>
          </w:p>
        </w:tc>
        <w:tc>
          <w:tcPr>
            <w:tcW w:w="1220" w:type="dxa"/>
            <w:noWrap/>
            <w:vAlign w:val="bottom"/>
            <w:hideMark/>
          </w:tcPr>
          <w:p w:rsidRPr="00A23B3D" w:rsidR="00A23B3D" w:rsidP="00A23B3D" w:rsidRDefault="00A23B3D" w14:paraId="692C8681" w14:textId="77777777">
            <w:pPr>
              <w:spacing w:line="240" w:lineRule="auto"/>
              <w:jc w:val="right"/>
              <w:rPr>
                <w:rFonts w:ascii="Verdana" w:hAnsi="Verdana" w:eastAsia="Times New Roman" w:cs="Calibri"/>
                <w:sz w:val="18"/>
                <w:szCs w:val="18"/>
              </w:rPr>
            </w:pPr>
            <w:r w:rsidRPr="00A23B3D">
              <w:rPr>
                <w:rFonts w:ascii="Verdana" w:hAnsi="Verdana" w:eastAsia="Times New Roman" w:cs="Calibri"/>
                <w:sz w:val="18"/>
                <w:szCs w:val="18"/>
              </w:rPr>
              <w:t>€ 4,5 mrd.</w:t>
            </w:r>
          </w:p>
        </w:tc>
      </w:tr>
    </w:tbl>
    <w:p w:rsidRPr="00A23B3D" w:rsidR="00A23B3D" w:rsidP="00A23B3D" w:rsidRDefault="00A23B3D" w14:paraId="2E3E6123" w14:textId="77777777">
      <w:pPr>
        <w:spacing w:after="0" w:line="256" w:lineRule="auto"/>
        <w:rPr>
          <w:rFonts w:ascii="Verdana" w:hAnsi="Verdana" w:eastAsia="Calibri" w:cs="Times New Roman"/>
          <w:sz w:val="18"/>
          <w:szCs w:val="18"/>
        </w:rPr>
      </w:pPr>
    </w:p>
    <w:p w:rsidRPr="00A23B3D" w:rsidR="00A23B3D" w:rsidP="00A23B3D" w:rsidRDefault="00A23B3D" w14:paraId="2A2136AF" w14:textId="77777777">
      <w:pPr>
        <w:spacing w:after="0" w:line="256" w:lineRule="auto"/>
        <w:rPr>
          <w:rFonts w:ascii="Verdana" w:hAnsi="Verdana" w:eastAsia="Calibri" w:cs="Times New Roman"/>
          <w:sz w:val="18"/>
          <w:szCs w:val="18"/>
        </w:rPr>
      </w:pPr>
      <w:r w:rsidRPr="00A23B3D">
        <w:rPr>
          <w:rFonts w:ascii="Verdana" w:hAnsi="Verdana" w:eastAsia="Calibri" w:cs="Times New Roman"/>
          <w:sz w:val="18"/>
          <w:szCs w:val="18"/>
        </w:rPr>
        <w:t xml:space="preserve">Er zijn bijna 70.000 ondernemers van wie de betalingsregeling inmiddels is ingetrokken. Daarnaast zijn er ongeveer 16.000 regelingen voortijdig beëindigd wegens faillissement of sanering. Deze ondernemers hadden een openstaande coronabelastingschuld van in totaal € 4,9 miljard op het moment dat de regeling werd ingetrokken. Op dit bedrag is alsnog ongeveer € 686 miljoen betaald. Daarnaast is een gedeelte van het bedrag oninbaar geleden en is </w:t>
      </w:r>
      <w:r w:rsidR="005562F6">
        <w:rPr>
          <w:rFonts w:ascii="Verdana" w:hAnsi="Verdana" w:eastAsia="Calibri" w:cs="Times New Roman"/>
          <w:sz w:val="18"/>
          <w:szCs w:val="18"/>
        </w:rPr>
        <w:t xml:space="preserve">de </w:t>
      </w:r>
      <w:r w:rsidRPr="00A23B3D">
        <w:rPr>
          <w:rFonts w:ascii="Verdana" w:hAnsi="Verdana" w:eastAsia="Calibri" w:cs="Times New Roman"/>
          <w:sz w:val="18"/>
          <w:szCs w:val="18"/>
        </w:rPr>
        <w:t xml:space="preserve">schuld verminderd. </w:t>
      </w:r>
    </w:p>
    <w:p w:rsidRPr="00A23B3D" w:rsidR="00A23B3D" w:rsidP="00A23B3D" w:rsidRDefault="00A23B3D" w14:paraId="573BAF8A" w14:textId="77777777">
      <w:pPr>
        <w:spacing w:after="0" w:line="256" w:lineRule="auto"/>
        <w:rPr>
          <w:rFonts w:ascii="Verdana" w:hAnsi="Verdana" w:eastAsia="Calibri" w:cs="Times New Roman"/>
          <w:sz w:val="18"/>
          <w:szCs w:val="18"/>
        </w:rPr>
      </w:pPr>
    </w:p>
    <w:p w:rsidRPr="00A23B3D" w:rsidR="00A23B3D" w:rsidP="00A23B3D" w:rsidRDefault="00A23B3D" w14:paraId="27CA246A" w14:textId="77777777">
      <w:pPr>
        <w:spacing w:after="0" w:line="256" w:lineRule="auto"/>
        <w:rPr>
          <w:rFonts w:ascii="Verdana" w:hAnsi="Verdana" w:eastAsia="Calibri" w:cs="Times New Roman"/>
          <w:sz w:val="18"/>
          <w:szCs w:val="18"/>
        </w:rPr>
      </w:pPr>
      <w:r w:rsidRPr="00A23B3D">
        <w:rPr>
          <w:rFonts w:ascii="Verdana" w:hAnsi="Verdana" w:eastAsia="Calibri" w:cs="Times New Roman"/>
          <w:sz w:val="18"/>
          <w:szCs w:val="18"/>
        </w:rPr>
        <w:t xml:space="preserve">De tot peildatum 10 september 2025 daadwerkelijk oninbaar geleden schuld bedraagt € 968 miljoen na slotuitkering bij faillissement, saneringsakkoord of door ontbrekende verhaalsmogelijkheden. De raming voor het daadwerkelijk oninbare deel van de coronaschuld (inclusief de schuld waarvoor de betalingsregeling is ingetrokken) is onveranderd gebleven op </w:t>
      </w:r>
      <w:r w:rsidR="005562F6">
        <w:rPr>
          <w:rFonts w:ascii="Verdana" w:hAnsi="Verdana" w:eastAsia="Calibri" w:cs="Times New Roman"/>
          <w:sz w:val="18"/>
          <w:szCs w:val="18"/>
        </w:rPr>
        <w:br/>
      </w:r>
      <w:r w:rsidRPr="00A23B3D">
        <w:rPr>
          <w:rFonts w:ascii="Verdana" w:hAnsi="Verdana" w:eastAsia="Calibri" w:cs="Times New Roman"/>
          <w:sz w:val="18"/>
          <w:szCs w:val="18"/>
        </w:rPr>
        <w:t xml:space="preserve">€ 3,5 miljard. De raming is onzeker, doordat onduidelijk is hoeveel van de schuld nog wordt afgelost als de betalingsregeling is ingetrokken. In onderstaande tabel zijn deze cijfers voor de duidelijkheid schematisch weergegeven. </w:t>
      </w:r>
    </w:p>
    <w:p w:rsidRPr="00A23B3D" w:rsidR="00A23B3D" w:rsidP="00A23B3D" w:rsidRDefault="00A23B3D" w14:paraId="10E3C3D6" w14:textId="77777777">
      <w:pPr>
        <w:spacing w:after="0" w:line="256" w:lineRule="auto"/>
        <w:rPr>
          <w:rFonts w:ascii="Verdana" w:hAnsi="Verdana" w:eastAsia="Calibri" w:cs="Times New Roman"/>
          <w:sz w:val="18"/>
          <w:szCs w:val="18"/>
        </w:rPr>
      </w:pPr>
    </w:p>
    <w:tbl>
      <w:tblPr>
        <w:tblW w:w="9705" w:type="dxa"/>
        <w:tblCellSpacing w:w="20" w:type="dxa"/>
        <w:tblLayout w:type="fixed"/>
        <w:tblCellMar>
          <w:left w:w="70" w:type="dxa"/>
          <w:right w:w="70" w:type="dxa"/>
        </w:tblCellMar>
        <w:tblLook w:val="04A0" w:firstRow="1" w:lastRow="0" w:firstColumn="1" w:lastColumn="0" w:noHBand="0" w:noVBand="1"/>
      </w:tblPr>
      <w:tblGrid>
        <w:gridCol w:w="3178"/>
        <w:gridCol w:w="2269"/>
        <w:gridCol w:w="2420"/>
        <w:gridCol w:w="1838"/>
      </w:tblGrid>
      <w:tr w:rsidRPr="00A23B3D" w:rsidR="00A23B3D" w:rsidTr="00A23B3D" w14:paraId="480D8E06" w14:textId="77777777">
        <w:trPr>
          <w:trHeight w:val="299"/>
          <w:tblCellSpacing w:w="20" w:type="dxa"/>
        </w:trPr>
        <w:tc>
          <w:tcPr>
            <w:tcW w:w="3118" w:type="dxa"/>
            <w:tcBorders>
              <w:top w:val="nil"/>
              <w:left w:val="nil"/>
              <w:bottom w:val="dashSmallGap" w:color="auto" w:sz="12" w:space="0"/>
              <w:right w:val="nil"/>
            </w:tcBorders>
            <w:hideMark/>
          </w:tcPr>
          <w:p w:rsidRPr="00A23B3D" w:rsidR="00A23B3D" w:rsidP="00A23B3D" w:rsidRDefault="00A23B3D" w14:paraId="0CDCAD9B" w14:textId="77777777">
            <w:pPr>
              <w:autoSpaceDE w:val="0"/>
              <w:adjustRightInd w:val="0"/>
              <w:spacing w:line="240" w:lineRule="auto"/>
              <w:rPr>
                <w:rFonts w:ascii="Verdana" w:hAnsi="Verdana" w:eastAsia="Calibri" w:cs="Calibri"/>
                <w:b/>
                <w:bCs/>
                <w:i/>
                <w:iCs/>
                <w:sz w:val="18"/>
                <w:szCs w:val="18"/>
              </w:rPr>
            </w:pPr>
            <w:r w:rsidRPr="00A23B3D">
              <w:rPr>
                <w:rFonts w:ascii="Verdana" w:hAnsi="Verdana" w:eastAsia="Calibri" w:cs="Calibri"/>
                <w:b/>
                <w:bCs/>
                <w:i/>
                <w:iCs/>
                <w:sz w:val="18"/>
                <w:szCs w:val="18"/>
              </w:rPr>
              <w:lastRenderedPageBreak/>
              <w:t>Aflossingsgedrag</w:t>
            </w:r>
            <w:r w:rsidRPr="00A23B3D">
              <w:rPr>
                <w:rFonts w:ascii="Verdana" w:hAnsi="Verdana" w:eastAsia="Calibri" w:cs="Calibri"/>
                <w:b/>
                <w:bCs/>
                <w:i/>
                <w:iCs/>
                <w:sz w:val="18"/>
                <w:szCs w:val="18"/>
                <w:vertAlign w:val="superscript"/>
              </w:rPr>
              <w:footnoteReference w:id="35"/>
            </w:r>
          </w:p>
        </w:tc>
        <w:tc>
          <w:tcPr>
            <w:tcW w:w="2230" w:type="dxa"/>
            <w:tcBorders>
              <w:top w:val="nil"/>
              <w:left w:val="nil"/>
              <w:bottom w:val="dashSmallGap" w:color="auto" w:sz="12" w:space="0"/>
              <w:right w:val="nil"/>
            </w:tcBorders>
            <w:hideMark/>
          </w:tcPr>
          <w:p w:rsidRPr="00A23B3D" w:rsidR="00A23B3D" w:rsidP="00A23B3D" w:rsidRDefault="00A23B3D" w14:paraId="08FCC404" w14:textId="77777777">
            <w:pPr>
              <w:autoSpaceDE w:val="0"/>
              <w:adjustRightInd w:val="0"/>
              <w:spacing w:line="240" w:lineRule="auto"/>
              <w:jc w:val="right"/>
              <w:rPr>
                <w:rFonts w:ascii="Verdana" w:hAnsi="Verdana" w:eastAsia="Calibri" w:cs="Calibri"/>
                <w:b/>
                <w:bCs/>
                <w:i/>
                <w:iCs/>
                <w:sz w:val="18"/>
                <w:szCs w:val="18"/>
              </w:rPr>
            </w:pPr>
            <w:r w:rsidRPr="00A23B3D">
              <w:rPr>
                <w:rFonts w:ascii="Verdana" w:hAnsi="Verdana" w:eastAsia="Calibri" w:cs="Calibri"/>
                <w:b/>
                <w:bCs/>
                <w:i/>
                <w:iCs/>
                <w:sz w:val="18"/>
                <w:szCs w:val="18"/>
              </w:rPr>
              <w:t>Peildatum</w:t>
            </w:r>
          </w:p>
        </w:tc>
        <w:tc>
          <w:tcPr>
            <w:tcW w:w="2381" w:type="dxa"/>
            <w:tcBorders>
              <w:top w:val="nil"/>
              <w:left w:val="nil"/>
              <w:bottom w:val="dashSmallGap" w:color="auto" w:sz="12" w:space="0"/>
              <w:right w:val="nil"/>
            </w:tcBorders>
            <w:hideMark/>
          </w:tcPr>
          <w:p w:rsidRPr="00A23B3D" w:rsidR="00A23B3D" w:rsidP="00A23B3D" w:rsidRDefault="00A23B3D" w14:paraId="63F88379" w14:textId="77777777">
            <w:pPr>
              <w:autoSpaceDE w:val="0"/>
              <w:adjustRightInd w:val="0"/>
              <w:spacing w:line="240" w:lineRule="auto"/>
              <w:jc w:val="right"/>
              <w:rPr>
                <w:rFonts w:ascii="Verdana" w:hAnsi="Verdana" w:eastAsia="Calibri" w:cs="Calibri"/>
                <w:b/>
                <w:bCs/>
                <w:i/>
                <w:iCs/>
                <w:sz w:val="18"/>
                <w:szCs w:val="18"/>
              </w:rPr>
            </w:pPr>
            <w:r w:rsidRPr="00A23B3D">
              <w:rPr>
                <w:rFonts w:ascii="Verdana" w:hAnsi="Verdana" w:eastAsia="Calibri" w:cs="Calibri"/>
                <w:b/>
                <w:bCs/>
                <w:i/>
                <w:iCs/>
                <w:sz w:val="18"/>
                <w:szCs w:val="18"/>
              </w:rPr>
              <w:t>Aantal ondernemers</w:t>
            </w:r>
          </w:p>
        </w:tc>
        <w:tc>
          <w:tcPr>
            <w:tcW w:w="1779" w:type="dxa"/>
            <w:tcBorders>
              <w:top w:val="nil"/>
              <w:left w:val="nil"/>
              <w:bottom w:val="dashSmallGap" w:color="auto" w:sz="12" w:space="0"/>
              <w:right w:val="nil"/>
            </w:tcBorders>
            <w:hideMark/>
          </w:tcPr>
          <w:p w:rsidRPr="00A23B3D" w:rsidR="00A23B3D" w:rsidP="00A23B3D" w:rsidRDefault="00A23B3D" w14:paraId="4FD8B7BC" w14:textId="77777777">
            <w:pPr>
              <w:autoSpaceDE w:val="0"/>
              <w:adjustRightInd w:val="0"/>
              <w:spacing w:line="240" w:lineRule="auto"/>
              <w:jc w:val="right"/>
              <w:rPr>
                <w:rFonts w:ascii="Verdana" w:hAnsi="Verdana" w:eastAsia="Calibri" w:cs="Calibri"/>
                <w:b/>
                <w:bCs/>
                <w:i/>
                <w:iCs/>
                <w:sz w:val="18"/>
                <w:szCs w:val="18"/>
              </w:rPr>
            </w:pPr>
            <w:r w:rsidRPr="00A23B3D">
              <w:rPr>
                <w:rFonts w:ascii="Verdana" w:hAnsi="Verdana" w:eastAsia="Calibri" w:cs="Calibri"/>
                <w:b/>
                <w:bCs/>
                <w:i/>
                <w:iCs/>
                <w:sz w:val="18"/>
                <w:szCs w:val="18"/>
              </w:rPr>
              <w:t>Openstaande schuld</w:t>
            </w:r>
          </w:p>
        </w:tc>
      </w:tr>
      <w:tr w:rsidRPr="00A23B3D" w:rsidR="00A23B3D" w:rsidTr="00A23B3D" w14:paraId="4A3138AF" w14:textId="77777777">
        <w:trPr>
          <w:trHeight w:val="311"/>
          <w:tblCellSpacing w:w="20" w:type="dxa"/>
        </w:trPr>
        <w:tc>
          <w:tcPr>
            <w:tcW w:w="3118" w:type="dxa"/>
            <w:tcBorders>
              <w:top w:val="nil"/>
              <w:left w:val="nil"/>
              <w:bottom w:val="dashSmallGap" w:color="auto" w:sz="12" w:space="0"/>
              <w:right w:val="nil"/>
            </w:tcBorders>
            <w:hideMark/>
          </w:tcPr>
          <w:p w:rsidRPr="00A23B3D" w:rsidR="00A23B3D" w:rsidP="00A23B3D" w:rsidRDefault="00A23B3D" w14:paraId="4B0E5724" w14:textId="77777777">
            <w:pPr>
              <w:autoSpaceDE w:val="0"/>
              <w:adjustRightInd w:val="0"/>
              <w:spacing w:line="240" w:lineRule="auto"/>
              <w:rPr>
                <w:rFonts w:ascii="Verdana" w:hAnsi="Verdana" w:eastAsia="Calibri" w:cs="Calibri"/>
                <w:b/>
                <w:bCs/>
                <w:sz w:val="18"/>
                <w:szCs w:val="18"/>
              </w:rPr>
            </w:pPr>
            <w:r w:rsidRPr="00A23B3D">
              <w:rPr>
                <w:rFonts w:ascii="Verdana" w:hAnsi="Verdana" w:eastAsia="Calibri" w:cs="Calibri"/>
                <w:b/>
                <w:bCs/>
                <w:sz w:val="18"/>
                <w:szCs w:val="18"/>
              </w:rPr>
              <w:t xml:space="preserve">Totaal </w:t>
            </w:r>
          </w:p>
        </w:tc>
        <w:tc>
          <w:tcPr>
            <w:tcW w:w="2230" w:type="dxa"/>
            <w:tcBorders>
              <w:top w:val="nil"/>
              <w:left w:val="nil"/>
              <w:bottom w:val="dashSmallGap" w:color="auto" w:sz="12" w:space="0"/>
              <w:right w:val="nil"/>
            </w:tcBorders>
            <w:hideMark/>
          </w:tcPr>
          <w:p w:rsidRPr="00A23B3D" w:rsidR="00A23B3D" w:rsidP="00A23B3D" w:rsidRDefault="00A23B3D" w14:paraId="0031ED8D" w14:textId="77777777">
            <w:pPr>
              <w:autoSpaceDE w:val="0"/>
              <w:adjustRightInd w:val="0"/>
              <w:spacing w:line="240" w:lineRule="auto"/>
              <w:jc w:val="right"/>
              <w:rPr>
                <w:rFonts w:ascii="Verdana" w:hAnsi="Verdana" w:eastAsia="Calibri" w:cs="Calibri"/>
                <w:b/>
                <w:bCs/>
                <w:sz w:val="18"/>
                <w:szCs w:val="18"/>
              </w:rPr>
            </w:pPr>
            <w:r w:rsidRPr="00A23B3D">
              <w:rPr>
                <w:rFonts w:ascii="Verdana" w:hAnsi="Verdana" w:eastAsia="Calibri" w:cs="Calibri"/>
                <w:b/>
                <w:bCs/>
                <w:sz w:val="18"/>
                <w:szCs w:val="18"/>
              </w:rPr>
              <w:t xml:space="preserve">1 oktober 2022 </w:t>
            </w:r>
          </w:p>
        </w:tc>
        <w:tc>
          <w:tcPr>
            <w:tcW w:w="2381" w:type="dxa"/>
            <w:tcBorders>
              <w:top w:val="nil"/>
              <w:left w:val="nil"/>
              <w:bottom w:val="dashSmallGap" w:color="auto" w:sz="12" w:space="0"/>
              <w:right w:val="nil"/>
            </w:tcBorders>
            <w:hideMark/>
          </w:tcPr>
          <w:p w:rsidRPr="00A23B3D" w:rsidR="00A23B3D" w:rsidP="00A23B3D" w:rsidRDefault="00A23B3D" w14:paraId="1672FC2A" w14:textId="77777777">
            <w:pPr>
              <w:autoSpaceDE w:val="0"/>
              <w:adjustRightInd w:val="0"/>
              <w:spacing w:line="240" w:lineRule="auto"/>
              <w:jc w:val="right"/>
              <w:rPr>
                <w:rFonts w:ascii="Verdana" w:hAnsi="Verdana" w:eastAsia="Calibri" w:cs="Calibri"/>
                <w:b/>
                <w:bCs/>
                <w:sz w:val="18"/>
                <w:szCs w:val="18"/>
              </w:rPr>
            </w:pPr>
            <w:r w:rsidRPr="00A23B3D">
              <w:rPr>
                <w:rFonts w:ascii="Verdana" w:hAnsi="Verdana" w:eastAsia="Calibri" w:cs="Calibri"/>
                <w:b/>
                <w:bCs/>
                <w:sz w:val="18"/>
                <w:szCs w:val="18"/>
              </w:rPr>
              <w:t>266.000</w:t>
            </w:r>
          </w:p>
        </w:tc>
        <w:tc>
          <w:tcPr>
            <w:tcW w:w="1779" w:type="dxa"/>
            <w:tcBorders>
              <w:top w:val="nil"/>
              <w:left w:val="nil"/>
              <w:bottom w:val="dashSmallGap" w:color="auto" w:sz="12" w:space="0"/>
              <w:right w:val="nil"/>
            </w:tcBorders>
            <w:hideMark/>
          </w:tcPr>
          <w:p w:rsidRPr="00A23B3D" w:rsidR="00A23B3D" w:rsidP="00A23B3D" w:rsidRDefault="00A23B3D" w14:paraId="544084BD" w14:textId="77777777">
            <w:pPr>
              <w:autoSpaceDE w:val="0"/>
              <w:adjustRightInd w:val="0"/>
              <w:spacing w:line="240" w:lineRule="auto"/>
              <w:jc w:val="right"/>
              <w:rPr>
                <w:rFonts w:ascii="Verdana" w:hAnsi="Verdana" w:eastAsia="Calibri" w:cs="Calibri"/>
                <w:b/>
                <w:bCs/>
                <w:sz w:val="18"/>
                <w:szCs w:val="18"/>
              </w:rPr>
            </w:pPr>
            <w:r w:rsidRPr="00A23B3D">
              <w:rPr>
                <w:rFonts w:ascii="Verdana" w:hAnsi="Verdana" w:eastAsia="Calibri" w:cs="Calibri"/>
                <w:b/>
                <w:bCs/>
                <w:sz w:val="18"/>
                <w:szCs w:val="18"/>
              </w:rPr>
              <w:t>€ 19,6 mrd.</w:t>
            </w:r>
          </w:p>
        </w:tc>
      </w:tr>
      <w:tr w:rsidRPr="00A23B3D" w:rsidR="00A23B3D" w:rsidTr="00A23B3D" w14:paraId="004A1B68" w14:textId="77777777">
        <w:trPr>
          <w:trHeight w:val="311"/>
          <w:tblCellSpacing w:w="20" w:type="dxa"/>
        </w:trPr>
        <w:tc>
          <w:tcPr>
            <w:tcW w:w="3118" w:type="dxa"/>
            <w:hideMark/>
          </w:tcPr>
          <w:p w:rsidRPr="00A23B3D" w:rsidR="00A23B3D" w:rsidP="00A23B3D" w:rsidRDefault="00A23B3D" w14:paraId="5D585E73"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sz w:val="18"/>
                <w:szCs w:val="18"/>
              </w:rPr>
              <w:t>Volledig afgelost</w:t>
            </w:r>
          </w:p>
        </w:tc>
        <w:tc>
          <w:tcPr>
            <w:tcW w:w="2230" w:type="dxa"/>
            <w:hideMark/>
          </w:tcPr>
          <w:p w:rsidRPr="00A23B3D" w:rsidR="00A23B3D" w:rsidP="00A23B3D" w:rsidRDefault="00A23B3D" w14:paraId="222C498E" w14:textId="77777777">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w:t>
            </w:r>
          </w:p>
        </w:tc>
        <w:tc>
          <w:tcPr>
            <w:tcW w:w="2381" w:type="dxa"/>
            <w:hideMark/>
          </w:tcPr>
          <w:p w:rsidRPr="00A23B3D" w:rsidR="00A23B3D" w:rsidP="00A23B3D" w:rsidRDefault="00A23B3D" w14:paraId="180E9605" w14:textId="3315DDDF">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7</w:t>
            </w:r>
            <w:r>
              <w:rPr>
                <w:rFonts w:ascii="Verdana" w:hAnsi="Verdana" w:eastAsia="Calibri" w:cs="Calibri"/>
                <w:sz w:val="18"/>
                <w:szCs w:val="18"/>
              </w:rPr>
              <w:t>4</w:t>
            </w:r>
            <w:r w:rsidRPr="00A23B3D">
              <w:rPr>
                <w:rFonts w:ascii="Verdana" w:hAnsi="Verdana" w:eastAsia="Calibri" w:cs="Calibri"/>
                <w:sz w:val="18"/>
                <w:szCs w:val="18"/>
              </w:rPr>
              <w:t>.000</w:t>
            </w:r>
          </w:p>
        </w:tc>
        <w:tc>
          <w:tcPr>
            <w:tcW w:w="1779" w:type="dxa"/>
            <w:hideMark/>
          </w:tcPr>
          <w:p w:rsidRPr="00A23B3D" w:rsidR="00A23B3D" w:rsidP="00A23B3D" w:rsidRDefault="00A23B3D" w14:paraId="029DF199" w14:textId="77777777">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 xml:space="preserve"> - € 2,3 mrd.</w:t>
            </w:r>
          </w:p>
        </w:tc>
      </w:tr>
      <w:tr w:rsidRPr="00A23B3D" w:rsidR="00A23B3D" w:rsidTr="00A23B3D" w14:paraId="3B972D25" w14:textId="77777777">
        <w:trPr>
          <w:trHeight w:val="311"/>
          <w:tblCellSpacing w:w="20" w:type="dxa"/>
        </w:trPr>
        <w:tc>
          <w:tcPr>
            <w:tcW w:w="3118" w:type="dxa"/>
            <w:hideMark/>
          </w:tcPr>
          <w:p w:rsidRPr="00A23B3D" w:rsidR="00A23B3D" w:rsidP="00A23B3D" w:rsidRDefault="00A23B3D" w14:paraId="360A0754"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sz w:val="18"/>
                <w:szCs w:val="18"/>
              </w:rPr>
              <w:t>Uit de regeling, inclusief lopende faillissementen en saneringen*</w:t>
            </w:r>
          </w:p>
        </w:tc>
        <w:tc>
          <w:tcPr>
            <w:tcW w:w="2230" w:type="dxa"/>
            <w:hideMark/>
          </w:tcPr>
          <w:p w:rsidRPr="00A23B3D" w:rsidR="00A23B3D" w:rsidP="00A23B3D" w:rsidRDefault="00A23B3D" w14:paraId="39C7E1E0" w14:textId="77777777">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 xml:space="preserve"> </w:t>
            </w:r>
          </w:p>
        </w:tc>
        <w:tc>
          <w:tcPr>
            <w:tcW w:w="2381" w:type="dxa"/>
            <w:hideMark/>
          </w:tcPr>
          <w:p w:rsidRPr="00A23B3D" w:rsidR="00A23B3D" w:rsidP="00A23B3D" w:rsidRDefault="00A23B3D" w14:paraId="44311914" w14:textId="7AD5013E">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86.000</w:t>
            </w:r>
          </w:p>
        </w:tc>
        <w:tc>
          <w:tcPr>
            <w:tcW w:w="1779" w:type="dxa"/>
            <w:hideMark/>
          </w:tcPr>
          <w:p w:rsidRPr="00A23B3D" w:rsidR="00A23B3D" w:rsidP="00A23B3D" w:rsidRDefault="00A23B3D" w14:paraId="2A9BF1C7" w14:textId="77777777">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 € 3,1 mrd.</w:t>
            </w:r>
          </w:p>
        </w:tc>
      </w:tr>
      <w:tr w:rsidRPr="00A23B3D" w:rsidR="00A23B3D" w:rsidTr="00A23B3D" w14:paraId="5F80066A" w14:textId="77777777">
        <w:trPr>
          <w:trHeight w:val="311"/>
          <w:tblCellSpacing w:w="20" w:type="dxa"/>
        </w:trPr>
        <w:tc>
          <w:tcPr>
            <w:tcW w:w="5388" w:type="dxa"/>
            <w:gridSpan w:val="2"/>
            <w:hideMark/>
          </w:tcPr>
          <w:p w:rsidRPr="00A23B3D" w:rsidR="00A23B3D" w:rsidP="00A23B3D" w:rsidRDefault="00A23B3D" w14:paraId="31ABB3B7"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i/>
                <w:iCs/>
                <w:sz w:val="18"/>
                <w:szCs w:val="18"/>
              </w:rPr>
              <w:t xml:space="preserve">          Door intrekking van de Belastingdienst</w:t>
            </w:r>
          </w:p>
        </w:tc>
        <w:tc>
          <w:tcPr>
            <w:tcW w:w="2381" w:type="dxa"/>
            <w:hideMark/>
          </w:tcPr>
          <w:p w:rsidRPr="00A23B3D" w:rsidR="00A23B3D" w:rsidP="00A23B3D" w:rsidRDefault="00A23B3D" w14:paraId="231A5411" w14:textId="24022551">
            <w:pPr>
              <w:autoSpaceDE w:val="0"/>
              <w:adjustRightInd w:val="0"/>
              <w:spacing w:line="240" w:lineRule="auto"/>
              <w:jc w:val="right"/>
              <w:rPr>
                <w:rFonts w:ascii="Verdana" w:hAnsi="Verdana" w:eastAsia="Calibri" w:cs="Calibri"/>
                <w:i/>
                <w:iCs/>
                <w:sz w:val="18"/>
                <w:szCs w:val="18"/>
              </w:rPr>
            </w:pPr>
            <w:r w:rsidRPr="00A23B3D">
              <w:rPr>
                <w:rFonts w:ascii="Verdana" w:hAnsi="Verdana" w:eastAsia="Calibri" w:cs="Calibri"/>
                <w:i/>
                <w:iCs/>
                <w:sz w:val="18"/>
                <w:szCs w:val="18"/>
              </w:rPr>
              <w:t>70.000</w:t>
            </w:r>
          </w:p>
        </w:tc>
        <w:tc>
          <w:tcPr>
            <w:tcW w:w="1779" w:type="dxa"/>
          </w:tcPr>
          <w:p w:rsidRPr="00A23B3D" w:rsidR="00A23B3D" w:rsidP="00A23B3D" w:rsidRDefault="00A23B3D" w14:paraId="4417C8D2" w14:textId="77777777">
            <w:pPr>
              <w:autoSpaceDE w:val="0"/>
              <w:adjustRightInd w:val="0"/>
              <w:spacing w:line="240" w:lineRule="auto"/>
              <w:jc w:val="right"/>
              <w:rPr>
                <w:rFonts w:ascii="Verdana" w:hAnsi="Verdana" w:eastAsia="Calibri" w:cs="Calibri"/>
                <w:sz w:val="18"/>
                <w:szCs w:val="18"/>
              </w:rPr>
            </w:pPr>
          </w:p>
        </w:tc>
      </w:tr>
      <w:tr w:rsidRPr="00A23B3D" w:rsidR="00A23B3D" w:rsidTr="00A23B3D" w14:paraId="411CC328" w14:textId="77777777">
        <w:trPr>
          <w:trHeight w:val="311"/>
          <w:tblCellSpacing w:w="20" w:type="dxa"/>
        </w:trPr>
        <w:tc>
          <w:tcPr>
            <w:tcW w:w="5388" w:type="dxa"/>
            <w:gridSpan w:val="2"/>
            <w:hideMark/>
          </w:tcPr>
          <w:p w:rsidRPr="00A23B3D" w:rsidR="00A23B3D" w:rsidP="00A23B3D" w:rsidRDefault="00A23B3D" w14:paraId="4D830073"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i/>
                <w:iCs/>
                <w:sz w:val="18"/>
                <w:szCs w:val="18"/>
              </w:rPr>
              <w:t xml:space="preserve">          Door faillissement of sanering</w:t>
            </w:r>
          </w:p>
        </w:tc>
        <w:tc>
          <w:tcPr>
            <w:tcW w:w="2381" w:type="dxa"/>
            <w:hideMark/>
          </w:tcPr>
          <w:p w:rsidRPr="00A23B3D" w:rsidR="00A23B3D" w:rsidP="00A23B3D" w:rsidRDefault="00A23B3D" w14:paraId="35B523DB" w14:textId="77777777">
            <w:pPr>
              <w:autoSpaceDE w:val="0"/>
              <w:adjustRightInd w:val="0"/>
              <w:spacing w:line="240" w:lineRule="auto"/>
              <w:jc w:val="right"/>
              <w:rPr>
                <w:rFonts w:ascii="Verdana" w:hAnsi="Verdana" w:eastAsia="Calibri" w:cs="Calibri"/>
                <w:i/>
                <w:iCs/>
                <w:sz w:val="18"/>
                <w:szCs w:val="18"/>
              </w:rPr>
            </w:pPr>
            <w:r w:rsidRPr="00A23B3D">
              <w:rPr>
                <w:rFonts w:ascii="Verdana" w:hAnsi="Verdana" w:eastAsia="Calibri" w:cs="Calibri"/>
                <w:i/>
                <w:iCs/>
                <w:sz w:val="18"/>
                <w:szCs w:val="18"/>
              </w:rPr>
              <w:t>16.000</w:t>
            </w:r>
          </w:p>
        </w:tc>
        <w:tc>
          <w:tcPr>
            <w:tcW w:w="1779" w:type="dxa"/>
          </w:tcPr>
          <w:p w:rsidRPr="00A23B3D" w:rsidR="00A23B3D" w:rsidP="00A23B3D" w:rsidRDefault="00A23B3D" w14:paraId="012D4781" w14:textId="77777777">
            <w:pPr>
              <w:autoSpaceDE w:val="0"/>
              <w:adjustRightInd w:val="0"/>
              <w:spacing w:line="240" w:lineRule="auto"/>
              <w:jc w:val="right"/>
              <w:rPr>
                <w:rFonts w:ascii="Verdana" w:hAnsi="Verdana" w:eastAsia="Calibri" w:cs="Calibri"/>
                <w:sz w:val="18"/>
                <w:szCs w:val="18"/>
              </w:rPr>
            </w:pPr>
          </w:p>
        </w:tc>
      </w:tr>
      <w:tr w:rsidRPr="00A23B3D" w:rsidR="00A23B3D" w:rsidTr="00A23B3D" w14:paraId="70A46B4A" w14:textId="77777777">
        <w:trPr>
          <w:trHeight w:val="311"/>
          <w:tblCellSpacing w:w="20" w:type="dxa"/>
        </w:trPr>
        <w:tc>
          <w:tcPr>
            <w:tcW w:w="5388" w:type="dxa"/>
            <w:gridSpan w:val="2"/>
            <w:hideMark/>
          </w:tcPr>
          <w:p w:rsidRPr="00A23B3D" w:rsidR="00A23B3D" w:rsidP="00A23B3D" w:rsidRDefault="00A23B3D" w14:paraId="07779E37"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sz w:val="18"/>
                <w:szCs w:val="18"/>
              </w:rPr>
              <w:t>Deels afgelost</w:t>
            </w:r>
          </w:p>
        </w:tc>
        <w:tc>
          <w:tcPr>
            <w:tcW w:w="2381" w:type="dxa"/>
            <w:hideMark/>
          </w:tcPr>
          <w:p w:rsidRPr="00A23B3D" w:rsidR="00A23B3D" w:rsidP="00A23B3D" w:rsidRDefault="00A23B3D" w14:paraId="12FD6A44" w14:textId="794B79B0">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10</w:t>
            </w:r>
            <w:r>
              <w:rPr>
                <w:rFonts w:ascii="Verdana" w:hAnsi="Verdana" w:eastAsia="Calibri" w:cs="Calibri"/>
                <w:sz w:val="18"/>
                <w:szCs w:val="18"/>
              </w:rPr>
              <w:t>6</w:t>
            </w:r>
            <w:r w:rsidRPr="00A23B3D">
              <w:rPr>
                <w:rFonts w:ascii="Verdana" w:hAnsi="Verdana" w:eastAsia="Calibri" w:cs="Calibri"/>
                <w:sz w:val="18"/>
                <w:szCs w:val="18"/>
              </w:rPr>
              <w:t>.000</w:t>
            </w:r>
          </w:p>
        </w:tc>
        <w:tc>
          <w:tcPr>
            <w:tcW w:w="1779" w:type="dxa"/>
            <w:hideMark/>
          </w:tcPr>
          <w:p w:rsidRPr="00A23B3D" w:rsidR="00A23B3D" w:rsidP="00A23B3D" w:rsidRDefault="00A23B3D" w14:paraId="1EE274B8" w14:textId="77777777">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  € 7,2 mrd.</w:t>
            </w:r>
          </w:p>
        </w:tc>
      </w:tr>
      <w:tr w:rsidRPr="00A23B3D" w:rsidR="00A23B3D" w:rsidTr="00A23B3D" w14:paraId="250A5334" w14:textId="77777777">
        <w:trPr>
          <w:trHeight w:val="311"/>
          <w:tblCellSpacing w:w="20" w:type="dxa"/>
        </w:trPr>
        <w:tc>
          <w:tcPr>
            <w:tcW w:w="5388" w:type="dxa"/>
            <w:gridSpan w:val="2"/>
            <w:hideMark/>
          </w:tcPr>
          <w:p w:rsidRPr="00A23B3D" w:rsidR="00A23B3D" w:rsidP="00A23B3D" w:rsidRDefault="00A23B3D" w14:paraId="6EB4FBC7"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sz w:val="18"/>
                <w:szCs w:val="18"/>
              </w:rPr>
              <w:t>Aflossing na intrekking</w:t>
            </w:r>
          </w:p>
        </w:tc>
        <w:tc>
          <w:tcPr>
            <w:tcW w:w="2381" w:type="dxa"/>
          </w:tcPr>
          <w:p w:rsidRPr="00A23B3D" w:rsidR="00A23B3D" w:rsidP="00A23B3D" w:rsidRDefault="00A23B3D" w14:paraId="302BF1E9" w14:textId="77777777">
            <w:pPr>
              <w:autoSpaceDE w:val="0"/>
              <w:adjustRightInd w:val="0"/>
              <w:spacing w:line="240" w:lineRule="auto"/>
              <w:jc w:val="center"/>
              <w:rPr>
                <w:rFonts w:ascii="Verdana" w:hAnsi="Verdana" w:eastAsia="Calibri" w:cs="Calibri"/>
                <w:sz w:val="18"/>
                <w:szCs w:val="18"/>
              </w:rPr>
            </w:pPr>
          </w:p>
        </w:tc>
        <w:tc>
          <w:tcPr>
            <w:tcW w:w="1779" w:type="dxa"/>
            <w:hideMark/>
          </w:tcPr>
          <w:p w:rsidRPr="00A23B3D" w:rsidR="00A23B3D" w:rsidP="00A23B3D" w:rsidRDefault="00A23B3D" w14:paraId="20EC51C9" w14:textId="77777777">
            <w:pPr>
              <w:numPr>
                <w:ilvl w:val="0"/>
                <w:numId w:val="41"/>
              </w:numPr>
              <w:autoSpaceDE w:val="0"/>
              <w:adjustRightInd w:val="0"/>
              <w:spacing w:line="240" w:lineRule="auto"/>
              <w:contextualSpacing/>
              <w:jc w:val="center"/>
              <w:rPr>
                <w:rFonts w:ascii="Verdana" w:hAnsi="Verdana" w:eastAsia="Calibri" w:cs="Calibri"/>
                <w:sz w:val="18"/>
                <w:szCs w:val="18"/>
              </w:rPr>
            </w:pPr>
            <w:r w:rsidRPr="00A23B3D">
              <w:rPr>
                <w:rFonts w:ascii="Verdana" w:hAnsi="Verdana" w:eastAsia="Calibri" w:cs="Calibri"/>
                <w:sz w:val="18"/>
                <w:szCs w:val="18"/>
              </w:rPr>
              <w:t>€ 0,7 mrd.</w:t>
            </w:r>
          </w:p>
        </w:tc>
      </w:tr>
      <w:tr w:rsidRPr="00A23B3D" w:rsidR="00A23B3D" w:rsidTr="00A23B3D" w14:paraId="63DB806D" w14:textId="77777777">
        <w:trPr>
          <w:trHeight w:val="311"/>
          <w:tblCellSpacing w:w="20" w:type="dxa"/>
        </w:trPr>
        <w:tc>
          <w:tcPr>
            <w:tcW w:w="5388" w:type="dxa"/>
            <w:gridSpan w:val="2"/>
            <w:hideMark/>
          </w:tcPr>
          <w:p w:rsidRPr="00A23B3D" w:rsidR="00A23B3D" w:rsidP="00A23B3D" w:rsidRDefault="00A23B3D" w14:paraId="1826BACC"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sz w:val="18"/>
                <w:szCs w:val="18"/>
              </w:rPr>
              <w:t>Afgeschreven wegens oninbaarheid</w:t>
            </w:r>
          </w:p>
        </w:tc>
        <w:tc>
          <w:tcPr>
            <w:tcW w:w="2381" w:type="dxa"/>
          </w:tcPr>
          <w:p w:rsidRPr="00A23B3D" w:rsidR="00A23B3D" w:rsidP="00A23B3D" w:rsidRDefault="00A23B3D" w14:paraId="20D8F3D6" w14:textId="77777777">
            <w:pPr>
              <w:autoSpaceDE w:val="0"/>
              <w:adjustRightInd w:val="0"/>
              <w:spacing w:line="240" w:lineRule="auto"/>
              <w:jc w:val="right"/>
              <w:rPr>
                <w:rFonts w:ascii="Verdana" w:hAnsi="Verdana" w:eastAsia="Calibri" w:cs="Calibri"/>
                <w:sz w:val="18"/>
                <w:szCs w:val="18"/>
              </w:rPr>
            </w:pPr>
          </w:p>
        </w:tc>
        <w:tc>
          <w:tcPr>
            <w:tcW w:w="1779" w:type="dxa"/>
            <w:hideMark/>
          </w:tcPr>
          <w:p w:rsidRPr="00A23B3D" w:rsidR="00A23B3D" w:rsidP="00A23B3D" w:rsidRDefault="00A23B3D" w14:paraId="3E0F1669" w14:textId="77777777">
            <w:pPr>
              <w:numPr>
                <w:ilvl w:val="0"/>
                <w:numId w:val="42"/>
              </w:numPr>
              <w:autoSpaceDE w:val="0"/>
              <w:adjustRightInd w:val="0"/>
              <w:spacing w:line="240" w:lineRule="auto"/>
              <w:contextualSpacing/>
              <w:jc w:val="right"/>
              <w:rPr>
                <w:rFonts w:ascii="Verdana" w:hAnsi="Verdana" w:eastAsia="Calibri" w:cs="Calibri"/>
                <w:sz w:val="18"/>
                <w:szCs w:val="18"/>
              </w:rPr>
            </w:pPr>
            <w:r w:rsidRPr="00A23B3D">
              <w:rPr>
                <w:rFonts w:ascii="Verdana" w:hAnsi="Verdana" w:eastAsia="Calibri" w:cs="Calibri"/>
                <w:sz w:val="18"/>
                <w:szCs w:val="18"/>
              </w:rPr>
              <w:t>€ 1  mrd.</w:t>
            </w:r>
          </w:p>
        </w:tc>
      </w:tr>
      <w:tr w:rsidRPr="00A23B3D" w:rsidR="00A23B3D" w:rsidTr="00A23B3D" w14:paraId="5AA6F01F" w14:textId="77777777">
        <w:trPr>
          <w:trHeight w:val="311"/>
          <w:tblCellSpacing w:w="20" w:type="dxa"/>
        </w:trPr>
        <w:tc>
          <w:tcPr>
            <w:tcW w:w="5388" w:type="dxa"/>
            <w:gridSpan w:val="2"/>
            <w:hideMark/>
          </w:tcPr>
          <w:p w:rsidRPr="00A23B3D" w:rsidR="00A23B3D" w:rsidP="00A23B3D" w:rsidRDefault="00A23B3D" w14:paraId="76DABDF8" w14:textId="77777777">
            <w:pPr>
              <w:autoSpaceDE w:val="0"/>
              <w:adjustRightInd w:val="0"/>
              <w:spacing w:line="240" w:lineRule="auto"/>
              <w:rPr>
                <w:rFonts w:ascii="Verdana" w:hAnsi="Verdana" w:eastAsia="Calibri" w:cs="Calibri"/>
                <w:sz w:val="18"/>
                <w:szCs w:val="18"/>
              </w:rPr>
            </w:pPr>
            <w:r w:rsidRPr="00A23B3D">
              <w:rPr>
                <w:rFonts w:ascii="Verdana" w:hAnsi="Verdana" w:eastAsia="Calibri" w:cs="Calibri"/>
                <w:sz w:val="18"/>
                <w:szCs w:val="18"/>
              </w:rPr>
              <w:t xml:space="preserve">Vermindering van aanslagen </w:t>
            </w:r>
          </w:p>
        </w:tc>
        <w:tc>
          <w:tcPr>
            <w:tcW w:w="2381" w:type="dxa"/>
          </w:tcPr>
          <w:p w:rsidRPr="00A23B3D" w:rsidR="00A23B3D" w:rsidP="00A23B3D" w:rsidRDefault="00A23B3D" w14:paraId="40B6D445" w14:textId="77777777">
            <w:pPr>
              <w:autoSpaceDE w:val="0"/>
              <w:adjustRightInd w:val="0"/>
              <w:spacing w:line="240" w:lineRule="auto"/>
              <w:jc w:val="right"/>
              <w:rPr>
                <w:rFonts w:ascii="Verdana" w:hAnsi="Verdana" w:eastAsia="Calibri" w:cs="Calibri"/>
                <w:i/>
                <w:iCs/>
                <w:sz w:val="18"/>
                <w:szCs w:val="18"/>
              </w:rPr>
            </w:pPr>
          </w:p>
        </w:tc>
        <w:tc>
          <w:tcPr>
            <w:tcW w:w="1779" w:type="dxa"/>
            <w:hideMark/>
          </w:tcPr>
          <w:p w:rsidRPr="00A23B3D" w:rsidR="00A23B3D" w:rsidP="00A23B3D" w:rsidRDefault="00A23B3D" w14:paraId="40FA3A9A" w14:textId="77777777">
            <w:pPr>
              <w:autoSpaceDE w:val="0"/>
              <w:adjustRightInd w:val="0"/>
              <w:spacing w:line="240" w:lineRule="auto"/>
              <w:jc w:val="right"/>
              <w:rPr>
                <w:rFonts w:ascii="Verdana" w:hAnsi="Verdana" w:eastAsia="Calibri" w:cs="Calibri"/>
                <w:sz w:val="18"/>
                <w:szCs w:val="18"/>
              </w:rPr>
            </w:pPr>
            <w:r w:rsidRPr="00A23B3D">
              <w:rPr>
                <w:rFonts w:ascii="Verdana" w:hAnsi="Verdana" w:eastAsia="Calibri" w:cs="Calibri"/>
                <w:sz w:val="18"/>
                <w:szCs w:val="18"/>
              </w:rPr>
              <w:t>- € 0,8 mrd.</w:t>
            </w:r>
          </w:p>
        </w:tc>
      </w:tr>
      <w:tr w:rsidRPr="00A23B3D" w:rsidR="00A23B3D" w:rsidTr="00A23B3D" w14:paraId="35EFBEA4" w14:textId="77777777">
        <w:trPr>
          <w:trHeight w:val="311"/>
          <w:tblCellSpacing w:w="20" w:type="dxa"/>
        </w:trPr>
        <w:tc>
          <w:tcPr>
            <w:tcW w:w="3118" w:type="dxa"/>
            <w:tcBorders>
              <w:top w:val="dashSmallGap" w:color="auto" w:sz="12" w:space="0"/>
              <w:left w:val="nil"/>
              <w:bottom w:val="dashSmallGap" w:color="auto" w:sz="12" w:space="0"/>
              <w:right w:val="nil"/>
            </w:tcBorders>
            <w:hideMark/>
          </w:tcPr>
          <w:p w:rsidRPr="00A23B3D" w:rsidR="00A23B3D" w:rsidP="00A23B3D" w:rsidRDefault="00A23B3D" w14:paraId="5156CEB8" w14:textId="77777777">
            <w:pPr>
              <w:autoSpaceDE w:val="0"/>
              <w:adjustRightInd w:val="0"/>
              <w:spacing w:line="240" w:lineRule="auto"/>
              <w:rPr>
                <w:rFonts w:ascii="Verdana" w:hAnsi="Verdana" w:eastAsia="Calibri" w:cs="Calibri"/>
                <w:b/>
                <w:bCs/>
                <w:sz w:val="18"/>
                <w:szCs w:val="18"/>
              </w:rPr>
            </w:pPr>
            <w:r w:rsidRPr="00A23B3D">
              <w:rPr>
                <w:rFonts w:ascii="Verdana" w:hAnsi="Verdana" w:eastAsia="Calibri" w:cs="Calibri"/>
                <w:b/>
                <w:bCs/>
                <w:sz w:val="18"/>
                <w:szCs w:val="18"/>
              </w:rPr>
              <w:t>Ondernemers in de regeling</w:t>
            </w:r>
          </w:p>
        </w:tc>
        <w:tc>
          <w:tcPr>
            <w:tcW w:w="2230" w:type="dxa"/>
            <w:tcBorders>
              <w:top w:val="dashSmallGap" w:color="auto" w:sz="12" w:space="0"/>
              <w:left w:val="nil"/>
              <w:bottom w:val="dashSmallGap" w:color="auto" w:sz="12" w:space="0"/>
              <w:right w:val="nil"/>
            </w:tcBorders>
            <w:hideMark/>
          </w:tcPr>
          <w:p w:rsidRPr="00A23B3D" w:rsidR="00A23B3D" w:rsidP="00A23B3D" w:rsidRDefault="00A23B3D" w14:paraId="0A45538C" w14:textId="77777777">
            <w:pPr>
              <w:autoSpaceDE w:val="0"/>
              <w:adjustRightInd w:val="0"/>
              <w:spacing w:line="240" w:lineRule="auto"/>
              <w:jc w:val="right"/>
              <w:rPr>
                <w:rFonts w:ascii="Verdana" w:hAnsi="Verdana" w:eastAsia="Calibri" w:cs="Calibri"/>
                <w:b/>
                <w:bCs/>
                <w:sz w:val="18"/>
                <w:szCs w:val="18"/>
              </w:rPr>
            </w:pPr>
            <w:r w:rsidRPr="00A23B3D">
              <w:rPr>
                <w:rFonts w:ascii="Verdana" w:hAnsi="Verdana" w:eastAsia="Calibri" w:cs="Calibri"/>
                <w:b/>
                <w:bCs/>
                <w:sz w:val="18"/>
                <w:szCs w:val="18"/>
              </w:rPr>
              <w:t>10 september 2025</w:t>
            </w:r>
          </w:p>
        </w:tc>
        <w:tc>
          <w:tcPr>
            <w:tcW w:w="2381" w:type="dxa"/>
            <w:tcBorders>
              <w:top w:val="dashSmallGap" w:color="auto" w:sz="12" w:space="0"/>
              <w:left w:val="nil"/>
              <w:bottom w:val="dashSmallGap" w:color="auto" w:sz="12" w:space="0"/>
              <w:right w:val="nil"/>
            </w:tcBorders>
            <w:hideMark/>
          </w:tcPr>
          <w:p w:rsidRPr="00A23B3D" w:rsidR="00A23B3D" w:rsidP="00A23B3D" w:rsidRDefault="00A23B3D" w14:paraId="20A2C826" w14:textId="77777777">
            <w:pPr>
              <w:autoSpaceDE w:val="0"/>
              <w:adjustRightInd w:val="0"/>
              <w:spacing w:line="240" w:lineRule="auto"/>
              <w:jc w:val="right"/>
              <w:rPr>
                <w:rFonts w:ascii="Verdana" w:hAnsi="Verdana" w:eastAsia="Calibri" w:cs="Calibri"/>
                <w:b/>
                <w:bCs/>
                <w:sz w:val="18"/>
                <w:szCs w:val="18"/>
              </w:rPr>
            </w:pPr>
            <w:r w:rsidRPr="00A23B3D">
              <w:rPr>
                <w:rFonts w:ascii="Verdana" w:hAnsi="Verdana" w:eastAsia="Calibri" w:cs="Calibri"/>
                <w:b/>
                <w:bCs/>
                <w:sz w:val="18"/>
                <w:szCs w:val="18"/>
              </w:rPr>
              <w:t>106.000</w:t>
            </w:r>
          </w:p>
        </w:tc>
        <w:tc>
          <w:tcPr>
            <w:tcW w:w="1779" w:type="dxa"/>
            <w:tcBorders>
              <w:top w:val="dashSmallGap" w:color="auto" w:sz="12" w:space="0"/>
              <w:left w:val="nil"/>
              <w:bottom w:val="dashSmallGap" w:color="auto" w:sz="12" w:space="0"/>
              <w:right w:val="nil"/>
            </w:tcBorders>
            <w:hideMark/>
          </w:tcPr>
          <w:p w:rsidRPr="00A23B3D" w:rsidR="00A23B3D" w:rsidP="00A23B3D" w:rsidRDefault="00A23B3D" w14:paraId="1FE52CAD" w14:textId="77777777">
            <w:pPr>
              <w:autoSpaceDE w:val="0"/>
              <w:adjustRightInd w:val="0"/>
              <w:spacing w:line="240" w:lineRule="auto"/>
              <w:jc w:val="right"/>
              <w:rPr>
                <w:rFonts w:ascii="Verdana" w:hAnsi="Verdana" w:eastAsia="Calibri" w:cs="Calibri"/>
                <w:b/>
                <w:bCs/>
                <w:sz w:val="18"/>
                <w:szCs w:val="18"/>
              </w:rPr>
            </w:pPr>
            <w:r w:rsidRPr="00A23B3D">
              <w:rPr>
                <w:rFonts w:ascii="Verdana" w:hAnsi="Verdana" w:eastAsia="Calibri" w:cs="Calibri"/>
                <w:b/>
                <w:bCs/>
                <w:sz w:val="18"/>
                <w:szCs w:val="18"/>
              </w:rPr>
              <w:t>€ 4,5 mrd.</w:t>
            </w:r>
          </w:p>
        </w:tc>
      </w:tr>
    </w:tbl>
    <w:p w:rsidRPr="00A23B3D" w:rsidR="00A23B3D" w:rsidP="00A23B3D" w:rsidRDefault="00A23B3D" w14:paraId="49717298" w14:textId="77777777">
      <w:pPr>
        <w:spacing w:after="0" w:line="256" w:lineRule="auto"/>
        <w:rPr>
          <w:rFonts w:ascii="Verdana" w:hAnsi="Verdana" w:eastAsia="Calibri" w:cs="Times New Roman"/>
          <w:i/>
          <w:iCs/>
          <w:sz w:val="18"/>
          <w:szCs w:val="18"/>
        </w:rPr>
      </w:pPr>
    </w:p>
    <w:p w:rsidRPr="00A23B3D" w:rsidR="00A23B3D" w:rsidP="00A23B3D" w:rsidRDefault="00A23B3D" w14:paraId="204602F8" w14:textId="77777777">
      <w:pPr>
        <w:spacing w:after="0" w:line="256" w:lineRule="auto"/>
        <w:rPr>
          <w:rFonts w:ascii="Verdana" w:hAnsi="Verdana" w:eastAsia="Calibri" w:cs="Times New Roman"/>
          <w:i/>
          <w:iCs/>
          <w:sz w:val="18"/>
          <w:szCs w:val="18"/>
        </w:rPr>
      </w:pPr>
      <w:r w:rsidRPr="00A23B3D">
        <w:rPr>
          <w:rFonts w:ascii="Verdana" w:hAnsi="Verdana" w:eastAsia="Calibri" w:cs="Times New Roman"/>
          <w:i/>
          <w:iCs/>
          <w:sz w:val="18"/>
          <w:szCs w:val="18"/>
        </w:rPr>
        <w:t>Faillissementen</w:t>
      </w:r>
    </w:p>
    <w:p w:rsidRPr="00A23B3D" w:rsidR="00A23B3D" w:rsidP="00A23B3D" w:rsidRDefault="00A23B3D" w14:paraId="38EC9E17" w14:textId="77777777">
      <w:pPr>
        <w:spacing w:after="0" w:line="256" w:lineRule="auto"/>
        <w:rPr>
          <w:rFonts w:ascii="Verdana" w:hAnsi="Verdana" w:eastAsia="Calibri" w:cs="Times New Roman"/>
          <w:sz w:val="18"/>
          <w:szCs w:val="18"/>
        </w:rPr>
      </w:pPr>
      <w:r w:rsidRPr="00A23B3D">
        <w:rPr>
          <w:rFonts w:ascii="Verdana" w:hAnsi="Verdana" w:eastAsia="Calibri" w:cs="Times New Roman"/>
          <w:sz w:val="18"/>
          <w:szCs w:val="18"/>
        </w:rPr>
        <w:t>Vanaf het begin van de betalingsregeling is voor bijna 5.000 ondernemingen de regeling voortijdig beëindigd in verband met faillissement. Bij het opheffen van het faillissement wordt het definitieve bedrag van oninbaarheid vastgesteld. Het totaal aantal faillissementen (zonder coronabetalingsregeling) ligt hoger. De genoemde aantallen en bedragen in onderstaande tabel zien op het jaar waarin het verlies is vastgesteld.</w:t>
      </w:r>
    </w:p>
    <w:p w:rsidRPr="00A23B3D" w:rsidR="00A23B3D" w:rsidP="00A23B3D" w:rsidRDefault="00A23B3D" w14:paraId="6879A275" w14:textId="77777777">
      <w:pPr>
        <w:spacing w:after="0" w:line="256" w:lineRule="auto"/>
        <w:rPr>
          <w:rFonts w:ascii="Verdana" w:hAnsi="Verdana" w:eastAsia="Calibri" w:cs="Times New Roman"/>
          <w:sz w:val="18"/>
          <w:szCs w:val="18"/>
        </w:rPr>
      </w:pPr>
    </w:p>
    <w:p w:rsidRPr="00A23B3D" w:rsidR="00A23B3D" w:rsidP="00A23B3D" w:rsidRDefault="00A23B3D" w14:paraId="1D5A54FF" w14:textId="77777777">
      <w:pPr>
        <w:spacing w:after="0" w:line="256" w:lineRule="auto"/>
        <w:rPr>
          <w:rFonts w:ascii="Verdana" w:hAnsi="Verdana" w:eastAsia="Calibri" w:cs="Times New Roman"/>
          <w:sz w:val="18"/>
          <w:szCs w:val="18"/>
        </w:rPr>
      </w:pPr>
      <w:r w:rsidRPr="00A23B3D">
        <w:rPr>
          <w:rFonts w:ascii="Verdana" w:hAnsi="Verdana" w:eastAsia="Calibri" w:cs="Times New Roman"/>
          <w:sz w:val="18"/>
          <w:szCs w:val="18"/>
        </w:rPr>
        <w:br/>
      </w:r>
    </w:p>
    <w:tbl>
      <w:tblPr>
        <w:tblW w:w="0" w:type="auto"/>
        <w:tblInd w:w="-30" w:type="dxa"/>
        <w:tblLayout w:type="fixed"/>
        <w:tblCellMar>
          <w:left w:w="70" w:type="dxa"/>
          <w:right w:w="70" w:type="dxa"/>
        </w:tblCellMar>
        <w:tblLook w:val="04A0" w:firstRow="1" w:lastRow="0" w:firstColumn="1" w:lastColumn="0" w:noHBand="0" w:noVBand="1"/>
      </w:tblPr>
      <w:tblGrid>
        <w:gridCol w:w="2298"/>
        <w:gridCol w:w="982"/>
        <w:gridCol w:w="800"/>
        <w:gridCol w:w="800"/>
        <w:gridCol w:w="800"/>
        <w:gridCol w:w="800"/>
        <w:gridCol w:w="960"/>
        <w:gridCol w:w="1237"/>
      </w:tblGrid>
      <w:tr w:rsidRPr="00A23B3D" w:rsidR="00A23B3D" w:rsidTr="00A23B3D" w14:paraId="5B312514" w14:textId="77777777">
        <w:trPr>
          <w:trHeight w:val="280"/>
        </w:trPr>
        <w:tc>
          <w:tcPr>
            <w:tcW w:w="2298" w:type="dxa"/>
            <w:hideMark/>
          </w:tcPr>
          <w:p w:rsidRPr="00A23B3D" w:rsidR="00A23B3D" w:rsidP="00A23B3D" w:rsidRDefault="00A23B3D" w14:paraId="2D7B8318" w14:textId="77777777">
            <w:pPr>
              <w:autoSpaceDE w:val="0"/>
              <w:autoSpaceDN w:val="0"/>
              <w:adjustRightInd w:val="0"/>
              <w:spacing w:line="240" w:lineRule="auto"/>
              <w:rPr>
                <w:rFonts w:ascii="Verdana" w:hAnsi="Verdana" w:eastAsia="Calibri" w:cs="Calibri"/>
                <w:color w:val="000000"/>
                <w:sz w:val="18"/>
                <w:szCs w:val="18"/>
              </w:rPr>
            </w:pPr>
            <w:r w:rsidRPr="00A23B3D">
              <w:rPr>
                <w:rFonts w:ascii="Verdana" w:hAnsi="Verdana" w:eastAsia="Calibri" w:cs="Calibri"/>
                <w:color w:val="000000"/>
                <w:sz w:val="18"/>
                <w:szCs w:val="18"/>
              </w:rPr>
              <w:t>Jaar afwikkeling</w:t>
            </w:r>
          </w:p>
        </w:tc>
        <w:tc>
          <w:tcPr>
            <w:tcW w:w="982" w:type="dxa"/>
            <w:hideMark/>
          </w:tcPr>
          <w:p w:rsidRPr="00A23B3D" w:rsidR="00A23B3D" w:rsidP="00A23B3D" w:rsidRDefault="00A23B3D" w14:paraId="7660FBFE" w14:textId="77777777">
            <w:pPr>
              <w:autoSpaceDE w:val="0"/>
              <w:autoSpaceDN w:val="0"/>
              <w:adjustRightInd w:val="0"/>
              <w:spacing w:line="240" w:lineRule="auto"/>
              <w:jc w:val="right"/>
              <w:rPr>
                <w:rFonts w:ascii="Verdana" w:hAnsi="Verdana" w:eastAsia="Calibri" w:cs="Calibri Light"/>
                <w:b/>
                <w:bCs/>
                <w:color w:val="000000"/>
                <w:sz w:val="18"/>
                <w:szCs w:val="18"/>
              </w:rPr>
            </w:pPr>
            <w:r w:rsidRPr="00A23B3D">
              <w:rPr>
                <w:rFonts w:ascii="Verdana" w:hAnsi="Verdana" w:eastAsia="Calibri" w:cs="Calibri Light"/>
                <w:b/>
                <w:bCs/>
                <w:color w:val="000000"/>
                <w:sz w:val="18"/>
                <w:szCs w:val="18"/>
              </w:rPr>
              <w:t>2019</w:t>
            </w:r>
          </w:p>
        </w:tc>
        <w:tc>
          <w:tcPr>
            <w:tcW w:w="800" w:type="dxa"/>
            <w:hideMark/>
          </w:tcPr>
          <w:p w:rsidRPr="00A23B3D" w:rsidR="00A23B3D" w:rsidP="00A23B3D" w:rsidRDefault="00A23B3D" w14:paraId="01B03C08" w14:textId="77777777">
            <w:pPr>
              <w:autoSpaceDE w:val="0"/>
              <w:autoSpaceDN w:val="0"/>
              <w:adjustRightInd w:val="0"/>
              <w:spacing w:line="240" w:lineRule="auto"/>
              <w:jc w:val="right"/>
              <w:rPr>
                <w:rFonts w:ascii="Verdana" w:hAnsi="Verdana" w:eastAsia="Calibri" w:cs="Calibri Light"/>
                <w:b/>
                <w:bCs/>
                <w:color w:val="000000"/>
                <w:sz w:val="18"/>
                <w:szCs w:val="18"/>
              </w:rPr>
            </w:pPr>
            <w:r w:rsidRPr="00A23B3D">
              <w:rPr>
                <w:rFonts w:ascii="Verdana" w:hAnsi="Verdana" w:eastAsia="Calibri" w:cs="Calibri Light"/>
                <w:b/>
                <w:bCs/>
                <w:color w:val="000000"/>
                <w:sz w:val="18"/>
                <w:szCs w:val="18"/>
              </w:rPr>
              <w:t>2020</w:t>
            </w:r>
          </w:p>
        </w:tc>
        <w:tc>
          <w:tcPr>
            <w:tcW w:w="800" w:type="dxa"/>
            <w:hideMark/>
          </w:tcPr>
          <w:p w:rsidRPr="00A23B3D" w:rsidR="00A23B3D" w:rsidP="00A23B3D" w:rsidRDefault="00A23B3D" w14:paraId="60FBC304" w14:textId="77777777">
            <w:pPr>
              <w:autoSpaceDE w:val="0"/>
              <w:autoSpaceDN w:val="0"/>
              <w:adjustRightInd w:val="0"/>
              <w:spacing w:line="240" w:lineRule="auto"/>
              <w:jc w:val="right"/>
              <w:rPr>
                <w:rFonts w:ascii="Verdana" w:hAnsi="Verdana" w:eastAsia="Calibri" w:cs="Calibri Light"/>
                <w:b/>
                <w:bCs/>
                <w:color w:val="000000"/>
                <w:sz w:val="18"/>
                <w:szCs w:val="18"/>
              </w:rPr>
            </w:pPr>
            <w:r w:rsidRPr="00A23B3D">
              <w:rPr>
                <w:rFonts w:ascii="Verdana" w:hAnsi="Verdana" w:eastAsia="Calibri" w:cs="Calibri Light"/>
                <w:b/>
                <w:bCs/>
                <w:color w:val="000000"/>
                <w:sz w:val="18"/>
                <w:szCs w:val="18"/>
              </w:rPr>
              <w:t>2021</w:t>
            </w:r>
          </w:p>
        </w:tc>
        <w:tc>
          <w:tcPr>
            <w:tcW w:w="800" w:type="dxa"/>
            <w:hideMark/>
          </w:tcPr>
          <w:p w:rsidRPr="00A23B3D" w:rsidR="00A23B3D" w:rsidP="00A23B3D" w:rsidRDefault="00A23B3D" w14:paraId="35754E91" w14:textId="77777777">
            <w:pPr>
              <w:autoSpaceDE w:val="0"/>
              <w:autoSpaceDN w:val="0"/>
              <w:adjustRightInd w:val="0"/>
              <w:spacing w:line="240" w:lineRule="auto"/>
              <w:jc w:val="right"/>
              <w:rPr>
                <w:rFonts w:ascii="Verdana" w:hAnsi="Verdana" w:eastAsia="Calibri" w:cs="Calibri Light"/>
                <w:b/>
                <w:bCs/>
                <w:color w:val="000000"/>
                <w:sz w:val="18"/>
                <w:szCs w:val="18"/>
              </w:rPr>
            </w:pPr>
            <w:r w:rsidRPr="00A23B3D">
              <w:rPr>
                <w:rFonts w:ascii="Verdana" w:hAnsi="Verdana" w:eastAsia="Calibri" w:cs="Calibri Light"/>
                <w:b/>
                <w:bCs/>
                <w:color w:val="000000"/>
                <w:sz w:val="18"/>
                <w:szCs w:val="18"/>
              </w:rPr>
              <w:t>2022</w:t>
            </w:r>
          </w:p>
        </w:tc>
        <w:tc>
          <w:tcPr>
            <w:tcW w:w="800" w:type="dxa"/>
            <w:hideMark/>
          </w:tcPr>
          <w:p w:rsidRPr="00A23B3D" w:rsidR="00A23B3D" w:rsidP="00A23B3D" w:rsidRDefault="00A23B3D" w14:paraId="7053E08C" w14:textId="77777777">
            <w:pPr>
              <w:autoSpaceDE w:val="0"/>
              <w:autoSpaceDN w:val="0"/>
              <w:adjustRightInd w:val="0"/>
              <w:spacing w:line="240" w:lineRule="auto"/>
              <w:jc w:val="center"/>
              <w:rPr>
                <w:rFonts w:ascii="Verdana" w:hAnsi="Verdana" w:eastAsia="Calibri" w:cs="Calibri Light"/>
                <w:b/>
                <w:bCs/>
                <w:color w:val="000000"/>
                <w:sz w:val="18"/>
                <w:szCs w:val="18"/>
              </w:rPr>
            </w:pPr>
            <w:r w:rsidRPr="00A23B3D">
              <w:rPr>
                <w:rFonts w:ascii="Verdana" w:hAnsi="Verdana" w:eastAsia="Calibri" w:cs="Calibri Light"/>
                <w:b/>
                <w:bCs/>
                <w:color w:val="000000"/>
                <w:sz w:val="18"/>
                <w:szCs w:val="18"/>
              </w:rPr>
              <w:t>2023</w:t>
            </w:r>
          </w:p>
        </w:tc>
        <w:tc>
          <w:tcPr>
            <w:tcW w:w="960" w:type="dxa"/>
            <w:hideMark/>
          </w:tcPr>
          <w:p w:rsidRPr="00A23B3D" w:rsidR="00A23B3D" w:rsidP="00A23B3D" w:rsidRDefault="00A23B3D" w14:paraId="5CDA4CD3" w14:textId="77777777">
            <w:pPr>
              <w:autoSpaceDE w:val="0"/>
              <w:autoSpaceDN w:val="0"/>
              <w:adjustRightInd w:val="0"/>
              <w:spacing w:line="240" w:lineRule="auto"/>
              <w:rPr>
                <w:rFonts w:ascii="Verdana" w:hAnsi="Verdana" w:eastAsia="Calibri" w:cs="Calibri Light"/>
                <w:b/>
                <w:bCs/>
                <w:color w:val="000000"/>
                <w:sz w:val="18"/>
                <w:szCs w:val="18"/>
              </w:rPr>
            </w:pPr>
            <w:r w:rsidRPr="00A23B3D">
              <w:rPr>
                <w:rFonts w:ascii="Verdana" w:hAnsi="Verdana" w:eastAsia="Calibri" w:cs="Calibri Light"/>
                <w:b/>
                <w:bCs/>
                <w:color w:val="000000"/>
                <w:sz w:val="18"/>
                <w:szCs w:val="18"/>
              </w:rPr>
              <w:t>2024</w:t>
            </w:r>
          </w:p>
        </w:tc>
        <w:tc>
          <w:tcPr>
            <w:tcW w:w="1237" w:type="dxa"/>
            <w:hideMark/>
          </w:tcPr>
          <w:p w:rsidRPr="00A23B3D" w:rsidR="00A23B3D" w:rsidP="00A23B3D" w:rsidRDefault="00A23B3D" w14:paraId="3DC21F22" w14:textId="77777777">
            <w:pPr>
              <w:autoSpaceDE w:val="0"/>
              <w:autoSpaceDN w:val="0"/>
              <w:adjustRightInd w:val="0"/>
              <w:spacing w:line="240" w:lineRule="auto"/>
              <w:jc w:val="right"/>
              <w:rPr>
                <w:rFonts w:ascii="Verdana" w:hAnsi="Verdana" w:eastAsia="Calibri" w:cs="Calibri Light"/>
                <w:b/>
                <w:bCs/>
                <w:color w:val="000000"/>
                <w:sz w:val="18"/>
                <w:szCs w:val="18"/>
              </w:rPr>
            </w:pPr>
            <w:r w:rsidRPr="00A23B3D">
              <w:rPr>
                <w:rFonts w:ascii="Verdana" w:hAnsi="Verdana" w:eastAsia="Calibri" w:cs="Calibri Light"/>
                <w:b/>
                <w:bCs/>
                <w:color w:val="000000"/>
                <w:sz w:val="18"/>
                <w:szCs w:val="18"/>
              </w:rPr>
              <w:t>2025 (t/m juli)</w:t>
            </w:r>
          </w:p>
        </w:tc>
      </w:tr>
      <w:tr w:rsidRPr="00A23B3D" w:rsidR="00A23B3D" w:rsidTr="00A23B3D" w14:paraId="65FCAB63" w14:textId="77777777">
        <w:trPr>
          <w:trHeight w:val="280"/>
        </w:trPr>
        <w:tc>
          <w:tcPr>
            <w:tcW w:w="2298" w:type="dxa"/>
            <w:hideMark/>
          </w:tcPr>
          <w:p w:rsidRPr="00A23B3D" w:rsidR="00A23B3D" w:rsidP="00A23B3D" w:rsidRDefault="00A23B3D" w14:paraId="07686648" w14:textId="77777777">
            <w:pPr>
              <w:autoSpaceDE w:val="0"/>
              <w:autoSpaceDN w:val="0"/>
              <w:adjustRightInd w:val="0"/>
              <w:spacing w:line="240" w:lineRule="auto"/>
              <w:rPr>
                <w:rFonts w:ascii="Verdana" w:hAnsi="Verdana" w:eastAsia="Calibri" w:cs="Times New Roman"/>
                <w:sz w:val="18"/>
                <w:szCs w:val="18"/>
              </w:rPr>
            </w:pPr>
            <w:r w:rsidRPr="00A23B3D">
              <w:rPr>
                <w:rFonts w:ascii="Verdana" w:hAnsi="Verdana" w:eastAsia="Calibri" w:cs="Times New Roman"/>
                <w:sz w:val="18"/>
                <w:szCs w:val="18"/>
              </w:rPr>
              <w:t>Ondernemingen failliet</w:t>
            </w:r>
          </w:p>
        </w:tc>
        <w:tc>
          <w:tcPr>
            <w:tcW w:w="982" w:type="dxa"/>
            <w:hideMark/>
          </w:tcPr>
          <w:p w:rsidRPr="00A23B3D" w:rsidR="00A23B3D" w:rsidP="00A23B3D" w:rsidRDefault="00A23B3D" w14:paraId="4B288EDB"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6.000</w:t>
            </w:r>
          </w:p>
        </w:tc>
        <w:tc>
          <w:tcPr>
            <w:tcW w:w="800" w:type="dxa"/>
            <w:hideMark/>
          </w:tcPr>
          <w:p w:rsidRPr="00A23B3D" w:rsidR="00A23B3D" w:rsidP="00A23B3D" w:rsidRDefault="00A23B3D" w14:paraId="6DFD31F6"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5.400</w:t>
            </w:r>
          </w:p>
        </w:tc>
        <w:tc>
          <w:tcPr>
            <w:tcW w:w="800" w:type="dxa"/>
            <w:hideMark/>
          </w:tcPr>
          <w:p w:rsidRPr="00A23B3D" w:rsidR="00A23B3D" w:rsidP="00A23B3D" w:rsidRDefault="00A23B3D" w14:paraId="2572925F"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3.100</w:t>
            </w:r>
          </w:p>
        </w:tc>
        <w:tc>
          <w:tcPr>
            <w:tcW w:w="800" w:type="dxa"/>
            <w:hideMark/>
          </w:tcPr>
          <w:p w:rsidRPr="00A23B3D" w:rsidR="00A23B3D" w:rsidP="00A23B3D" w:rsidRDefault="00A23B3D" w14:paraId="3765FE7C"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2.500</w:t>
            </w:r>
          </w:p>
        </w:tc>
        <w:tc>
          <w:tcPr>
            <w:tcW w:w="800" w:type="dxa"/>
            <w:hideMark/>
          </w:tcPr>
          <w:p w:rsidRPr="00A23B3D" w:rsidR="00A23B3D" w:rsidP="00A23B3D" w:rsidRDefault="00A23B3D" w14:paraId="5EE0A8D2"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2.700</w:t>
            </w:r>
          </w:p>
        </w:tc>
        <w:tc>
          <w:tcPr>
            <w:tcW w:w="960" w:type="dxa"/>
            <w:hideMark/>
          </w:tcPr>
          <w:p w:rsidRPr="00A23B3D" w:rsidR="00A23B3D" w:rsidP="00A23B3D" w:rsidRDefault="00A23B3D" w14:paraId="6BB96EF5" w14:textId="77777777">
            <w:pPr>
              <w:autoSpaceDE w:val="0"/>
              <w:autoSpaceDN w:val="0"/>
              <w:adjustRightInd w:val="0"/>
              <w:spacing w:line="240" w:lineRule="auto"/>
              <w:rPr>
                <w:rFonts w:ascii="Verdana" w:hAnsi="Verdana" w:eastAsia="Calibri" w:cs="Times New Roman"/>
                <w:sz w:val="18"/>
                <w:szCs w:val="18"/>
              </w:rPr>
            </w:pPr>
            <w:r w:rsidRPr="00A23B3D">
              <w:rPr>
                <w:rFonts w:ascii="Verdana" w:hAnsi="Verdana" w:eastAsia="Calibri" w:cs="Times New Roman"/>
                <w:sz w:val="18"/>
                <w:szCs w:val="18"/>
              </w:rPr>
              <w:t>2.900</w:t>
            </w:r>
          </w:p>
        </w:tc>
        <w:tc>
          <w:tcPr>
            <w:tcW w:w="1237" w:type="dxa"/>
            <w:hideMark/>
          </w:tcPr>
          <w:p w:rsidRPr="00A23B3D" w:rsidR="00A23B3D" w:rsidP="00A23B3D" w:rsidRDefault="00A23B3D" w14:paraId="43E291B5" w14:textId="77777777">
            <w:pPr>
              <w:autoSpaceDE w:val="0"/>
              <w:autoSpaceDN w:val="0"/>
              <w:adjustRightInd w:val="0"/>
              <w:spacing w:line="240" w:lineRule="auto"/>
              <w:jc w:val="right"/>
              <w:rPr>
                <w:rFonts w:ascii="Verdana" w:hAnsi="Verdana" w:eastAsia="Calibri" w:cs="Times New Roman"/>
                <w:sz w:val="18"/>
                <w:szCs w:val="18"/>
              </w:rPr>
            </w:pPr>
            <w:r w:rsidRPr="00A23B3D">
              <w:rPr>
                <w:rFonts w:ascii="Verdana" w:hAnsi="Verdana" w:eastAsia="Calibri" w:cs="Times New Roman"/>
                <w:sz w:val="18"/>
                <w:szCs w:val="18"/>
              </w:rPr>
              <w:t xml:space="preserve">         1.900 </w:t>
            </w:r>
          </w:p>
        </w:tc>
      </w:tr>
      <w:tr w:rsidRPr="00A23B3D" w:rsidR="00A23B3D" w:rsidTr="00A23B3D" w14:paraId="6D81E2B0" w14:textId="77777777">
        <w:trPr>
          <w:trHeight w:val="280"/>
        </w:trPr>
        <w:tc>
          <w:tcPr>
            <w:tcW w:w="2298" w:type="dxa"/>
            <w:hideMark/>
          </w:tcPr>
          <w:p w:rsidRPr="00A23B3D" w:rsidR="00A23B3D" w:rsidP="00A23B3D" w:rsidRDefault="00A23B3D" w14:paraId="2947DE9E" w14:textId="77777777">
            <w:pPr>
              <w:autoSpaceDE w:val="0"/>
              <w:autoSpaceDN w:val="0"/>
              <w:adjustRightInd w:val="0"/>
              <w:spacing w:line="240" w:lineRule="auto"/>
              <w:rPr>
                <w:rFonts w:ascii="Verdana" w:hAnsi="Verdana" w:eastAsia="Calibri" w:cs="Times New Roman"/>
                <w:sz w:val="18"/>
                <w:szCs w:val="18"/>
              </w:rPr>
            </w:pPr>
            <w:r w:rsidRPr="00A23B3D">
              <w:rPr>
                <w:rFonts w:ascii="Verdana" w:hAnsi="Verdana" w:eastAsia="Calibri" w:cs="Times New Roman"/>
                <w:sz w:val="18"/>
                <w:szCs w:val="18"/>
              </w:rPr>
              <w:t xml:space="preserve">Oninbaar bedrag in mln. </w:t>
            </w:r>
          </w:p>
        </w:tc>
        <w:tc>
          <w:tcPr>
            <w:tcW w:w="982" w:type="dxa"/>
            <w:hideMark/>
          </w:tcPr>
          <w:p w:rsidRPr="00A23B3D" w:rsidR="00A23B3D" w:rsidP="00A23B3D" w:rsidRDefault="00A23B3D" w14:paraId="45340B38"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€ 322</w:t>
            </w:r>
          </w:p>
        </w:tc>
        <w:tc>
          <w:tcPr>
            <w:tcW w:w="800" w:type="dxa"/>
            <w:hideMark/>
          </w:tcPr>
          <w:p w:rsidRPr="00A23B3D" w:rsidR="00A23B3D" w:rsidP="00A23B3D" w:rsidRDefault="00A23B3D" w14:paraId="789F498B"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€ 397</w:t>
            </w:r>
          </w:p>
        </w:tc>
        <w:tc>
          <w:tcPr>
            <w:tcW w:w="800" w:type="dxa"/>
            <w:hideMark/>
          </w:tcPr>
          <w:p w:rsidRPr="00A23B3D" w:rsidR="00A23B3D" w:rsidP="00A23B3D" w:rsidRDefault="00A23B3D" w14:paraId="11D55069"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€ 275</w:t>
            </w:r>
          </w:p>
        </w:tc>
        <w:tc>
          <w:tcPr>
            <w:tcW w:w="800" w:type="dxa"/>
            <w:hideMark/>
          </w:tcPr>
          <w:p w:rsidRPr="00A23B3D" w:rsidR="00A23B3D" w:rsidP="00A23B3D" w:rsidRDefault="00A23B3D" w14:paraId="3F7A89D0"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€ 260</w:t>
            </w:r>
          </w:p>
        </w:tc>
        <w:tc>
          <w:tcPr>
            <w:tcW w:w="800" w:type="dxa"/>
            <w:hideMark/>
          </w:tcPr>
          <w:p w:rsidRPr="00A23B3D" w:rsidR="00A23B3D" w:rsidP="00A23B3D" w:rsidRDefault="00A23B3D" w14:paraId="5B05B6D8" w14:textId="77777777">
            <w:pPr>
              <w:autoSpaceDE w:val="0"/>
              <w:autoSpaceDN w:val="0"/>
              <w:adjustRightInd w:val="0"/>
              <w:spacing w:line="240" w:lineRule="auto"/>
              <w:jc w:val="center"/>
              <w:rPr>
                <w:rFonts w:ascii="Verdana" w:hAnsi="Verdana" w:eastAsia="Calibri" w:cs="Times New Roman"/>
                <w:sz w:val="18"/>
                <w:szCs w:val="18"/>
              </w:rPr>
            </w:pPr>
            <w:r w:rsidRPr="00A23B3D">
              <w:rPr>
                <w:rFonts w:ascii="Verdana" w:hAnsi="Verdana" w:eastAsia="Calibri" w:cs="Times New Roman"/>
                <w:sz w:val="18"/>
                <w:szCs w:val="18"/>
              </w:rPr>
              <w:t>€ 444</w:t>
            </w:r>
          </w:p>
        </w:tc>
        <w:tc>
          <w:tcPr>
            <w:tcW w:w="960" w:type="dxa"/>
            <w:hideMark/>
          </w:tcPr>
          <w:p w:rsidRPr="00A23B3D" w:rsidR="00A23B3D" w:rsidP="00A23B3D" w:rsidRDefault="00A23B3D" w14:paraId="054464D9" w14:textId="77777777">
            <w:pPr>
              <w:autoSpaceDE w:val="0"/>
              <w:autoSpaceDN w:val="0"/>
              <w:adjustRightInd w:val="0"/>
              <w:spacing w:line="240" w:lineRule="auto"/>
              <w:rPr>
                <w:rFonts w:ascii="Verdana" w:hAnsi="Verdana" w:eastAsia="Calibri" w:cs="Times New Roman"/>
                <w:sz w:val="18"/>
                <w:szCs w:val="18"/>
              </w:rPr>
            </w:pPr>
            <w:r w:rsidRPr="00A23B3D">
              <w:rPr>
                <w:rFonts w:ascii="Verdana" w:hAnsi="Verdana" w:eastAsia="Calibri" w:cs="Times New Roman"/>
                <w:sz w:val="18"/>
                <w:szCs w:val="18"/>
              </w:rPr>
              <w:t>€ 460</w:t>
            </w:r>
          </w:p>
        </w:tc>
        <w:tc>
          <w:tcPr>
            <w:tcW w:w="1237" w:type="dxa"/>
            <w:hideMark/>
          </w:tcPr>
          <w:p w:rsidRPr="00A23B3D" w:rsidR="00A23B3D" w:rsidP="00A23B3D" w:rsidRDefault="00A23B3D" w14:paraId="2BDD8D49" w14:textId="77777777">
            <w:pPr>
              <w:autoSpaceDE w:val="0"/>
              <w:autoSpaceDN w:val="0"/>
              <w:adjustRightInd w:val="0"/>
              <w:spacing w:line="240" w:lineRule="auto"/>
              <w:jc w:val="right"/>
              <w:rPr>
                <w:rFonts w:ascii="Verdana" w:hAnsi="Verdana" w:eastAsia="Calibri" w:cs="Times New Roman"/>
                <w:sz w:val="18"/>
                <w:szCs w:val="18"/>
              </w:rPr>
            </w:pPr>
            <w:r w:rsidRPr="00A23B3D">
              <w:rPr>
                <w:rFonts w:ascii="Verdana" w:hAnsi="Verdana" w:eastAsia="Calibri" w:cs="Times New Roman"/>
                <w:sz w:val="18"/>
                <w:szCs w:val="18"/>
              </w:rPr>
              <w:t>€ 355</w:t>
            </w:r>
          </w:p>
        </w:tc>
      </w:tr>
    </w:tbl>
    <w:p w:rsidRPr="00A23B3D" w:rsidR="00A23B3D" w:rsidP="00A23B3D" w:rsidRDefault="00A23B3D" w14:paraId="2AE26A7B" w14:textId="77777777">
      <w:pPr>
        <w:spacing w:after="0" w:line="256" w:lineRule="auto"/>
        <w:rPr>
          <w:rFonts w:ascii="Verdana" w:hAnsi="Verdana" w:eastAsia="Calibri" w:cs="Times New Roman"/>
          <w:sz w:val="18"/>
          <w:szCs w:val="18"/>
        </w:rPr>
      </w:pPr>
    </w:p>
    <w:p w:rsidRPr="00A23B3D" w:rsidR="00A23B3D" w:rsidP="00A23B3D" w:rsidRDefault="00A23B3D" w14:paraId="4B1BC3EE" w14:textId="77777777">
      <w:pPr>
        <w:spacing w:after="0" w:line="256" w:lineRule="auto"/>
        <w:rPr>
          <w:rFonts w:ascii="Verdana" w:hAnsi="Verdana" w:eastAsia="Calibri" w:cs="AANBE D+ Univers"/>
          <w:color w:val="211D1F"/>
          <w:sz w:val="18"/>
          <w:szCs w:val="18"/>
        </w:rPr>
      </w:pPr>
      <w:r w:rsidRPr="00A23B3D">
        <w:rPr>
          <w:rFonts w:ascii="Verdana" w:hAnsi="Verdana" w:eastAsia="Calibri" w:cs="AANBE D+ Univers"/>
          <w:color w:val="211D1F"/>
          <w:sz w:val="18"/>
          <w:szCs w:val="18"/>
        </w:rPr>
        <w:t xml:space="preserve">In 2024 bedroeg het totale bedrag aan oninbaar geleden schuld </w:t>
      </w:r>
      <w:r w:rsidRPr="00A23B3D">
        <w:rPr>
          <w:rFonts w:ascii="Verdana" w:hAnsi="Verdana" w:eastAsia="Calibri" w:cs="Times New Roman"/>
          <w:sz w:val="18"/>
          <w:szCs w:val="18"/>
        </w:rPr>
        <w:t xml:space="preserve">€ </w:t>
      </w:r>
      <w:r w:rsidRPr="00A23B3D">
        <w:rPr>
          <w:rFonts w:ascii="Verdana" w:hAnsi="Verdana" w:eastAsia="Calibri" w:cs="AANBE D+ Univers"/>
          <w:color w:val="211D1F"/>
          <w:sz w:val="18"/>
          <w:szCs w:val="18"/>
        </w:rPr>
        <w:t>1,2 mld.</w:t>
      </w:r>
    </w:p>
    <w:p w:rsidRPr="00276931" w:rsidR="00680856" w:rsidP="00680856" w:rsidRDefault="00680856" w14:paraId="583A38D7" w14:textId="77777777">
      <w:pPr>
        <w:spacing w:after="0"/>
        <w:rPr>
          <w:rFonts w:ascii="Verdana" w:hAnsi="Verdana" w:cs="AANBE D+ Univers"/>
          <w:b/>
          <w:bCs/>
          <w:i/>
          <w:iCs/>
          <w:color w:val="211D1F"/>
          <w:sz w:val="18"/>
          <w:szCs w:val="18"/>
        </w:rPr>
      </w:pPr>
    </w:p>
    <w:p w:rsidRPr="00276931" w:rsidR="00680856" w:rsidP="00680856" w:rsidRDefault="00680856" w14:paraId="72CF6801" w14:textId="77777777">
      <w:pPr>
        <w:spacing w:after="0"/>
        <w:rPr>
          <w:rFonts w:ascii="Verdana" w:hAnsi="Verdana"/>
          <w:i/>
          <w:iCs/>
          <w:sz w:val="18"/>
          <w:szCs w:val="18"/>
        </w:rPr>
      </w:pPr>
      <w:r w:rsidRPr="00276931">
        <w:rPr>
          <w:rFonts w:ascii="Verdana" w:hAnsi="Verdana"/>
          <w:i/>
          <w:iCs/>
          <w:sz w:val="18"/>
          <w:szCs w:val="18"/>
        </w:rPr>
        <w:t>Verdere afhandeling</w:t>
      </w:r>
    </w:p>
    <w:p w:rsidRPr="00276931" w:rsidR="00680856" w:rsidP="00680856" w:rsidRDefault="00680856" w14:paraId="19D5F370" w14:textId="6C9094D4">
      <w:pPr>
        <w:spacing w:after="0"/>
        <w:rPr>
          <w:rFonts w:ascii="Verdana" w:hAnsi="Verdana"/>
          <w:sz w:val="18"/>
          <w:szCs w:val="18"/>
        </w:rPr>
      </w:pPr>
      <w:r w:rsidRPr="00276931">
        <w:rPr>
          <w:rFonts w:ascii="Verdana" w:hAnsi="Verdana"/>
          <w:sz w:val="18"/>
          <w:szCs w:val="18"/>
        </w:rPr>
        <w:t>De afwikkeling van de coronabetalingsregeling brengt nog steeds een aanzienlijke uitvoeringslast met zich mee voor de Belastingdienst, terwi</w:t>
      </w:r>
      <w:r w:rsidR="00F345E4">
        <w:rPr>
          <w:rFonts w:ascii="Verdana" w:hAnsi="Verdana"/>
          <w:sz w:val="18"/>
          <w:szCs w:val="18"/>
        </w:rPr>
        <w:t>jl</w:t>
      </w:r>
      <w:r w:rsidRPr="00276931">
        <w:rPr>
          <w:rFonts w:ascii="Verdana" w:hAnsi="Verdana"/>
          <w:sz w:val="18"/>
          <w:szCs w:val="18"/>
        </w:rPr>
        <w:t xml:space="preserve"> er binnen de invordering nog steeds meer werk is dan capaciteit. Er zijn ondernemers met achterstanden in de termijnbetalingen en veel van deze ondernemers hebben moeite met het gelijktijdig voldoen van de nieuwe betalingsverplichtingen. De Belastingdienst geeft de hoogste prioriteit aan werkzaamheden die zien op verzoeken voor versoepelingen, uitstel van betaling, sanering en bezwaar- en beroepschriften van ondernemers uit de (corona)betalingsregeling. De insteek is om zoveel mogelijk ondernemers in de regeling te houden, wat gunstig is voor zowel ondernemers als voor de Belastingdienst (er is dan geen capaciteit nodig voor dwanginvordering).</w:t>
      </w:r>
    </w:p>
    <w:p w:rsidRPr="00276931" w:rsidR="00680856" w:rsidP="00680856" w:rsidRDefault="00680856" w14:paraId="3FE8D9F1" w14:textId="77777777">
      <w:pPr>
        <w:spacing w:after="0"/>
        <w:rPr>
          <w:rFonts w:ascii="Verdana" w:hAnsi="Verdana"/>
          <w:sz w:val="18"/>
          <w:szCs w:val="18"/>
        </w:rPr>
      </w:pPr>
    </w:p>
    <w:p w:rsidRPr="00276931" w:rsidR="00680856" w:rsidP="00680856" w:rsidRDefault="00680856" w14:paraId="62FDCC9D" w14:textId="77777777">
      <w:pPr>
        <w:spacing w:after="0"/>
        <w:rPr>
          <w:rFonts w:ascii="Verdana" w:hAnsi="Verdana"/>
          <w:i/>
          <w:iCs/>
          <w:sz w:val="18"/>
          <w:szCs w:val="18"/>
        </w:rPr>
      </w:pPr>
      <w:r w:rsidRPr="00276931">
        <w:rPr>
          <w:rFonts w:ascii="Verdana" w:hAnsi="Verdana"/>
          <w:i/>
          <w:iCs/>
          <w:sz w:val="18"/>
          <w:szCs w:val="18"/>
        </w:rPr>
        <w:t>Meer informatie</w:t>
      </w:r>
    </w:p>
    <w:p w:rsidR="00680856" w:rsidP="00680856" w:rsidRDefault="00680856" w14:paraId="3D9F899D" w14:textId="77777777">
      <w:pPr>
        <w:spacing w:after="0"/>
        <w:rPr>
          <w:rFonts w:ascii="Verdana" w:hAnsi="Verdana"/>
          <w:sz w:val="18"/>
          <w:szCs w:val="18"/>
        </w:rPr>
      </w:pPr>
      <w:r w:rsidRPr="00276931">
        <w:rPr>
          <w:rFonts w:ascii="Verdana" w:hAnsi="Verdana"/>
          <w:sz w:val="18"/>
          <w:szCs w:val="18"/>
        </w:rPr>
        <w:t xml:space="preserve">Op </w:t>
      </w:r>
      <w:hyperlink w:history="1" r:id="rId8">
        <w:r w:rsidRPr="00276931">
          <w:rPr>
            <w:rStyle w:val="Hyperlink"/>
            <w:rFonts w:ascii="Verdana" w:hAnsi="Verdana"/>
            <w:sz w:val="18"/>
            <w:szCs w:val="18"/>
          </w:rPr>
          <w:t>https://over-ons.belastingdienst.nl/onderwerpen/bijzonder-uitstel-corona/</w:t>
        </w:r>
      </w:hyperlink>
      <w:r w:rsidRPr="00276931">
        <w:rPr>
          <w:rFonts w:ascii="Verdana" w:hAnsi="Verdana"/>
          <w:sz w:val="18"/>
          <w:szCs w:val="18"/>
        </w:rPr>
        <w:t xml:space="preserve"> geeft de Belastingdienst informatie over de afwikkeling van de coronabelastingschulden en de </w:t>
      </w:r>
      <w:r w:rsidRPr="00276931">
        <w:rPr>
          <w:rFonts w:ascii="Verdana" w:hAnsi="Verdana"/>
          <w:sz w:val="18"/>
          <w:szCs w:val="18"/>
        </w:rPr>
        <w:lastRenderedPageBreak/>
        <w:t>coronabetalingsregeling. Deze informatie wordt tweemaandelijks bijgewerkt. Ik blijf uw Kamer via de stand-van-zakenbrieven informeren over de coronabelastingschulden en de coronabetalingsregeling.</w:t>
      </w:r>
    </w:p>
    <w:p w:rsidRPr="00276931" w:rsidR="00680856" w:rsidP="00680856" w:rsidRDefault="00680856" w14:paraId="6BD9226B" w14:textId="77777777">
      <w:pPr>
        <w:spacing w:after="0"/>
        <w:rPr>
          <w:rFonts w:ascii="Verdana" w:hAnsi="Verdana"/>
          <w:sz w:val="18"/>
          <w:szCs w:val="18"/>
        </w:rPr>
      </w:pPr>
    </w:p>
    <w:p w:rsidRPr="0089409B" w:rsidR="0089409B" w:rsidP="0089409B" w:rsidRDefault="005B655E" w14:paraId="7DDA7330" w14:textId="084EA3D1">
      <w:pPr>
        <w:spacing w:after="0"/>
        <w:rPr>
          <w:rFonts w:ascii="Verdana" w:hAnsi="Verdana" w:cs="AANBE D+ Univers"/>
          <w:b/>
          <w:bCs/>
          <w:color w:val="211D1F"/>
          <w:sz w:val="18"/>
          <w:szCs w:val="18"/>
        </w:rPr>
      </w:pPr>
      <w:r>
        <w:rPr>
          <w:rFonts w:ascii="Verdana" w:hAnsi="Verdana" w:cs="AANBE D+ Univers"/>
          <w:b/>
          <w:bCs/>
          <w:color w:val="211D1F"/>
          <w:sz w:val="18"/>
          <w:szCs w:val="18"/>
        </w:rPr>
        <w:t>1</w:t>
      </w:r>
      <w:r w:rsidR="007F29E6">
        <w:rPr>
          <w:rFonts w:ascii="Verdana" w:hAnsi="Verdana" w:cs="AANBE D+ Univers"/>
          <w:b/>
          <w:bCs/>
          <w:color w:val="211D1F"/>
          <w:sz w:val="18"/>
          <w:szCs w:val="18"/>
        </w:rPr>
        <w:t>7</w:t>
      </w:r>
      <w:r w:rsidRPr="0089409B" w:rsidR="0089409B">
        <w:rPr>
          <w:rFonts w:ascii="Verdana" w:hAnsi="Verdana" w:cs="AANBE D+ Univers"/>
          <w:b/>
          <w:bCs/>
          <w:color w:val="211D1F"/>
          <w:sz w:val="18"/>
          <w:szCs w:val="18"/>
        </w:rPr>
        <w:t>. Kwijtscheldingsbeleid ondernemers</w:t>
      </w:r>
    </w:p>
    <w:p w:rsidRPr="00276931" w:rsidR="0089409B" w:rsidP="0089409B" w:rsidRDefault="0089409B" w14:paraId="6443F0FB" w14:textId="77777777">
      <w:pPr>
        <w:spacing w:after="0"/>
        <w:rPr>
          <w:rFonts w:ascii="Verdana" w:hAnsi="Verdana"/>
          <w:b/>
          <w:bCs/>
          <w:i/>
          <w:iCs/>
          <w:sz w:val="18"/>
          <w:szCs w:val="18"/>
        </w:rPr>
      </w:pPr>
    </w:p>
    <w:p w:rsidRPr="00276931" w:rsidR="0089409B" w:rsidP="0089409B" w:rsidRDefault="0089409B" w14:paraId="4081E17D" w14:textId="034E5BE2">
      <w:pPr>
        <w:spacing w:after="0"/>
        <w:rPr>
          <w:rFonts w:ascii="Verdana" w:hAnsi="Verdana"/>
          <w:sz w:val="18"/>
          <w:szCs w:val="18"/>
        </w:rPr>
      </w:pPr>
      <w:r w:rsidRPr="00276931">
        <w:rPr>
          <w:rFonts w:ascii="Verdana" w:hAnsi="Verdana"/>
          <w:sz w:val="18"/>
          <w:szCs w:val="18"/>
        </w:rPr>
        <w:t>Tijdens het commissiedebat Belastingdienst van 13 maart 2025 heeft mijn ambtsvoorganger toegezegd uw Kamer te informeren over eventuele wijzigingen in het kwijtscheldingsbeleid.</w:t>
      </w:r>
      <w:r w:rsidRPr="00276931">
        <w:rPr>
          <w:rStyle w:val="Voetnootmarkering"/>
          <w:rFonts w:ascii="Verdana" w:hAnsi="Verdana"/>
          <w:sz w:val="18"/>
          <w:szCs w:val="18"/>
        </w:rPr>
        <w:footnoteReference w:id="36"/>
      </w:r>
      <w:r w:rsidRPr="00276931">
        <w:rPr>
          <w:rFonts w:ascii="Verdana" w:hAnsi="Verdana"/>
          <w:sz w:val="18"/>
          <w:szCs w:val="18"/>
        </w:rPr>
        <w:t xml:space="preserve"> Op 1 mei 2025 heeft </w:t>
      </w:r>
      <w:r w:rsidR="00BF28F3">
        <w:rPr>
          <w:rFonts w:ascii="Verdana" w:hAnsi="Verdana"/>
          <w:sz w:val="18"/>
          <w:szCs w:val="18"/>
        </w:rPr>
        <w:t>mijn ambtsvoorganger</w:t>
      </w:r>
      <w:r w:rsidRPr="00276931">
        <w:rPr>
          <w:rFonts w:ascii="Verdana" w:hAnsi="Verdana"/>
          <w:sz w:val="18"/>
          <w:szCs w:val="18"/>
        </w:rPr>
        <w:t xml:space="preserve"> bij de beantwoording van schriftelijke vragen van de leden Van Eijk en Kisteman </w:t>
      </w:r>
      <w:r w:rsidR="007F72DE">
        <w:rPr>
          <w:rFonts w:ascii="Verdana" w:hAnsi="Verdana"/>
          <w:sz w:val="18"/>
          <w:szCs w:val="18"/>
        </w:rPr>
        <w:t xml:space="preserve">(VVD) </w:t>
      </w:r>
      <w:r w:rsidRPr="00276931">
        <w:rPr>
          <w:rFonts w:ascii="Verdana" w:hAnsi="Verdana"/>
          <w:sz w:val="18"/>
          <w:szCs w:val="18"/>
        </w:rPr>
        <w:t>enkele wijzigingen van de Leidraad Invordering 2008 aangekondigd.</w:t>
      </w:r>
      <w:r w:rsidRPr="00276931">
        <w:rPr>
          <w:rStyle w:val="Voetnootmarkering"/>
          <w:rFonts w:ascii="Verdana" w:hAnsi="Verdana"/>
          <w:sz w:val="18"/>
          <w:szCs w:val="18"/>
        </w:rPr>
        <w:footnoteReference w:id="37"/>
      </w:r>
      <w:r w:rsidRPr="00276931">
        <w:rPr>
          <w:rFonts w:ascii="Verdana" w:hAnsi="Verdana"/>
          <w:sz w:val="18"/>
          <w:szCs w:val="18"/>
        </w:rPr>
        <w:t xml:space="preserve"> Deze zijn per 1 juli 2025 in werking getreden.</w:t>
      </w:r>
      <w:r w:rsidRPr="00276931">
        <w:rPr>
          <w:rStyle w:val="Voetnootmarkering"/>
          <w:rFonts w:ascii="Verdana" w:hAnsi="Verdana"/>
          <w:sz w:val="18"/>
          <w:szCs w:val="18"/>
        </w:rPr>
        <w:footnoteReference w:id="38"/>
      </w:r>
      <w:r w:rsidRPr="00276931">
        <w:rPr>
          <w:rFonts w:ascii="Verdana" w:hAnsi="Verdana"/>
          <w:sz w:val="18"/>
          <w:szCs w:val="18"/>
        </w:rPr>
        <w:t xml:space="preserve"> </w:t>
      </w:r>
    </w:p>
    <w:p w:rsidRPr="00276931" w:rsidR="0089409B" w:rsidP="0089409B" w:rsidRDefault="0089409B" w14:paraId="51B4455C" w14:textId="77777777">
      <w:pPr>
        <w:spacing w:after="0"/>
        <w:rPr>
          <w:rFonts w:ascii="Verdana" w:hAnsi="Verdana"/>
          <w:sz w:val="18"/>
          <w:szCs w:val="18"/>
        </w:rPr>
      </w:pPr>
    </w:p>
    <w:p w:rsidRPr="00276931" w:rsidR="0089409B" w:rsidP="0089409B" w:rsidRDefault="0089409B" w14:paraId="0BD5C92B" w14:textId="5074AA58">
      <w:pPr>
        <w:spacing w:after="0"/>
        <w:rPr>
          <w:rFonts w:ascii="Verdana" w:hAnsi="Verdana"/>
          <w:sz w:val="18"/>
          <w:szCs w:val="18"/>
        </w:rPr>
      </w:pPr>
      <w:r w:rsidRPr="00276931">
        <w:rPr>
          <w:rFonts w:ascii="Verdana" w:hAnsi="Verdana"/>
          <w:sz w:val="18"/>
          <w:szCs w:val="18"/>
        </w:rPr>
        <w:t>De eerste wijziging betreft de regeling voor dwangcrediteuren.</w:t>
      </w:r>
      <w:r w:rsidRPr="00276931">
        <w:rPr>
          <w:rStyle w:val="Voetnootmarkering"/>
          <w:rFonts w:ascii="Verdana" w:hAnsi="Verdana"/>
          <w:sz w:val="18"/>
          <w:szCs w:val="18"/>
        </w:rPr>
        <w:footnoteReference w:id="39"/>
      </w:r>
      <w:r w:rsidRPr="00276931">
        <w:rPr>
          <w:rFonts w:ascii="Verdana" w:hAnsi="Verdana"/>
          <w:sz w:val="18"/>
          <w:szCs w:val="18"/>
        </w:rPr>
        <w:t xml:space="preserve"> </w:t>
      </w:r>
      <w:r w:rsidR="00467AE4">
        <w:rPr>
          <w:rFonts w:ascii="Verdana" w:hAnsi="Verdana"/>
          <w:sz w:val="18"/>
          <w:szCs w:val="18"/>
        </w:rPr>
        <w:t xml:space="preserve">Dat zijn </w:t>
      </w:r>
      <w:r w:rsidRPr="00467AE4" w:rsidR="00467AE4">
        <w:rPr>
          <w:rFonts w:ascii="Verdana" w:hAnsi="Verdana"/>
          <w:sz w:val="18"/>
          <w:szCs w:val="18"/>
        </w:rPr>
        <w:t>schuldeiser</w:t>
      </w:r>
      <w:r w:rsidR="00467AE4">
        <w:rPr>
          <w:rFonts w:ascii="Verdana" w:hAnsi="Verdana"/>
          <w:sz w:val="18"/>
          <w:szCs w:val="18"/>
        </w:rPr>
        <w:t>s</w:t>
      </w:r>
      <w:r w:rsidRPr="00467AE4" w:rsidR="00467AE4">
        <w:rPr>
          <w:rFonts w:ascii="Verdana" w:hAnsi="Verdana"/>
          <w:sz w:val="18"/>
          <w:szCs w:val="18"/>
        </w:rPr>
        <w:t xml:space="preserve"> aan</w:t>
      </w:r>
      <w:r w:rsidR="00467AE4">
        <w:rPr>
          <w:rFonts w:ascii="Verdana" w:hAnsi="Verdana"/>
          <w:sz w:val="18"/>
          <w:szCs w:val="18"/>
        </w:rPr>
        <w:t xml:space="preserve"> wie ondernemers</w:t>
      </w:r>
      <w:r w:rsidRPr="00467AE4" w:rsidR="00467AE4">
        <w:rPr>
          <w:rFonts w:ascii="Verdana" w:hAnsi="Verdana"/>
          <w:sz w:val="18"/>
          <w:szCs w:val="18"/>
        </w:rPr>
        <w:t xml:space="preserve"> verplicht </w:t>
      </w:r>
      <w:r w:rsidR="00467AE4">
        <w:rPr>
          <w:rFonts w:ascii="Verdana" w:hAnsi="Verdana"/>
          <w:sz w:val="18"/>
          <w:szCs w:val="18"/>
        </w:rPr>
        <w:t>zijn</w:t>
      </w:r>
      <w:r w:rsidRPr="00467AE4" w:rsidR="00467AE4">
        <w:rPr>
          <w:rFonts w:ascii="Verdana" w:hAnsi="Verdana"/>
          <w:sz w:val="18"/>
          <w:szCs w:val="18"/>
        </w:rPr>
        <w:t xml:space="preserve"> te betalen omdat de levering of dienst noodzakelijk is </w:t>
      </w:r>
      <w:r w:rsidR="00467AE4">
        <w:rPr>
          <w:rFonts w:ascii="Verdana" w:hAnsi="Verdana"/>
          <w:sz w:val="18"/>
          <w:szCs w:val="18"/>
        </w:rPr>
        <w:t>w</w:t>
      </w:r>
      <w:r w:rsidRPr="00467AE4" w:rsidR="00467AE4">
        <w:rPr>
          <w:rFonts w:ascii="Verdana" w:hAnsi="Verdana"/>
          <w:sz w:val="18"/>
          <w:szCs w:val="18"/>
        </w:rPr>
        <w:t xml:space="preserve">aardoor betaling niet kan worden uitgesteld of geweigerd. </w:t>
      </w:r>
      <w:r w:rsidRPr="00276931">
        <w:rPr>
          <w:rFonts w:ascii="Verdana" w:hAnsi="Verdana"/>
          <w:sz w:val="18"/>
          <w:szCs w:val="18"/>
        </w:rPr>
        <w:t>Voorheen kon de indruk ontstaan dat een crediteur pas als dwangcrediteur gold</w:t>
      </w:r>
      <w:r w:rsidR="00617E2C">
        <w:rPr>
          <w:rFonts w:ascii="Verdana" w:hAnsi="Verdana"/>
          <w:sz w:val="18"/>
          <w:szCs w:val="18"/>
        </w:rPr>
        <w:t>,</w:t>
      </w:r>
      <w:r w:rsidRPr="00276931">
        <w:rPr>
          <w:rFonts w:ascii="Verdana" w:hAnsi="Verdana"/>
          <w:sz w:val="18"/>
          <w:szCs w:val="18"/>
        </w:rPr>
        <w:t xml:space="preserve"> nadat hij in het kader van een saneringsakkoord was aangeschreven en weigerde mee te werken. Nu is verduidelijkt dat de ontvanger een crediteur ook als dwangcrediteur kan aanmerken indien aannemelijk is dat deze niet bereid is mee te werken, terwi</w:t>
      </w:r>
      <w:r w:rsidR="00F345E4">
        <w:rPr>
          <w:rFonts w:ascii="Verdana" w:hAnsi="Verdana"/>
          <w:sz w:val="18"/>
          <w:szCs w:val="18"/>
        </w:rPr>
        <w:t>jl</w:t>
      </w:r>
      <w:r w:rsidRPr="00276931">
        <w:rPr>
          <w:rFonts w:ascii="Verdana" w:hAnsi="Verdana"/>
          <w:sz w:val="18"/>
          <w:szCs w:val="18"/>
        </w:rPr>
        <w:t xml:space="preserve"> zonder zijn medewerking de onderneming niet kan worden voortgezet. De belastingschuldige kan dit </w:t>
      </w:r>
      <w:r w:rsidR="00617E2C">
        <w:rPr>
          <w:rFonts w:ascii="Verdana" w:hAnsi="Verdana"/>
          <w:sz w:val="18"/>
          <w:szCs w:val="18"/>
        </w:rPr>
        <w:t>op verschillende wijzen</w:t>
      </w:r>
      <w:r w:rsidRPr="00276931">
        <w:rPr>
          <w:rFonts w:ascii="Verdana" w:hAnsi="Verdana"/>
          <w:sz w:val="18"/>
          <w:szCs w:val="18"/>
        </w:rPr>
        <w:t xml:space="preserve"> aannemelijk maken</w:t>
      </w:r>
      <w:r w:rsidR="00617E2C">
        <w:rPr>
          <w:rFonts w:ascii="Verdana" w:hAnsi="Verdana"/>
          <w:sz w:val="18"/>
          <w:szCs w:val="18"/>
        </w:rPr>
        <w:t>, onder andere</w:t>
      </w:r>
      <w:r w:rsidRPr="00276931">
        <w:rPr>
          <w:rFonts w:ascii="Verdana" w:hAnsi="Verdana"/>
          <w:sz w:val="18"/>
          <w:szCs w:val="18"/>
        </w:rPr>
        <w:t xml:space="preserve"> door een afwijzing van de crediteur te tonen. Daarnaast is het kwijtscheldingsbeleid verduidelijkt ten aanzien van de betalingstermijn van het in een saneringsakkoord overeengekomen bedrag. Het uitgangspunt blijft dat dit in één keer wordt betaald, maar onder voorwaarden kan een betalingsregeling worden getroffen. Deze duurt in beginsel maximaal twaalf maanden, maar een langere termijn is mogelijk indien noodzakelijk en haalbaar. Dit maatwerk werd al toegepast, maar de mogelijkheid daartoe was onvoldoende expliciet in de Leidraad vastgelegd.</w:t>
      </w:r>
      <w:r w:rsidRPr="00276931">
        <w:rPr>
          <w:rStyle w:val="Voetnootmarkering"/>
          <w:rFonts w:ascii="Verdana" w:hAnsi="Verdana"/>
          <w:sz w:val="18"/>
          <w:szCs w:val="18"/>
        </w:rPr>
        <w:footnoteReference w:id="40"/>
      </w:r>
      <w:r w:rsidRPr="00276931">
        <w:rPr>
          <w:rFonts w:ascii="Verdana" w:hAnsi="Verdana"/>
          <w:sz w:val="18"/>
          <w:szCs w:val="18"/>
        </w:rPr>
        <w:t xml:space="preserve"> </w:t>
      </w:r>
    </w:p>
    <w:p w:rsidRPr="00276931" w:rsidR="0089409B" w:rsidP="0089409B" w:rsidRDefault="0089409B" w14:paraId="23933BEF" w14:textId="77777777">
      <w:pPr>
        <w:spacing w:after="0"/>
        <w:rPr>
          <w:rFonts w:ascii="Verdana" w:hAnsi="Verdana"/>
          <w:sz w:val="18"/>
          <w:szCs w:val="18"/>
        </w:rPr>
      </w:pPr>
    </w:p>
    <w:p w:rsidRPr="00276931" w:rsidR="0089409B" w:rsidP="003B3AFB" w:rsidRDefault="0089409B" w14:paraId="626EF3F9" w14:textId="61C07453">
      <w:pPr>
        <w:spacing w:after="0"/>
        <w:rPr>
          <w:rFonts w:ascii="Verdana" w:hAnsi="Verdana"/>
          <w:sz w:val="18"/>
          <w:szCs w:val="18"/>
        </w:rPr>
      </w:pPr>
      <w:r w:rsidRPr="00276931">
        <w:rPr>
          <w:rFonts w:ascii="Verdana" w:hAnsi="Verdana"/>
          <w:sz w:val="18"/>
          <w:szCs w:val="18"/>
        </w:rPr>
        <w:t>Bij de beantwoording van de schriftelijke vragen is uw Kamer geïnformeerd over een werkgroep die onderzoekt of aanpassingen van het fiscale saneringsbeleid noodzakelijk en wenselijk zijn</w:t>
      </w:r>
      <w:r w:rsidR="00FA5CB3">
        <w:rPr>
          <w:rFonts w:ascii="Verdana" w:hAnsi="Verdana"/>
          <w:sz w:val="18"/>
          <w:szCs w:val="18"/>
        </w:rPr>
        <w:t xml:space="preserve"> en of</w:t>
      </w:r>
      <w:r w:rsidRPr="00276931">
        <w:rPr>
          <w:rFonts w:ascii="Verdana" w:hAnsi="Verdana"/>
          <w:sz w:val="18"/>
          <w:szCs w:val="18"/>
        </w:rPr>
        <w:t xml:space="preserve"> verdere aanpassingen nodig zijn. De komende periode richt het onderzoek zich op de volgende onderwerpen:</w:t>
      </w:r>
    </w:p>
    <w:p w:rsidRPr="00276931" w:rsidR="0089409B" w:rsidP="0089409B" w:rsidRDefault="0089409B" w14:paraId="5592817B" w14:textId="77777777">
      <w:pPr>
        <w:pStyle w:val="Lijstalinea"/>
        <w:numPr>
          <w:ilvl w:val="0"/>
          <w:numId w:val="18"/>
        </w:numPr>
        <w:autoSpaceDN w:val="0"/>
        <w:spacing w:after="0" w:line="240" w:lineRule="atLeast"/>
        <w:rPr>
          <w:rFonts w:ascii="Verdana" w:hAnsi="Verdana"/>
          <w:sz w:val="18"/>
          <w:szCs w:val="18"/>
        </w:rPr>
      </w:pPr>
      <w:r w:rsidRPr="00276931">
        <w:rPr>
          <w:rFonts w:ascii="Verdana" w:hAnsi="Verdana"/>
          <w:sz w:val="18"/>
          <w:szCs w:val="18"/>
        </w:rPr>
        <w:t>Mogelijke verschillen tussen het beleid bij WHOA</w:t>
      </w:r>
      <w:r w:rsidRPr="00276931">
        <w:rPr>
          <w:rStyle w:val="Voetnootmarkering"/>
          <w:rFonts w:ascii="Verdana" w:hAnsi="Verdana"/>
          <w:sz w:val="18"/>
          <w:szCs w:val="18"/>
        </w:rPr>
        <w:footnoteReference w:id="41"/>
      </w:r>
      <w:r w:rsidRPr="00276931">
        <w:rPr>
          <w:rFonts w:ascii="Verdana" w:hAnsi="Verdana"/>
          <w:sz w:val="18"/>
          <w:szCs w:val="18"/>
        </w:rPr>
        <w:t>-akkoorden en saneringsakkoorden bij buitengerechtelijke saneringsverzoeken;</w:t>
      </w:r>
    </w:p>
    <w:p w:rsidRPr="00276931" w:rsidR="0089409B" w:rsidP="0089409B" w:rsidRDefault="0089409B" w14:paraId="707E2658" w14:textId="77777777">
      <w:pPr>
        <w:pStyle w:val="Lijstalinea"/>
        <w:numPr>
          <w:ilvl w:val="0"/>
          <w:numId w:val="18"/>
        </w:numPr>
        <w:autoSpaceDN w:val="0"/>
        <w:spacing w:after="0" w:line="240" w:lineRule="atLeast"/>
        <w:rPr>
          <w:rFonts w:ascii="Verdana" w:hAnsi="Verdana"/>
          <w:sz w:val="18"/>
          <w:szCs w:val="18"/>
        </w:rPr>
      </w:pPr>
      <w:r w:rsidRPr="00276931">
        <w:rPr>
          <w:rFonts w:ascii="Verdana" w:hAnsi="Verdana"/>
          <w:sz w:val="18"/>
          <w:szCs w:val="18"/>
        </w:rPr>
        <w:t>Verduidelijking van de eis dat fiscale verplichtingen die tijdens de behandeling van een verzoek ontstaan, tijdig en volledig moeten worden nagekomen</w:t>
      </w:r>
      <w:r w:rsidRPr="00276931">
        <w:rPr>
          <w:rStyle w:val="Voetnootmarkering"/>
          <w:rFonts w:ascii="Verdana" w:hAnsi="Verdana"/>
          <w:sz w:val="18"/>
          <w:szCs w:val="18"/>
        </w:rPr>
        <w:footnoteReference w:id="42"/>
      </w:r>
      <w:r w:rsidRPr="00276931">
        <w:rPr>
          <w:rFonts w:ascii="Verdana" w:hAnsi="Verdana"/>
          <w:sz w:val="18"/>
          <w:szCs w:val="18"/>
        </w:rPr>
        <w:t>;</w:t>
      </w:r>
    </w:p>
    <w:p w:rsidRPr="00276931" w:rsidR="0089409B" w:rsidP="0089409B" w:rsidRDefault="0089409B" w14:paraId="3291F5EE" w14:textId="77777777">
      <w:pPr>
        <w:pStyle w:val="Lijstalinea"/>
        <w:numPr>
          <w:ilvl w:val="0"/>
          <w:numId w:val="18"/>
        </w:numPr>
        <w:autoSpaceDN w:val="0"/>
        <w:spacing w:after="0" w:line="240" w:lineRule="atLeast"/>
        <w:rPr>
          <w:rFonts w:ascii="Verdana" w:hAnsi="Verdana"/>
          <w:sz w:val="18"/>
          <w:szCs w:val="18"/>
        </w:rPr>
      </w:pPr>
      <w:r w:rsidRPr="00276931">
        <w:rPr>
          <w:rFonts w:ascii="Verdana" w:hAnsi="Verdana"/>
          <w:sz w:val="18"/>
          <w:szCs w:val="18"/>
        </w:rPr>
        <w:t>Een uitvoerbare oplossing voor de operationele belasting van ondernemers, doordat in beginsel alle crediteuren in het saneringsakkoord moeten worden betrokken.</w:t>
      </w:r>
    </w:p>
    <w:p w:rsidRPr="00276931" w:rsidR="0089409B" w:rsidP="0089409B" w:rsidRDefault="0089409B" w14:paraId="24947DF6" w14:textId="77777777">
      <w:pPr>
        <w:pStyle w:val="Lijstalinea"/>
        <w:autoSpaceDN w:val="0"/>
        <w:spacing w:after="0" w:line="240" w:lineRule="atLeast"/>
        <w:rPr>
          <w:rFonts w:ascii="Verdana" w:hAnsi="Verdana"/>
          <w:sz w:val="18"/>
          <w:szCs w:val="18"/>
        </w:rPr>
      </w:pPr>
    </w:p>
    <w:p w:rsidR="0089409B" w:rsidP="00B7550A" w:rsidRDefault="0089409B" w14:paraId="35740C74" w14:textId="76B2C38C">
      <w:pPr>
        <w:rPr>
          <w:rFonts w:ascii="Verdana" w:hAnsi="Verdana"/>
          <w:sz w:val="18"/>
          <w:szCs w:val="18"/>
        </w:rPr>
      </w:pPr>
      <w:r w:rsidRPr="00276931">
        <w:rPr>
          <w:rFonts w:ascii="Verdana" w:hAnsi="Verdana"/>
          <w:sz w:val="18"/>
          <w:szCs w:val="18"/>
        </w:rPr>
        <w:t>In de eerste helft van 2026 informeer ik uw Kamer over de uitkomsten van dit onderzoek.</w:t>
      </w:r>
    </w:p>
    <w:p w:rsidRPr="00276931" w:rsidR="00200979" w:rsidP="00200979" w:rsidRDefault="003A4D96" w14:paraId="64856ED6" w14:textId="343AA999">
      <w:pPr>
        <w:rPr>
          <w:rFonts w:ascii="Verdana" w:hAnsi="Verdana"/>
          <w:b/>
          <w:bCs/>
          <w:sz w:val="18"/>
          <w:szCs w:val="18"/>
        </w:rPr>
      </w:pPr>
      <w:r>
        <w:rPr>
          <w:rFonts w:ascii="Verdana" w:hAnsi="Verdana"/>
          <w:b/>
          <w:bCs/>
          <w:sz w:val="18"/>
          <w:szCs w:val="18"/>
        </w:rPr>
        <w:t>1</w:t>
      </w:r>
      <w:r w:rsidR="007F29E6">
        <w:rPr>
          <w:rFonts w:ascii="Verdana" w:hAnsi="Verdana"/>
          <w:b/>
          <w:bCs/>
          <w:sz w:val="18"/>
          <w:szCs w:val="18"/>
        </w:rPr>
        <w:t>8</w:t>
      </w:r>
      <w:r w:rsidRPr="00276931" w:rsidR="00200979">
        <w:rPr>
          <w:rFonts w:ascii="Verdana" w:hAnsi="Verdana"/>
          <w:b/>
          <w:bCs/>
          <w:sz w:val="18"/>
          <w:szCs w:val="18"/>
        </w:rPr>
        <w:t>. Betalingsregeling illiquide vermogen</w:t>
      </w:r>
    </w:p>
    <w:p w:rsidRPr="00276931" w:rsidR="00200979" w:rsidP="00200979" w:rsidRDefault="00200979" w14:paraId="6DF9FD27" w14:textId="7027A093">
      <w:pPr>
        <w:rPr>
          <w:rFonts w:ascii="Verdana" w:hAnsi="Verdana"/>
          <w:sz w:val="18"/>
          <w:szCs w:val="18"/>
        </w:rPr>
      </w:pPr>
      <w:r w:rsidRPr="00276931">
        <w:rPr>
          <w:rFonts w:ascii="Verdana" w:hAnsi="Verdana"/>
          <w:sz w:val="18"/>
          <w:szCs w:val="18"/>
        </w:rPr>
        <w:t>In de stand-van-zakenbrief</w:t>
      </w:r>
      <w:r w:rsidR="000E19D5">
        <w:rPr>
          <w:rFonts w:ascii="Verdana" w:hAnsi="Verdana"/>
          <w:sz w:val="18"/>
          <w:szCs w:val="18"/>
        </w:rPr>
        <w:t xml:space="preserve"> van 6 maart 2025</w:t>
      </w:r>
      <w:r w:rsidR="00BC2ED9">
        <w:rPr>
          <w:rStyle w:val="Voetnootmarkering"/>
          <w:rFonts w:ascii="Verdana" w:hAnsi="Verdana"/>
          <w:sz w:val="18"/>
          <w:szCs w:val="18"/>
        </w:rPr>
        <w:footnoteReference w:id="43"/>
      </w:r>
      <w:r w:rsidRPr="00276931">
        <w:rPr>
          <w:rFonts w:ascii="Verdana" w:hAnsi="Verdana"/>
          <w:sz w:val="18"/>
          <w:szCs w:val="18"/>
        </w:rPr>
        <w:t xml:space="preserve"> is met betrekking tot de implementatie van de invorderingsstrategie aangegeven dat één maatregel later in werking zou treden dan gepland. Het ging om de maatregel aanvullende betalingsregeling bij (overwaarde van) illiquide vermogen, die </w:t>
      </w:r>
      <w:r>
        <w:rPr>
          <w:rFonts w:ascii="Verdana" w:hAnsi="Verdana"/>
          <w:sz w:val="18"/>
          <w:szCs w:val="18"/>
        </w:rPr>
        <w:t xml:space="preserve">sinds 1 juli 2025 </w:t>
      </w:r>
      <w:r w:rsidRPr="00276931">
        <w:rPr>
          <w:rFonts w:ascii="Verdana" w:hAnsi="Verdana"/>
          <w:sz w:val="18"/>
          <w:szCs w:val="18"/>
        </w:rPr>
        <w:t xml:space="preserve">in werking is getreden. </w:t>
      </w:r>
      <w:r w:rsidR="00D548D1">
        <w:rPr>
          <w:rFonts w:ascii="Verdana" w:hAnsi="Verdana"/>
          <w:sz w:val="18"/>
          <w:szCs w:val="18"/>
        </w:rPr>
        <w:t xml:space="preserve">Aangezien </w:t>
      </w:r>
      <w:r w:rsidR="00BF28F3">
        <w:rPr>
          <w:rFonts w:ascii="Verdana" w:hAnsi="Verdana"/>
          <w:sz w:val="18"/>
          <w:szCs w:val="18"/>
        </w:rPr>
        <w:t xml:space="preserve">de maatregel </w:t>
      </w:r>
      <w:r w:rsidR="00D548D1">
        <w:rPr>
          <w:rFonts w:ascii="Verdana" w:hAnsi="Verdana"/>
          <w:sz w:val="18"/>
          <w:szCs w:val="18"/>
        </w:rPr>
        <w:t>nu in werking is getreden informeer ik u via deze brief</w:t>
      </w:r>
      <w:r w:rsidRPr="00276931">
        <w:rPr>
          <w:rFonts w:ascii="Verdana" w:hAnsi="Verdana"/>
          <w:sz w:val="18"/>
          <w:szCs w:val="18"/>
        </w:rPr>
        <w:t xml:space="preserve"> wat de</w:t>
      </w:r>
      <w:r w:rsidR="00D4502B">
        <w:rPr>
          <w:rFonts w:ascii="Verdana" w:hAnsi="Verdana"/>
          <w:sz w:val="18"/>
          <w:szCs w:val="18"/>
        </w:rPr>
        <w:t>ze</w:t>
      </w:r>
      <w:r w:rsidRPr="00276931">
        <w:rPr>
          <w:rFonts w:ascii="Verdana" w:hAnsi="Verdana"/>
          <w:sz w:val="18"/>
          <w:szCs w:val="18"/>
        </w:rPr>
        <w:t xml:space="preserve"> maatregel inhoudt.</w:t>
      </w:r>
    </w:p>
    <w:p w:rsidRPr="00276931" w:rsidR="00200979" w:rsidP="00200979" w:rsidRDefault="00200979" w14:paraId="2A71B336" w14:textId="3953C059">
      <w:pPr>
        <w:rPr>
          <w:rFonts w:ascii="Verdana" w:hAnsi="Verdana"/>
          <w:sz w:val="18"/>
          <w:szCs w:val="18"/>
        </w:rPr>
      </w:pPr>
      <w:r w:rsidRPr="00276931">
        <w:rPr>
          <w:rFonts w:ascii="Verdana" w:hAnsi="Verdana"/>
          <w:sz w:val="18"/>
          <w:szCs w:val="18"/>
        </w:rPr>
        <w:t>Als een burger</w:t>
      </w:r>
      <w:r w:rsidRPr="00276931">
        <w:rPr>
          <w:rStyle w:val="Voetnootmarkering"/>
          <w:rFonts w:ascii="Verdana" w:hAnsi="Verdana"/>
          <w:sz w:val="18"/>
          <w:szCs w:val="18"/>
        </w:rPr>
        <w:footnoteReference w:id="44"/>
      </w:r>
      <w:r w:rsidRPr="00276931">
        <w:rPr>
          <w:rFonts w:ascii="Verdana" w:hAnsi="Verdana"/>
          <w:sz w:val="18"/>
          <w:szCs w:val="18"/>
        </w:rPr>
        <w:t xml:space="preserve"> over onvoldoende liquide middelen beschikt om zijn belastingaanslag binnen de daarvoor geldende wettelijke termijn te voldoen, kan de Belastingdienst (onder voorwaarden) </w:t>
      </w:r>
      <w:r w:rsidRPr="00276931">
        <w:rPr>
          <w:rFonts w:ascii="Verdana" w:hAnsi="Verdana"/>
          <w:sz w:val="18"/>
          <w:szCs w:val="18"/>
        </w:rPr>
        <w:lastRenderedPageBreak/>
        <w:t>uitstel van betaling verlenen voor maximaal twaalf maanden. Hoewel de aanwezigheid van vermogen een betalingsregeling in de weg staat, is sinds 1 juli 2025 een betalingsregeling van 72 maanden mogelijk voor situaties waarbij vermogen bezwaarlijk liquide is te maken</w:t>
      </w:r>
      <w:r w:rsidR="000D2A3B">
        <w:rPr>
          <w:rFonts w:ascii="Verdana" w:hAnsi="Verdana"/>
          <w:sz w:val="18"/>
          <w:szCs w:val="18"/>
        </w:rPr>
        <w:t xml:space="preserve"> (</w:t>
      </w:r>
      <w:r w:rsidRPr="000D2A3B" w:rsidR="000D2A3B">
        <w:rPr>
          <w:rFonts w:ascii="Verdana" w:hAnsi="Verdana"/>
          <w:sz w:val="18"/>
          <w:szCs w:val="18"/>
        </w:rPr>
        <w:t xml:space="preserve">als </w:t>
      </w:r>
      <w:r w:rsidR="000D2A3B">
        <w:rPr>
          <w:rFonts w:ascii="Verdana" w:hAnsi="Verdana"/>
          <w:sz w:val="18"/>
          <w:szCs w:val="18"/>
        </w:rPr>
        <w:t>vermogen</w:t>
      </w:r>
      <w:r w:rsidRPr="000D2A3B" w:rsidR="000D2A3B">
        <w:rPr>
          <w:rFonts w:ascii="Verdana" w:hAnsi="Verdana"/>
          <w:sz w:val="18"/>
          <w:szCs w:val="18"/>
        </w:rPr>
        <w:t xml:space="preserve"> niet makkelijk of snel om</w:t>
      </w:r>
      <w:r w:rsidR="000D2A3B">
        <w:rPr>
          <w:rFonts w:ascii="Verdana" w:hAnsi="Verdana"/>
          <w:sz w:val="18"/>
          <w:szCs w:val="18"/>
        </w:rPr>
        <w:t xml:space="preserve"> te </w:t>
      </w:r>
      <w:r w:rsidRPr="000D2A3B" w:rsidR="000D2A3B">
        <w:rPr>
          <w:rFonts w:ascii="Verdana" w:hAnsi="Verdana"/>
          <w:sz w:val="18"/>
          <w:szCs w:val="18"/>
        </w:rPr>
        <w:t xml:space="preserve">zetten </w:t>
      </w:r>
      <w:r w:rsidR="000D2A3B">
        <w:rPr>
          <w:rFonts w:ascii="Verdana" w:hAnsi="Verdana"/>
          <w:sz w:val="18"/>
          <w:szCs w:val="18"/>
        </w:rPr>
        <w:t xml:space="preserve">is </w:t>
      </w:r>
      <w:r w:rsidRPr="000D2A3B" w:rsidR="000D2A3B">
        <w:rPr>
          <w:rFonts w:ascii="Verdana" w:hAnsi="Verdana"/>
          <w:sz w:val="18"/>
          <w:szCs w:val="18"/>
        </w:rPr>
        <w:t xml:space="preserve">in geld </w:t>
      </w:r>
      <w:r w:rsidRPr="00CF423D" w:rsidR="000D2A3B">
        <w:rPr>
          <w:rFonts w:ascii="Verdana" w:hAnsi="Verdana"/>
          <w:sz w:val="18"/>
          <w:szCs w:val="18"/>
        </w:rPr>
        <w:t>zonder grote verliezen of problemen)</w:t>
      </w:r>
      <w:r w:rsidRPr="000D2A3B">
        <w:rPr>
          <w:rFonts w:ascii="Verdana" w:hAnsi="Verdana"/>
          <w:sz w:val="18"/>
          <w:szCs w:val="18"/>
        </w:rPr>
        <w:t>.</w:t>
      </w:r>
      <w:r w:rsidRPr="00276931">
        <w:rPr>
          <w:rStyle w:val="Voetnootmarkering"/>
          <w:rFonts w:ascii="Verdana" w:hAnsi="Verdana"/>
          <w:sz w:val="18"/>
          <w:szCs w:val="18"/>
        </w:rPr>
        <w:footnoteReference w:id="45"/>
      </w:r>
      <w:r w:rsidRPr="00276931">
        <w:rPr>
          <w:rFonts w:ascii="Verdana" w:hAnsi="Verdana"/>
          <w:sz w:val="18"/>
          <w:szCs w:val="18"/>
        </w:rPr>
        <w:t xml:space="preserve"> Met deze maatregel wordt het mogelijk om de bestanddelen</w:t>
      </w:r>
      <w:r w:rsidR="000D2A3B">
        <w:rPr>
          <w:rFonts w:ascii="Verdana" w:hAnsi="Verdana"/>
          <w:sz w:val="18"/>
          <w:szCs w:val="18"/>
        </w:rPr>
        <w:t xml:space="preserve"> van het vermogen</w:t>
      </w:r>
      <w:r w:rsidRPr="00276931">
        <w:rPr>
          <w:rFonts w:ascii="Verdana" w:hAnsi="Verdana"/>
          <w:sz w:val="18"/>
          <w:szCs w:val="18"/>
        </w:rPr>
        <w:t xml:space="preserve"> onder voorwaarden buiten beschouwing te laten bij het bepalen van het recht op kwijtschelding, als in ieder geval een bedrag (gelijk aan de (over)waarde van de bezitting) met een betalingsregeling wordt afgelost op de schuld.</w:t>
      </w:r>
    </w:p>
    <w:p w:rsidRPr="00276931" w:rsidR="00200979" w:rsidP="00200979" w:rsidRDefault="00200979" w14:paraId="66F4E3C6" w14:textId="35E61D33">
      <w:pPr>
        <w:rPr>
          <w:rFonts w:ascii="Verdana" w:hAnsi="Verdana"/>
          <w:sz w:val="18"/>
          <w:szCs w:val="18"/>
        </w:rPr>
      </w:pPr>
      <w:r w:rsidRPr="00276931">
        <w:rPr>
          <w:rFonts w:ascii="Verdana" w:hAnsi="Verdana"/>
          <w:sz w:val="18"/>
          <w:szCs w:val="18"/>
        </w:rPr>
        <w:t xml:space="preserve">In de praktijk blijkt </w:t>
      </w:r>
      <w:r w:rsidR="00C81B5E">
        <w:rPr>
          <w:rFonts w:ascii="Verdana" w:hAnsi="Verdana"/>
          <w:sz w:val="18"/>
          <w:szCs w:val="18"/>
        </w:rPr>
        <w:t>een behoefte</w:t>
      </w:r>
      <w:r w:rsidRPr="00276931">
        <w:rPr>
          <w:rFonts w:ascii="Verdana" w:hAnsi="Verdana"/>
          <w:sz w:val="18"/>
          <w:szCs w:val="18"/>
        </w:rPr>
        <w:t xml:space="preserve"> aan deze regeling, met name in situaties waarin er illiquide vermogen is vanwege overwaarde op de eigen woning. Verkoop van de eigen woning om de belastingschuld te voldoen, kan voor de burger onredelijk bezwarend zijn. Een belastingschuldige wordt niet gedwongen om het vermogensbestanddeel (direct) te gelde te maken, maar mag de (over)waarde ervan gespreid afdragen, op basis van zijn betalingscapaciteit.</w:t>
      </w:r>
    </w:p>
    <w:p w:rsidRPr="00200979" w:rsidR="00200979" w:rsidP="009E3525" w:rsidRDefault="00200979" w14:paraId="78E71F38" w14:textId="1995663B">
      <w:pPr>
        <w:rPr>
          <w:rFonts w:ascii="Verdana" w:hAnsi="Verdana"/>
          <w:sz w:val="18"/>
          <w:szCs w:val="18"/>
        </w:rPr>
      </w:pPr>
      <w:r w:rsidRPr="00276931">
        <w:rPr>
          <w:rFonts w:ascii="Verdana" w:hAnsi="Verdana"/>
          <w:sz w:val="18"/>
          <w:szCs w:val="18"/>
        </w:rPr>
        <w:t>Vermogensbestanddelen die kunnen kwalificeren als een luxegoed vallen niet onder de regeling. Voorbeelden zijn een plezierjacht, onroerend goed dat niet de eigen woning is (bijvoorbeeld een tweede woning of een vakantiewoning) of een (kostbare) tweede auto. Belastingschuldigen met illiquide vermogen in box 3 komen in beginsel niet in aanmerking voor de verlengde betalingsregeling.</w:t>
      </w:r>
    </w:p>
    <w:p w:rsidR="00CE58F4" w:rsidP="005A7012" w:rsidRDefault="00881716" w14:paraId="32764E71" w14:textId="2EFB5717">
      <w:pPr>
        <w:rPr>
          <w:rFonts w:ascii="Verdana" w:hAnsi="Verdana"/>
          <w:b/>
          <w:bCs/>
          <w:sz w:val="18"/>
          <w:szCs w:val="18"/>
          <w:lang w:eastAsia="nl-NL"/>
        </w:rPr>
      </w:pPr>
      <w:bookmarkStart w:name="_Hlk210656789" w:id="19"/>
      <w:r>
        <w:rPr>
          <w:rFonts w:ascii="Verdana" w:hAnsi="Verdana"/>
          <w:b/>
          <w:bCs/>
          <w:sz w:val="18"/>
          <w:szCs w:val="18"/>
          <w:lang w:eastAsia="nl-NL"/>
        </w:rPr>
        <w:t>1</w:t>
      </w:r>
      <w:r w:rsidR="007F29E6">
        <w:rPr>
          <w:rFonts w:ascii="Verdana" w:hAnsi="Verdana"/>
          <w:b/>
          <w:bCs/>
          <w:sz w:val="18"/>
          <w:szCs w:val="18"/>
          <w:lang w:eastAsia="nl-NL"/>
        </w:rPr>
        <w:t>9</w:t>
      </w:r>
      <w:r w:rsidRPr="00276931" w:rsidR="00680856">
        <w:rPr>
          <w:rFonts w:ascii="Verdana" w:hAnsi="Verdana"/>
          <w:b/>
          <w:bCs/>
          <w:sz w:val="18"/>
          <w:szCs w:val="18"/>
          <w:lang w:eastAsia="nl-NL"/>
        </w:rPr>
        <w:t>. Inning en bezwaren</w:t>
      </w:r>
    </w:p>
    <w:p w:rsidR="0025375E" w:rsidP="005A7012" w:rsidRDefault="0052615B" w14:paraId="62E40956" w14:textId="07E6C934">
      <w:pPr>
        <w:rPr>
          <w:rFonts w:ascii="Verdana" w:hAnsi="Verdana"/>
          <w:sz w:val="18"/>
          <w:szCs w:val="18"/>
        </w:rPr>
      </w:pPr>
      <w:r>
        <w:rPr>
          <w:rFonts w:ascii="Verdana" w:hAnsi="Verdana"/>
          <w:sz w:val="18"/>
          <w:szCs w:val="18"/>
        </w:rPr>
        <w:t>Dagelijks verwerkt de Belastingdienst rond de 1,1 miljard euro aan belastinginkomsten en premie</w:t>
      </w:r>
      <w:r w:rsidR="009860F9">
        <w:rPr>
          <w:rFonts w:ascii="Verdana" w:hAnsi="Verdana"/>
          <w:sz w:val="18"/>
          <w:szCs w:val="18"/>
        </w:rPr>
        <w:t>s</w:t>
      </w:r>
      <w:r>
        <w:rPr>
          <w:rFonts w:ascii="Verdana" w:hAnsi="Verdana"/>
          <w:sz w:val="18"/>
          <w:szCs w:val="18"/>
        </w:rPr>
        <w:t xml:space="preserve">. </w:t>
      </w:r>
      <w:bookmarkEnd w:id="19"/>
      <w:r w:rsidR="005A7012">
        <w:rPr>
          <w:rFonts w:ascii="Verdana" w:hAnsi="Verdana"/>
          <w:sz w:val="18"/>
          <w:szCs w:val="18"/>
        </w:rPr>
        <w:t>95% daarvan komt binnen via het massale proces, dus zonder aanvullende invorderingsmaatregelen. De overige 5% van het totaal aan belastingopbrengsten wordt geïnd na aanvullende invorderingsmaatregelen</w:t>
      </w:r>
      <w:r w:rsidR="00743C33">
        <w:rPr>
          <w:rFonts w:ascii="Verdana" w:hAnsi="Verdana"/>
          <w:sz w:val="18"/>
          <w:szCs w:val="18"/>
        </w:rPr>
        <w:t>. I</w:t>
      </w:r>
      <w:r w:rsidRPr="00743C33" w:rsidR="00743C33">
        <w:rPr>
          <w:rFonts w:ascii="Verdana" w:hAnsi="Verdana"/>
          <w:sz w:val="18"/>
          <w:szCs w:val="18"/>
        </w:rPr>
        <w:t>nvorderingsmaatregelen zijn alle maatregelen die worden toegepast als het normale geautomatiseerde inningsproces niet heeft geleid tot betaling</w:t>
      </w:r>
      <w:r w:rsidR="00743C33">
        <w:rPr>
          <w:rFonts w:ascii="Verdana" w:hAnsi="Verdana"/>
          <w:sz w:val="18"/>
          <w:szCs w:val="18"/>
        </w:rPr>
        <w:t>.</w:t>
      </w:r>
      <w:r w:rsidR="005A7012">
        <w:rPr>
          <w:rStyle w:val="Voetnootmarkering"/>
          <w:rFonts w:ascii="Verdana" w:hAnsi="Verdana"/>
          <w:sz w:val="18"/>
          <w:szCs w:val="18"/>
        </w:rPr>
        <w:footnoteReference w:id="46"/>
      </w:r>
      <w:r w:rsidR="005A7012">
        <w:rPr>
          <w:rFonts w:ascii="Verdana" w:hAnsi="Verdana"/>
          <w:sz w:val="18"/>
          <w:szCs w:val="18"/>
        </w:rPr>
        <w:t xml:space="preserve"> Binnen de behandeling van deze aanvullende maatregelen zijn achterstanden opgelopen. Dit komt doordat het aanbod van werk harder is gegroeid dan de beschikbare capaciteit.</w:t>
      </w:r>
      <w:r w:rsidRPr="000825AE" w:rsidR="005A7012">
        <w:rPr>
          <w:rFonts w:ascii="Verdana" w:hAnsi="Verdana"/>
          <w:sz w:val="18"/>
          <w:szCs w:val="18"/>
        </w:rPr>
        <w:t xml:space="preserve"> </w:t>
      </w:r>
      <w:r w:rsidR="005A7012">
        <w:rPr>
          <w:rFonts w:ascii="Verdana" w:hAnsi="Verdana"/>
          <w:sz w:val="18"/>
          <w:szCs w:val="18"/>
        </w:rPr>
        <w:t xml:space="preserve">Het extra werkaanbod heeft een aantal oorzaken, te weten de coronacrisis, de groei van het aantal belastingplichtigen, een veelheid aan </w:t>
      </w:r>
      <w:r w:rsidRPr="005A7012" w:rsidR="005A7012">
        <w:rPr>
          <w:rFonts w:ascii="Verdana" w:hAnsi="Verdana"/>
          <w:sz w:val="18"/>
          <w:szCs w:val="18"/>
        </w:rPr>
        <w:t xml:space="preserve">losse beleidsopdrachten, de politieke en maatschappelijke vraag om meer menselijke maat en een vol IV-portfolio. </w:t>
      </w:r>
    </w:p>
    <w:p w:rsidRPr="0025375E" w:rsidR="0025375E" w:rsidP="005A7012" w:rsidRDefault="005A7012" w14:paraId="3EB9FFE9" w14:textId="2A7DEE96">
      <w:pPr>
        <w:rPr>
          <w:rFonts w:ascii="Verdana" w:hAnsi="Verdana"/>
          <w:sz w:val="18"/>
          <w:szCs w:val="18"/>
        </w:rPr>
      </w:pPr>
      <w:r w:rsidRPr="0025375E">
        <w:rPr>
          <w:rFonts w:ascii="Verdana" w:hAnsi="Verdana"/>
          <w:sz w:val="18"/>
          <w:szCs w:val="18"/>
        </w:rPr>
        <w:t>Om een betere balans aan te brengen tussen het werkaanbod en de capaciteit zijn de afgelopen periode verschillende maatregelen genomen. In de stand-van-zakenbrief van maart 2025 bent u hierover geïnformeerd.</w:t>
      </w:r>
      <w:r w:rsidRPr="0025375E">
        <w:rPr>
          <w:rFonts w:ascii="Verdana" w:hAnsi="Verdana"/>
          <w:sz w:val="18"/>
          <w:szCs w:val="18"/>
          <w:vertAlign w:val="superscript"/>
        </w:rPr>
        <w:footnoteReference w:id="47"/>
      </w:r>
      <w:r w:rsidRPr="0025375E">
        <w:rPr>
          <w:rFonts w:ascii="Verdana" w:hAnsi="Verdana"/>
          <w:sz w:val="18"/>
          <w:szCs w:val="18"/>
        </w:rPr>
        <w:t xml:space="preserve"> De daargenoemde eenmalige maatregel die ziet op de versnelde afhandeling van bezwaarschriften over kosten en/of invorderingsrente is inmiddels uitgevoerd. De bezwaren zijn zonder inhoudelijke beoordeling gehonoreerd, in het voordeel van de burger. Dit betekent dat invorderingskosten in deze gevallen zijn teruggedraaid en eventuele proceskosten zijn vergoed. De oorspronkelijke vordering is blijven bestaan en is, of wordt</w:t>
      </w:r>
      <w:r w:rsidRPr="0025375E" w:rsidR="00E63E2C">
        <w:rPr>
          <w:rFonts w:ascii="Verdana" w:hAnsi="Verdana"/>
          <w:sz w:val="18"/>
          <w:szCs w:val="18"/>
        </w:rPr>
        <w:t xml:space="preserve"> nog</w:t>
      </w:r>
      <w:r w:rsidRPr="0025375E">
        <w:rPr>
          <w:rFonts w:ascii="Verdana" w:hAnsi="Verdana"/>
          <w:sz w:val="18"/>
          <w:szCs w:val="18"/>
        </w:rPr>
        <w:t xml:space="preserve">, geïnd. Op deze manier zijn er ruim 11.500 bezwaren versneld afgedaan waardoor de voorraad is afgenomen en burgers sneller zijn geholpen. </w:t>
      </w:r>
      <w:r w:rsidRPr="0025375E">
        <w:rPr>
          <w:rFonts w:ascii="Verdana" w:hAnsi="Verdana"/>
          <w:sz w:val="18"/>
          <w:szCs w:val="18"/>
        </w:rPr>
        <w:br/>
      </w:r>
      <w:r w:rsidRPr="0025375E">
        <w:rPr>
          <w:rFonts w:ascii="Verdana" w:hAnsi="Verdana"/>
          <w:sz w:val="18"/>
          <w:szCs w:val="18"/>
        </w:rPr>
        <w:br/>
        <w:t>Daarnaast bent u</w:t>
      </w:r>
      <w:r w:rsidRPr="0025375E" w:rsidR="0052615B">
        <w:rPr>
          <w:rFonts w:ascii="Verdana" w:hAnsi="Verdana"/>
          <w:sz w:val="18"/>
          <w:szCs w:val="18"/>
        </w:rPr>
        <w:t xml:space="preserve"> in de stand-van-zakenbrief van 6 </w:t>
      </w:r>
      <w:r w:rsidRPr="0025375E">
        <w:rPr>
          <w:rFonts w:ascii="Verdana" w:hAnsi="Verdana"/>
          <w:sz w:val="18"/>
          <w:szCs w:val="18"/>
        </w:rPr>
        <w:t xml:space="preserve">maart </w:t>
      </w:r>
      <w:r w:rsidRPr="0025375E" w:rsidR="00743C33">
        <w:rPr>
          <w:rFonts w:ascii="Verdana" w:hAnsi="Verdana"/>
          <w:sz w:val="18"/>
          <w:szCs w:val="18"/>
        </w:rPr>
        <w:t>2025</w:t>
      </w:r>
      <w:r w:rsidRPr="0025375E">
        <w:rPr>
          <w:rFonts w:ascii="Verdana" w:hAnsi="Verdana"/>
          <w:sz w:val="18"/>
          <w:szCs w:val="18"/>
        </w:rPr>
        <w:t xml:space="preserve"> geïnformeerd over de oprichting van een taskforce om de werkvoorraad van de afwikkeling van de coronabetalingsregeling aan te pakken.</w:t>
      </w:r>
      <w:r w:rsidRPr="0025375E" w:rsidR="0052615B">
        <w:rPr>
          <w:rStyle w:val="Voetnootmarkering"/>
          <w:rFonts w:ascii="Verdana" w:hAnsi="Verdana"/>
          <w:sz w:val="18"/>
          <w:szCs w:val="18"/>
        </w:rPr>
        <w:footnoteReference w:id="48"/>
      </w:r>
      <w:r w:rsidRPr="0025375E">
        <w:rPr>
          <w:rFonts w:ascii="Verdana" w:hAnsi="Verdana"/>
          <w:sz w:val="18"/>
          <w:szCs w:val="18"/>
        </w:rPr>
        <w:t xml:space="preserve"> Deze taskforce is zo effectief gebleken, dat is besloten om hem langer in te zetten en de werkzaamheden uit te breiden. Zo wordt de taskforce nu ook ingezet voor de behandeling van verzoeken om betalingsuitstel van zowel belastingen als toeslagen. De taskforce heeft tot nu toe 15.000 uitstelverzoeken afgehandeld. De uitstelverzoeken m.b.t. de coronabetalingsregeling worden direct behandeld omdat er geen achterstand meer is bij deze uitstelverzoeken. De succesfactoren </w:t>
      </w:r>
      <w:r w:rsidRPr="0025375E" w:rsidR="00555676">
        <w:rPr>
          <w:rFonts w:ascii="Verdana" w:hAnsi="Verdana"/>
          <w:sz w:val="18"/>
          <w:szCs w:val="18"/>
        </w:rPr>
        <w:t>die voortkwamen uit de taskforce</w:t>
      </w:r>
      <w:r w:rsidRPr="0025375E">
        <w:rPr>
          <w:rFonts w:ascii="Verdana" w:hAnsi="Verdana"/>
          <w:sz w:val="18"/>
          <w:szCs w:val="18"/>
        </w:rPr>
        <w:t xml:space="preserve"> worden waar mogelijk structureel ingebed in de organisatie.</w:t>
      </w:r>
      <w:r w:rsidRPr="0025375E">
        <w:rPr>
          <w:rFonts w:ascii="Verdana" w:hAnsi="Verdana"/>
          <w:sz w:val="18"/>
          <w:szCs w:val="18"/>
        </w:rPr>
        <w:br/>
      </w:r>
      <w:r w:rsidRPr="0025375E">
        <w:rPr>
          <w:rFonts w:ascii="Verdana" w:hAnsi="Verdana"/>
          <w:sz w:val="18"/>
          <w:szCs w:val="18"/>
        </w:rPr>
        <w:br/>
        <w:t xml:space="preserve">Ondanks de verschillende maatregelen die al zijn ingezet, is er nog steeds sprake van een hoge </w:t>
      </w:r>
      <w:r w:rsidRPr="0025375E">
        <w:rPr>
          <w:rFonts w:ascii="Verdana" w:hAnsi="Verdana"/>
          <w:sz w:val="18"/>
          <w:szCs w:val="18"/>
        </w:rPr>
        <w:lastRenderedPageBreak/>
        <w:t xml:space="preserve">werkvoorraad. </w:t>
      </w:r>
      <w:r w:rsidRPr="0025375E" w:rsidR="00D12BAB">
        <w:rPr>
          <w:rFonts w:ascii="Verdana" w:hAnsi="Verdana"/>
          <w:sz w:val="18"/>
          <w:szCs w:val="18"/>
        </w:rPr>
        <w:t>De</w:t>
      </w:r>
      <w:r w:rsidRPr="0025375E">
        <w:rPr>
          <w:rFonts w:ascii="Verdana" w:hAnsi="Verdana"/>
          <w:sz w:val="18"/>
          <w:szCs w:val="18"/>
        </w:rPr>
        <w:t xml:space="preserve"> voorraadstijging </w:t>
      </w:r>
      <w:r w:rsidRPr="0025375E" w:rsidR="00D12BAB">
        <w:rPr>
          <w:rFonts w:ascii="Verdana" w:hAnsi="Verdana"/>
          <w:sz w:val="18"/>
          <w:szCs w:val="18"/>
        </w:rPr>
        <w:t>vlakt af</w:t>
      </w:r>
      <w:r w:rsidRPr="0025375E">
        <w:rPr>
          <w:rFonts w:ascii="Verdana" w:hAnsi="Verdana"/>
          <w:sz w:val="18"/>
          <w:szCs w:val="18"/>
        </w:rPr>
        <w:t xml:space="preserve">, </w:t>
      </w:r>
      <w:r w:rsidRPr="0025375E" w:rsidR="00D12BAB">
        <w:rPr>
          <w:rFonts w:ascii="Verdana" w:hAnsi="Verdana"/>
          <w:sz w:val="18"/>
          <w:szCs w:val="18"/>
        </w:rPr>
        <w:t>maar de daling is nog niet ingezet</w:t>
      </w:r>
      <w:r w:rsidRPr="0025375E">
        <w:rPr>
          <w:rFonts w:ascii="Verdana" w:hAnsi="Verdana"/>
          <w:sz w:val="18"/>
          <w:szCs w:val="18"/>
        </w:rPr>
        <w:t xml:space="preserve">. Aanvullende maatregelen blijven dus nodig. </w:t>
      </w:r>
    </w:p>
    <w:p w:rsidRPr="0025375E" w:rsidR="0025375E" w:rsidP="0025375E" w:rsidRDefault="0025375E" w14:paraId="76BF5568" w14:textId="21378447">
      <w:pPr>
        <w:rPr>
          <w:rFonts w:ascii="Verdana" w:hAnsi="Verdana"/>
          <w:sz w:val="18"/>
          <w:szCs w:val="18"/>
        </w:rPr>
      </w:pPr>
      <w:r w:rsidRPr="0025375E">
        <w:rPr>
          <w:rFonts w:ascii="Verdana" w:hAnsi="Verdana"/>
          <w:sz w:val="18"/>
          <w:szCs w:val="18"/>
        </w:rPr>
        <w:t>Om tot een betere balans te komen tussen het werkaanbod en de beschikbare capaciteit wordt vol ingezet op performance- en procesverbeteringen. Om het werkaanbod beter te kunnen beheersen worden diverse mogelijkheden verkend en uitgewerkt. Zo wordt de nadruk gelegd op jonge vorderingen waarvan de inning kansrijker is en de capaciteit gerichter en efficiënter wordt ingezet.</w:t>
      </w:r>
      <w:r>
        <w:rPr>
          <w:rFonts w:ascii="Verdana" w:hAnsi="Verdana"/>
          <w:sz w:val="18"/>
          <w:szCs w:val="18"/>
        </w:rPr>
        <w:t xml:space="preserve"> </w:t>
      </w:r>
      <w:r w:rsidRPr="0025375E">
        <w:rPr>
          <w:rFonts w:ascii="Verdana" w:hAnsi="Verdana"/>
          <w:sz w:val="18"/>
          <w:szCs w:val="18"/>
        </w:rPr>
        <w:t>Daarnaast wordt gewerkt aan betere communicatie met burgers over bijvoorbeeld kosten en rente. Ook zijn we bezig met verdere digitalisering zoals de digitale aanvraag van de betalingsregeling voor burgers en de verdere uitbreiding van het overzicht betalen en ontvangen (OBO). Deze stappen zullen burgers helpen om fouten en dus extra werk te voorkomen.</w:t>
      </w:r>
    </w:p>
    <w:p w:rsidRPr="00A50D43" w:rsidR="005A7012" w:rsidP="005A7012" w:rsidRDefault="005A7012" w14:paraId="615480F4" w14:textId="77777777">
      <w:pPr>
        <w:rPr>
          <w:rFonts w:ascii="Verdana" w:hAnsi="Verdana"/>
          <w:sz w:val="18"/>
          <w:szCs w:val="18"/>
        </w:rPr>
      </w:pPr>
      <w:r w:rsidRPr="00CC1C4D">
        <w:rPr>
          <w:rFonts w:ascii="Verdana" w:hAnsi="Verdana"/>
          <w:sz w:val="18"/>
          <w:szCs w:val="18"/>
        </w:rPr>
        <w:t>De balans tussen werkaanbod en beschikbare capaciteit voor de inning blijft een belangrijk aandachtspunt, waarvan ik het van groot belang vindt om u op de hoogte te houden. Daarom zal ik u in de volgende stand-van-zakenbrief informeren over de vorderingen op dit thema.</w:t>
      </w:r>
    </w:p>
    <w:p w:rsidRPr="00276931" w:rsidR="008E3F9C" w:rsidP="005A7012" w:rsidRDefault="007F29E6" w14:paraId="481E1C99" w14:textId="055E07A7">
      <w:pPr>
        <w:rPr>
          <w:rFonts w:ascii="Verdana" w:hAnsi="Verdana"/>
          <w:b/>
          <w:bCs/>
          <w:sz w:val="18"/>
          <w:szCs w:val="18"/>
        </w:rPr>
      </w:pPr>
      <w:r>
        <w:rPr>
          <w:rFonts w:ascii="Verdana" w:hAnsi="Verdana" w:cs="Verdana"/>
          <w:b/>
          <w:bCs/>
          <w:sz w:val="18"/>
          <w:szCs w:val="18"/>
        </w:rPr>
        <w:t>20</w:t>
      </w:r>
      <w:r w:rsidRPr="00276931" w:rsidR="008E3F9C">
        <w:rPr>
          <w:rFonts w:ascii="Verdana" w:hAnsi="Verdana" w:cs="Verdana"/>
          <w:b/>
          <w:bCs/>
          <w:sz w:val="18"/>
          <w:szCs w:val="18"/>
        </w:rPr>
        <w:t xml:space="preserve">. </w:t>
      </w:r>
      <w:r w:rsidRPr="00276931" w:rsidR="008E3F9C">
        <w:rPr>
          <w:rFonts w:ascii="Verdana" w:hAnsi="Verdana"/>
          <w:b/>
          <w:bCs/>
          <w:sz w:val="18"/>
          <w:szCs w:val="18"/>
        </w:rPr>
        <w:t>Adviesrapport ‘Particulieren Uitvoerbaar plan’</w:t>
      </w:r>
    </w:p>
    <w:p w:rsidRPr="00C8662F" w:rsidR="008E3F9C" w:rsidP="008E3F9C" w:rsidRDefault="00224A8C" w14:paraId="463BE63C" w14:textId="3196A66C">
      <w:pPr>
        <w:rPr>
          <w:rFonts w:ascii="Verdana" w:hAnsi="Verdana"/>
          <w:sz w:val="18"/>
          <w:szCs w:val="18"/>
        </w:rPr>
      </w:pPr>
      <w:bookmarkStart w:name="_Hlk209438541" w:id="20"/>
      <w:r>
        <w:rPr>
          <w:rFonts w:ascii="Verdana" w:hAnsi="Verdana"/>
          <w:sz w:val="18"/>
          <w:szCs w:val="18"/>
        </w:rPr>
        <w:t xml:space="preserve">Mede door de grote toename van </w:t>
      </w:r>
      <w:r w:rsidR="00744275">
        <w:rPr>
          <w:rFonts w:ascii="Verdana" w:hAnsi="Verdana"/>
          <w:sz w:val="18"/>
          <w:szCs w:val="18"/>
        </w:rPr>
        <w:t xml:space="preserve">aantal </w:t>
      </w:r>
      <w:r>
        <w:rPr>
          <w:rFonts w:ascii="Verdana" w:hAnsi="Verdana"/>
          <w:sz w:val="18"/>
          <w:szCs w:val="18"/>
        </w:rPr>
        <w:t>bezwaren</w:t>
      </w:r>
      <w:r w:rsidR="00744275">
        <w:rPr>
          <w:rFonts w:ascii="Verdana" w:hAnsi="Verdana"/>
          <w:sz w:val="18"/>
          <w:szCs w:val="18"/>
        </w:rPr>
        <w:t xml:space="preserve"> in het algemeen en de hersteloperatie</w:t>
      </w:r>
      <w:r>
        <w:rPr>
          <w:rFonts w:ascii="Verdana" w:hAnsi="Verdana"/>
          <w:sz w:val="18"/>
          <w:szCs w:val="18"/>
        </w:rPr>
        <w:t xml:space="preserve"> box 3 is </w:t>
      </w:r>
      <w:bookmarkStart w:name="_Hlk209439656" w:id="21"/>
      <w:r w:rsidRPr="00C8662F" w:rsidR="008E3F9C">
        <w:rPr>
          <w:rFonts w:ascii="Verdana" w:hAnsi="Verdana"/>
          <w:sz w:val="18"/>
          <w:szCs w:val="18"/>
        </w:rPr>
        <w:t xml:space="preserve">de disbalans tussen stijgende werkvoorraad </w:t>
      </w:r>
      <w:bookmarkEnd w:id="21"/>
      <w:r w:rsidRPr="00C8662F" w:rsidR="008E3F9C">
        <w:rPr>
          <w:rFonts w:ascii="Verdana" w:hAnsi="Verdana"/>
          <w:sz w:val="18"/>
          <w:szCs w:val="18"/>
        </w:rPr>
        <w:t xml:space="preserve">en de beschikbare capaciteit bij de directie Particulieren </w:t>
      </w:r>
      <w:r>
        <w:rPr>
          <w:rFonts w:ascii="Verdana" w:hAnsi="Verdana"/>
          <w:sz w:val="18"/>
          <w:szCs w:val="18"/>
        </w:rPr>
        <w:t xml:space="preserve">toegenomen. Naar aanleiding hiervan is </w:t>
      </w:r>
      <w:r w:rsidRPr="00C8662F" w:rsidR="008E3F9C">
        <w:rPr>
          <w:rFonts w:ascii="Verdana" w:hAnsi="Verdana"/>
          <w:sz w:val="18"/>
          <w:szCs w:val="18"/>
        </w:rPr>
        <w:t>een adviesrapport opgesteld door McKinsey</w:t>
      </w:r>
      <w:r w:rsidR="00FF5A58">
        <w:rPr>
          <w:rFonts w:ascii="Verdana" w:hAnsi="Verdana"/>
          <w:sz w:val="18"/>
          <w:szCs w:val="18"/>
        </w:rPr>
        <w:t xml:space="preserve"> in aanvulling op het jaar</w:t>
      </w:r>
      <w:r w:rsidR="004F4210">
        <w:rPr>
          <w:rFonts w:ascii="Verdana" w:hAnsi="Verdana"/>
          <w:sz w:val="18"/>
          <w:szCs w:val="18"/>
        </w:rPr>
        <w:t xml:space="preserve">contract Particulieren </w:t>
      </w:r>
      <w:r w:rsidR="00FF5A58">
        <w:rPr>
          <w:rFonts w:ascii="Verdana" w:hAnsi="Verdana"/>
          <w:sz w:val="18"/>
          <w:szCs w:val="18"/>
        </w:rPr>
        <w:t>2025</w:t>
      </w:r>
      <w:r w:rsidRPr="00C8662F" w:rsidR="008E3F9C">
        <w:rPr>
          <w:rFonts w:ascii="Verdana" w:hAnsi="Verdana"/>
          <w:sz w:val="18"/>
          <w:szCs w:val="18"/>
        </w:rPr>
        <w:t>. De opdracht luidde:</w:t>
      </w:r>
      <w:r w:rsidRPr="00C8662F" w:rsidR="008E3F9C">
        <w:rPr>
          <w:rFonts w:ascii="Verdana" w:hAnsi="Verdana"/>
          <w:i/>
          <w:iCs/>
          <w:sz w:val="18"/>
          <w:szCs w:val="18"/>
        </w:rPr>
        <w:t> Kom met een maakbaar plan over hoe om te gaan met de disbalans tussen vraag en aanbod van werk, interventies die de productiviteit op korte en lange termijn verhogen en een objectieve prioritering aan werkzaamheden en gecalculeerde risico’s. </w:t>
      </w:r>
      <w:r w:rsidRPr="00C8662F" w:rsidR="008E3F9C">
        <w:rPr>
          <w:rFonts w:ascii="Verdana" w:hAnsi="Verdana"/>
          <w:sz w:val="18"/>
          <w:szCs w:val="18"/>
        </w:rPr>
        <w:t>Het rapport</w:t>
      </w:r>
      <w:r w:rsidR="00C57029">
        <w:rPr>
          <w:rFonts w:ascii="Verdana" w:hAnsi="Verdana"/>
          <w:sz w:val="18"/>
          <w:szCs w:val="18"/>
        </w:rPr>
        <w:t xml:space="preserve"> stuur ik bij deze aan uw Kamer toe. Het document is</w:t>
      </w:r>
      <w:r w:rsidRPr="00C8662F" w:rsidR="008E3F9C">
        <w:rPr>
          <w:rFonts w:ascii="Verdana" w:hAnsi="Verdana"/>
          <w:sz w:val="18"/>
          <w:szCs w:val="18"/>
        </w:rPr>
        <w:t xml:space="preserve"> te vinden in de </w:t>
      </w:r>
      <w:r w:rsidR="00A45EE0">
        <w:rPr>
          <w:rFonts w:ascii="Verdana" w:hAnsi="Verdana"/>
          <w:sz w:val="18"/>
          <w:szCs w:val="18"/>
        </w:rPr>
        <w:t>bijlage</w:t>
      </w:r>
      <w:r w:rsidRPr="00C8662F" w:rsidR="008E3F9C">
        <w:rPr>
          <w:rFonts w:ascii="Verdana" w:hAnsi="Verdana"/>
          <w:sz w:val="18"/>
          <w:szCs w:val="18"/>
        </w:rPr>
        <w:t xml:space="preserve"> van deze brief</w:t>
      </w:r>
      <w:r w:rsidR="008E3F9C">
        <w:rPr>
          <w:rFonts w:ascii="Verdana" w:hAnsi="Verdana"/>
          <w:sz w:val="18"/>
          <w:szCs w:val="18"/>
        </w:rPr>
        <w:t xml:space="preserve">, </w:t>
      </w:r>
      <w:r w:rsidRPr="00276931" w:rsidR="008E3F9C">
        <w:rPr>
          <w:rFonts w:ascii="Verdana" w:hAnsi="Verdana"/>
          <w:sz w:val="18"/>
          <w:szCs w:val="18"/>
        </w:rPr>
        <w:t>alsmede de beleidsreactie van de directie Particulieren</w:t>
      </w:r>
      <w:r w:rsidR="007820D0">
        <w:rPr>
          <w:rFonts w:ascii="Verdana" w:hAnsi="Verdana"/>
          <w:sz w:val="18"/>
          <w:szCs w:val="18"/>
        </w:rPr>
        <w:t xml:space="preserve"> (zie </w:t>
      </w:r>
      <w:r w:rsidR="00A45EE0">
        <w:rPr>
          <w:rFonts w:ascii="Verdana" w:hAnsi="Verdana"/>
          <w:sz w:val="18"/>
          <w:szCs w:val="18"/>
        </w:rPr>
        <w:t>bijlage</w:t>
      </w:r>
      <w:r w:rsidR="007820D0">
        <w:rPr>
          <w:rFonts w:ascii="Verdana" w:hAnsi="Verdana"/>
          <w:sz w:val="18"/>
          <w:szCs w:val="18"/>
        </w:rPr>
        <w:t xml:space="preserve"> </w:t>
      </w:r>
      <w:r w:rsidR="00B77092">
        <w:rPr>
          <w:rFonts w:ascii="Verdana" w:hAnsi="Verdana"/>
          <w:sz w:val="18"/>
          <w:szCs w:val="18"/>
        </w:rPr>
        <w:t>8</w:t>
      </w:r>
      <w:r w:rsidR="007820D0">
        <w:rPr>
          <w:rFonts w:ascii="Verdana" w:hAnsi="Verdana"/>
          <w:sz w:val="18"/>
          <w:szCs w:val="18"/>
        </w:rPr>
        <w:t xml:space="preserve"> en </w:t>
      </w:r>
      <w:r w:rsidR="00B77092">
        <w:rPr>
          <w:rFonts w:ascii="Verdana" w:hAnsi="Verdana"/>
          <w:sz w:val="18"/>
          <w:szCs w:val="18"/>
        </w:rPr>
        <w:t>9</w:t>
      </w:r>
      <w:r w:rsidR="007820D0">
        <w:rPr>
          <w:rFonts w:ascii="Verdana" w:hAnsi="Verdana"/>
          <w:sz w:val="18"/>
          <w:szCs w:val="18"/>
        </w:rPr>
        <w:t>)</w:t>
      </w:r>
      <w:r w:rsidRPr="00276931" w:rsidR="008E3F9C">
        <w:rPr>
          <w:rFonts w:ascii="Verdana" w:hAnsi="Verdana"/>
          <w:sz w:val="18"/>
          <w:szCs w:val="18"/>
        </w:rPr>
        <w:t>.</w:t>
      </w:r>
    </w:p>
    <w:p w:rsidRPr="00C8662F" w:rsidR="008E3F9C" w:rsidP="008E3F9C" w:rsidRDefault="00BC55F8" w14:paraId="26C89BEA" w14:textId="7447F211">
      <w:pPr>
        <w:rPr>
          <w:rFonts w:ascii="Verdana" w:hAnsi="Verdana"/>
          <w:sz w:val="18"/>
          <w:szCs w:val="18"/>
        </w:rPr>
      </w:pPr>
      <w:bookmarkStart w:name="_Hlk209439696" w:id="22"/>
      <w:r>
        <w:rPr>
          <w:rFonts w:ascii="Verdana" w:hAnsi="Verdana"/>
          <w:sz w:val="18"/>
          <w:szCs w:val="18"/>
        </w:rPr>
        <w:t>In het rapport word</w:t>
      </w:r>
      <w:r w:rsidR="00206F19">
        <w:rPr>
          <w:rFonts w:ascii="Verdana" w:hAnsi="Verdana"/>
          <w:sz w:val="18"/>
          <w:szCs w:val="18"/>
        </w:rPr>
        <w:t>t</w:t>
      </w:r>
      <w:r w:rsidRPr="00C8662F" w:rsidR="008E3F9C">
        <w:rPr>
          <w:rFonts w:ascii="Verdana" w:hAnsi="Verdana"/>
          <w:sz w:val="18"/>
          <w:szCs w:val="18"/>
        </w:rPr>
        <w:t xml:space="preserve"> een aantal oplossingsrichtingen aangedragen voor het creëren van meer beschikbare capaciteit en het vergroten van de productie. Deze zijn gericht op </w:t>
      </w:r>
      <w:r w:rsidR="002E0BBD">
        <w:rPr>
          <w:rFonts w:ascii="Verdana" w:hAnsi="Verdana"/>
          <w:sz w:val="18"/>
          <w:szCs w:val="18"/>
        </w:rPr>
        <w:t xml:space="preserve">(1) </w:t>
      </w:r>
      <w:r w:rsidRPr="00C8662F" w:rsidR="008E3F9C">
        <w:rPr>
          <w:rFonts w:ascii="Verdana" w:hAnsi="Verdana"/>
          <w:sz w:val="18"/>
          <w:szCs w:val="18"/>
        </w:rPr>
        <w:t xml:space="preserve">het verbeteren van </w:t>
      </w:r>
      <w:r w:rsidR="00220ED6">
        <w:rPr>
          <w:rFonts w:ascii="Verdana" w:hAnsi="Verdana"/>
          <w:sz w:val="18"/>
          <w:szCs w:val="18"/>
        </w:rPr>
        <w:t>het</w:t>
      </w:r>
      <w:r w:rsidRPr="00C8662F" w:rsidR="008E3F9C">
        <w:rPr>
          <w:rFonts w:ascii="Verdana" w:hAnsi="Verdana"/>
          <w:sz w:val="18"/>
          <w:szCs w:val="18"/>
        </w:rPr>
        <w:t xml:space="preserve"> prestatiemanagement, het </w:t>
      </w:r>
      <w:r w:rsidR="002E0BBD">
        <w:rPr>
          <w:rFonts w:ascii="Verdana" w:hAnsi="Verdana"/>
          <w:sz w:val="18"/>
          <w:szCs w:val="18"/>
        </w:rPr>
        <w:t xml:space="preserve">(2) </w:t>
      </w:r>
      <w:r w:rsidRPr="00C8662F" w:rsidR="008E3F9C">
        <w:rPr>
          <w:rFonts w:ascii="Verdana" w:hAnsi="Verdana"/>
          <w:sz w:val="18"/>
          <w:szCs w:val="18"/>
        </w:rPr>
        <w:t xml:space="preserve">verhogen van de procesmaturiteit, het </w:t>
      </w:r>
      <w:r w:rsidR="002E0BBD">
        <w:rPr>
          <w:rFonts w:ascii="Verdana" w:hAnsi="Verdana"/>
          <w:sz w:val="18"/>
          <w:szCs w:val="18"/>
        </w:rPr>
        <w:t xml:space="preserve">(3) </w:t>
      </w:r>
      <w:r w:rsidRPr="00C8662F" w:rsidR="008E3F9C">
        <w:rPr>
          <w:rFonts w:ascii="Verdana" w:hAnsi="Verdana"/>
          <w:sz w:val="18"/>
          <w:szCs w:val="18"/>
        </w:rPr>
        <w:t xml:space="preserve">verminderen van de instroom van werk en waar mogelijk het </w:t>
      </w:r>
      <w:r w:rsidR="002E0BBD">
        <w:rPr>
          <w:rFonts w:ascii="Verdana" w:hAnsi="Verdana"/>
          <w:sz w:val="18"/>
          <w:szCs w:val="18"/>
        </w:rPr>
        <w:t xml:space="preserve">(4) </w:t>
      </w:r>
      <w:r w:rsidRPr="00C8662F" w:rsidR="008E3F9C">
        <w:rPr>
          <w:rFonts w:ascii="Verdana" w:hAnsi="Verdana"/>
          <w:sz w:val="18"/>
          <w:szCs w:val="18"/>
        </w:rPr>
        <w:t xml:space="preserve">inzetten van tactische automatisering. Voor de dan nog resterende werklast </w:t>
      </w:r>
      <w:r>
        <w:rPr>
          <w:rFonts w:ascii="Verdana" w:hAnsi="Verdana"/>
          <w:sz w:val="18"/>
          <w:szCs w:val="18"/>
        </w:rPr>
        <w:t>wordt</w:t>
      </w:r>
      <w:r w:rsidRPr="00C8662F" w:rsidR="008E3F9C">
        <w:rPr>
          <w:rFonts w:ascii="Verdana" w:hAnsi="Verdana"/>
          <w:sz w:val="18"/>
          <w:szCs w:val="18"/>
        </w:rPr>
        <w:t xml:space="preserve"> een aantal</w:t>
      </w:r>
      <w:r w:rsidR="008E3F9C">
        <w:rPr>
          <w:rFonts w:ascii="Verdana" w:hAnsi="Verdana"/>
          <w:sz w:val="18"/>
          <w:szCs w:val="18"/>
        </w:rPr>
        <w:t xml:space="preserve"> capaciteit verhogende</w:t>
      </w:r>
      <w:r w:rsidRPr="00C8662F" w:rsidR="008E3F9C">
        <w:rPr>
          <w:rFonts w:ascii="Verdana" w:hAnsi="Verdana"/>
          <w:sz w:val="18"/>
          <w:szCs w:val="18"/>
        </w:rPr>
        <w:t xml:space="preserve"> scenario’s aangedragen om</w:t>
      </w:r>
      <w:r w:rsidR="008E3F9C">
        <w:rPr>
          <w:rFonts w:ascii="Verdana" w:hAnsi="Verdana"/>
          <w:sz w:val="18"/>
          <w:szCs w:val="18"/>
        </w:rPr>
        <w:t xml:space="preserve"> de</w:t>
      </w:r>
      <w:r w:rsidRPr="00C8662F" w:rsidR="008E3F9C">
        <w:rPr>
          <w:rFonts w:ascii="Verdana" w:hAnsi="Verdana"/>
          <w:sz w:val="18"/>
          <w:szCs w:val="18"/>
        </w:rPr>
        <w:t xml:space="preserve"> achterstanden</w:t>
      </w:r>
      <w:r w:rsidR="008E3F9C">
        <w:rPr>
          <w:rFonts w:ascii="Verdana" w:hAnsi="Verdana"/>
          <w:sz w:val="18"/>
          <w:szCs w:val="18"/>
        </w:rPr>
        <w:t xml:space="preserve"> zoveel mogelijk te beperken, al kan daarmee niet alle achterstand worden ingehaald</w:t>
      </w:r>
      <w:r w:rsidRPr="00C8662F" w:rsidR="008E3F9C">
        <w:rPr>
          <w:rFonts w:ascii="Verdana" w:hAnsi="Verdana"/>
          <w:sz w:val="18"/>
          <w:szCs w:val="18"/>
        </w:rPr>
        <w:t>.</w:t>
      </w:r>
      <w:r w:rsidR="00224A8C">
        <w:rPr>
          <w:rFonts w:ascii="Verdana" w:hAnsi="Verdana"/>
          <w:sz w:val="18"/>
          <w:szCs w:val="18"/>
        </w:rPr>
        <w:t xml:space="preserve"> </w:t>
      </w:r>
      <w:bookmarkEnd w:id="22"/>
      <w:r w:rsidRPr="00C8662F" w:rsidR="008E3F9C">
        <w:rPr>
          <w:rFonts w:ascii="Verdana" w:hAnsi="Verdana"/>
          <w:sz w:val="18"/>
          <w:szCs w:val="18"/>
        </w:rPr>
        <w:t>De A</w:t>
      </w:r>
      <w:r w:rsidR="00206F19">
        <w:rPr>
          <w:rFonts w:ascii="Verdana" w:hAnsi="Verdana"/>
          <w:sz w:val="18"/>
          <w:szCs w:val="18"/>
        </w:rPr>
        <w:t>uditdienst Rijk</w:t>
      </w:r>
      <w:r w:rsidRPr="00C8662F" w:rsidR="008E3F9C">
        <w:rPr>
          <w:rFonts w:ascii="Verdana" w:hAnsi="Verdana"/>
          <w:sz w:val="18"/>
          <w:szCs w:val="18"/>
        </w:rPr>
        <w:t xml:space="preserve"> </w:t>
      </w:r>
      <w:r w:rsidR="00DE35C7">
        <w:rPr>
          <w:rFonts w:ascii="Verdana" w:hAnsi="Verdana"/>
          <w:sz w:val="18"/>
          <w:szCs w:val="18"/>
        </w:rPr>
        <w:t>(ADR)</w:t>
      </w:r>
      <w:r w:rsidRPr="00C8662F" w:rsidR="008E3F9C">
        <w:rPr>
          <w:rFonts w:ascii="Verdana" w:hAnsi="Verdana"/>
          <w:sz w:val="18"/>
          <w:szCs w:val="18"/>
        </w:rPr>
        <w:t xml:space="preserve"> heeft daarnaast onderzoek gedaan naar de ontwikkeling van de behandeltijden binnen de directie Particulieren</w:t>
      </w:r>
      <w:r w:rsidR="008A302B">
        <w:rPr>
          <w:rFonts w:ascii="Verdana" w:hAnsi="Verdana"/>
          <w:sz w:val="18"/>
          <w:szCs w:val="18"/>
        </w:rPr>
        <w:t xml:space="preserve"> (zie bijlage 10)</w:t>
      </w:r>
      <w:r w:rsidRPr="00C8662F" w:rsidR="008E3F9C">
        <w:rPr>
          <w:rFonts w:ascii="Verdana" w:hAnsi="Verdana"/>
          <w:sz w:val="18"/>
          <w:szCs w:val="18"/>
        </w:rPr>
        <w:t xml:space="preserve">. Deze aanbevelingen sluiten aan bij </w:t>
      </w:r>
      <w:r w:rsidR="00555676">
        <w:rPr>
          <w:rFonts w:ascii="Verdana" w:hAnsi="Verdana"/>
          <w:sz w:val="18"/>
          <w:szCs w:val="18"/>
        </w:rPr>
        <w:t>de aanbevelingen uit</w:t>
      </w:r>
      <w:r>
        <w:rPr>
          <w:rFonts w:ascii="Verdana" w:hAnsi="Verdana"/>
          <w:sz w:val="18"/>
          <w:szCs w:val="18"/>
        </w:rPr>
        <w:t xml:space="preserve"> het rapport</w:t>
      </w:r>
      <w:r w:rsidRPr="00C8662F" w:rsidR="008E3F9C">
        <w:rPr>
          <w:rFonts w:ascii="Verdana" w:hAnsi="Verdana"/>
          <w:sz w:val="18"/>
          <w:szCs w:val="18"/>
        </w:rPr>
        <w:t>.</w:t>
      </w:r>
    </w:p>
    <w:p w:rsidR="008E3F9C" w:rsidP="008E3F9C" w:rsidRDefault="008E3F9C" w14:paraId="79123906" w14:textId="3EFE8CEF">
      <w:pPr>
        <w:rPr>
          <w:rFonts w:ascii="Verdana" w:hAnsi="Verdana"/>
          <w:sz w:val="18"/>
          <w:szCs w:val="18"/>
        </w:rPr>
      </w:pPr>
      <w:r w:rsidRPr="00C8662F">
        <w:rPr>
          <w:rFonts w:ascii="Verdana" w:hAnsi="Verdana"/>
          <w:sz w:val="18"/>
          <w:szCs w:val="18"/>
        </w:rPr>
        <w:t>De</w:t>
      </w:r>
      <w:r>
        <w:rPr>
          <w:rFonts w:ascii="Verdana" w:hAnsi="Verdana"/>
          <w:sz w:val="18"/>
          <w:szCs w:val="18"/>
        </w:rPr>
        <w:t xml:space="preserve"> directie Particulieren</w:t>
      </w:r>
      <w:r w:rsidRPr="00C8662F">
        <w:rPr>
          <w:rFonts w:ascii="Verdana" w:hAnsi="Verdana"/>
          <w:sz w:val="18"/>
          <w:szCs w:val="18"/>
        </w:rPr>
        <w:t xml:space="preserve"> </w:t>
      </w:r>
      <w:r w:rsidR="00224A8C">
        <w:rPr>
          <w:rFonts w:ascii="Verdana" w:hAnsi="Verdana"/>
          <w:sz w:val="18"/>
          <w:szCs w:val="18"/>
        </w:rPr>
        <w:t>is gestart</w:t>
      </w:r>
      <w:r w:rsidRPr="00C8662F">
        <w:rPr>
          <w:rFonts w:ascii="Verdana" w:hAnsi="Verdana"/>
          <w:sz w:val="18"/>
          <w:szCs w:val="18"/>
        </w:rPr>
        <w:t xml:space="preserve"> met een meerjarig traject</w:t>
      </w:r>
      <w:r w:rsidR="00206F19">
        <w:rPr>
          <w:rFonts w:ascii="Verdana" w:hAnsi="Verdana"/>
          <w:sz w:val="18"/>
          <w:szCs w:val="18"/>
        </w:rPr>
        <w:t>,</w:t>
      </w:r>
      <w:r w:rsidRPr="00C8662F">
        <w:rPr>
          <w:rFonts w:ascii="Verdana" w:hAnsi="Verdana"/>
          <w:sz w:val="18"/>
          <w:szCs w:val="18"/>
        </w:rPr>
        <w:t xml:space="preserve"> waarin de</w:t>
      </w:r>
      <w:r w:rsidR="00224A8C">
        <w:rPr>
          <w:rFonts w:ascii="Verdana" w:hAnsi="Verdana"/>
          <w:sz w:val="18"/>
          <w:szCs w:val="18"/>
        </w:rPr>
        <w:t xml:space="preserve"> eigen</w:t>
      </w:r>
      <w:r w:rsidRPr="00C8662F">
        <w:rPr>
          <w:rFonts w:ascii="Verdana" w:hAnsi="Verdana"/>
          <w:sz w:val="18"/>
          <w:szCs w:val="18"/>
        </w:rPr>
        <w:t xml:space="preserve"> oplossingsrichtingen en verbetervoorstellen </w:t>
      </w:r>
      <w:r w:rsidR="00BC55F8">
        <w:rPr>
          <w:rFonts w:ascii="Verdana" w:hAnsi="Verdana"/>
          <w:sz w:val="18"/>
          <w:szCs w:val="18"/>
        </w:rPr>
        <w:t xml:space="preserve">uit het </w:t>
      </w:r>
      <w:r w:rsidR="0065467F">
        <w:rPr>
          <w:rFonts w:ascii="Verdana" w:hAnsi="Verdana"/>
          <w:sz w:val="18"/>
          <w:szCs w:val="18"/>
        </w:rPr>
        <w:t xml:space="preserve">McKinsey </w:t>
      </w:r>
      <w:r w:rsidR="00BC55F8">
        <w:rPr>
          <w:rFonts w:ascii="Verdana" w:hAnsi="Verdana"/>
          <w:sz w:val="18"/>
          <w:szCs w:val="18"/>
        </w:rPr>
        <w:t>rapport</w:t>
      </w:r>
      <w:r w:rsidRPr="00C8662F">
        <w:rPr>
          <w:rFonts w:ascii="Verdana" w:hAnsi="Verdana"/>
          <w:sz w:val="18"/>
          <w:szCs w:val="18"/>
        </w:rPr>
        <w:t xml:space="preserve"> en </w:t>
      </w:r>
      <w:r w:rsidR="0065467F">
        <w:rPr>
          <w:rFonts w:ascii="Verdana" w:hAnsi="Verdana"/>
          <w:sz w:val="18"/>
          <w:szCs w:val="18"/>
        </w:rPr>
        <w:t xml:space="preserve">die van </w:t>
      </w:r>
      <w:r w:rsidRPr="00C8662F">
        <w:rPr>
          <w:rFonts w:ascii="Verdana" w:hAnsi="Verdana"/>
          <w:sz w:val="18"/>
          <w:szCs w:val="18"/>
        </w:rPr>
        <w:t xml:space="preserve">de ADR zullen worden uitgevoerd. Voorbeelden zijn het inrichten van </w:t>
      </w:r>
      <w:r w:rsidRPr="006421CC" w:rsidR="006421CC">
        <w:rPr>
          <w:rFonts w:ascii="Verdana" w:hAnsi="Verdana"/>
          <w:sz w:val="18"/>
          <w:szCs w:val="18"/>
        </w:rPr>
        <w:t>gestructureerde dag- en weekstarts voor productiesturing</w:t>
      </w:r>
      <w:r w:rsidRPr="00C8662F">
        <w:rPr>
          <w:rFonts w:ascii="Verdana" w:hAnsi="Verdana"/>
          <w:sz w:val="18"/>
          <w:szCs w:val="18"/>
        </w:rPr>
        <w:t>, het toetsen en evalueren van de overleggen,</w:t>
      </w:r>
      <w:r w:rsidR="006421CC">
        <w:rPr>
          <w:rFonts w:ascii="Verdana" w:hAnsi="Verdana"/>
          <w:sz w:val="18"/>
          <w:szCs w:val="18"/>
        </w:rPr>
        <w:t xml:space="preserve"> en</w:t>
      </w:r>
      <w:r w:rsidRPr="00C8662F">
        <w:rPr>
          <w:rFonts w:ascii="Verdana" w:hAnsi="Verdana"/>
          <w:sz w:val="18"/>
          <w:szCs w:val="18"/>
        </w:rPr>
        <w:t xml:space="preserve"> </w:t>
      </w:r>
      <w:r>
        <w:rPr>
          <w:rFonts w:ascii="Verdana" w:hAnsi="Verdana"/>
          <w:sz w:val="18"/>
          <w:szCs w:val="18"/>
        </w:rPr>
        <w:t>het verbeteren</w:t>
      </w:r>
      <w:r w:rsidR="00224A8C">
        <w:rPr>
          <w:rFonts w:ascii="Verdana" w:hAnsi="Verdana"/>
          <w:sz w:val="18"/>
          <w:szCs w:val="18"/>
        </w:rPr>
        <w:t xml:space="preserve"> en intensiveren</w:t>
      </w:r>
      <w:r>
        <w:rPr>
          <w:rFonts w:ascii="Verdana" w:hAnsi="Verdana"/>
          <w:sz w:val="18"/>
          <w:szCs w:val="18"/>
        </w:rPr>
        <w:t xml:space="preserve"> van het prestatiemanagement en </w:t>
      </w:r>
      <w:r w:rsidRPr="00C8662F">
        <w:rPr>
          <w:rFonts w:ascii="Verdana" w:hAnsi="Verdana"/>
          <w:sz w:val="18"/>
          <w:szCs w:val="18"/>
        </w:rPr>
        <w:t xml:space="preserve">van de </w:t>
      </w:r>
      <w:r w:rsidRPr="00C8662F" w:rsidR="002D3B27">
        <w:rPr>
          <w:rFonts w:ascii="Verdana" w:hAnsi="Verdana"/>
          <w:sz w:val="18"/>
          <w:szCs w:val="18"/>
        </w:rPr>
        <w:t>opleidi</w:t>
      </w:r>
      <w:r w:rsidR="002D3B27">
        <w:rPr>
          <w:rFonts w:ascii="Verdana" w:hAnsi="Verdana"/>
          <w:sz w:val="18"/>
          <w:szCs w:val="18"/>
        </w:rPr>
        <w:t>n</w:t>
      </w:r>
      <w:r w:rsidRPr="00C8662F" w:rsidR="002D3B27">
        <w:rPr>
          <w:rFonts w:ascii="Verdana" w:hAnsi="Verdana"/>
          <w:sz w:val="18"/>
          <w:szCs w:val="18"/>
        </w:rPr>
        <w:t>gstrajecten</w:t>
      </w:r>
      <w:r w:rsidRPr="00C8662F">
        <w:rPr>
          <w:rFonts w:ascii="Verdana" w:hAnsi="Verdana"/>
          <w:sz w:val="18"/>
          <w:szCs w:val="18"/>
        </w:rPr>
        <w:t xml:space="preserve">. </w:t>
      </w:r>
      <w:r w:rsidR="006421CC">
        <w:rPr>
          <w:rFonts w:ascii="Verdana" w:hAnsi="Verdana"/>
          <w:sz w:val="18"/>
          <w:szCs w:val="18"/>
        </w:rPr>
        <w:t xml:space="preserve">Ook </w:t>
      </w:r>
      <w:r w:rsidR="00914165">
        <w:rPr>
          <w:rFonts w:ascii="Verdana" w:hAnsi="Verdana"/>
          <w:sz w:val="18"/>
          <w:szCs w:val="18"/>
        </w:rPr>
        <w:t>zal verkend worden of</w:t>
      </w:r>
      <w:r w:rsidR="007D41B2">
        <w:rPr>
          <w:rFonts w:ascii="Verdana" w:hAnsi="Verdana"/>
          <w:sz w:val="18"/>
          <w:szCs w:val="18"/>
        </w:rPr>
        <w:t xml:space="preserve"> het</w:t>
      </w:r>
      <w:r w:rsidR="00A54B53">
        <w:rPr>
          <w:rFonts w:ascii="Verdana" w:hAnsi="Verdana"/>
          <w:sz w:val="18"/>
          <w:szCs w:val="18"/>
        </w:rPr>
        <w:t xml:space="preserve"> toepassen van automatiserende systemen die bijvoorbeeld </w:t>
      </w:r>
      <w:r w:rsidRPr="006421CC" w:rsidR="006421CC">
        <w:rPr>
          <w:rFonts w:ascii="Verdana" w:hAnsi="Verdana"/>
          <w:sz w:val="18"/>
          <w:szCs w:val="18"/>
        </w:rPr>
        <w:t xml:space="preserve">informatie uit documenten automatisch </w:t>
      </w:r>
      <w:r w:rsidR="0007045D">
        <w:rPr>
          <w:rFonts w:ascii="Verdana" w:hAnsi="Verdana"/>
          <w:sz w:val="18"/>
          <w:szCs w:val="18"/>
        </w:rPr>
        <w:t xml:space="preserve">kunnen </w:t>
      </w:r>
      <w:r w:rsidRPr="006421CC" w:rsidR="006421CC">
        <w:rPr>
          <w:rFonts w:ascii="Verdana" w:hAnsi="Verdana"/>
          <w:sz w:val="18"/>
          <w:szCs w:val="18"/>
        </w:rPr>
        <w:t>inlezen in systemen</w:t>
      </w:r>
      <w:r w:rsidR="00914165">
        <w:rPr>
          <w:rFonts w:ascii="Verdana" w:hAnsi="Verdana"/>
          <w:sz w:val="18"/>
          <w:szCs w:val="18"/>
        </w:rPr>
        <w:t xml:space="preserve"> mogelijk is</w:t>
      </w:r>
      <w:r w:rsidR="00A54B53">
        <w:rPr>
          <w:rFonts w:ascii="Verdana" w:hAnsi="Verdana"/>
          <w:sz w:val="18"/>
          <w:szCs w:val="18"/>
        </w:rPr>
        <w:t xml:space="preserve">. Zo </w:t>
      </w:r>
      <w:r w:rsidR="00794A07">
        <w:rPr>
          <w:rFonts w:ascii="Verdana" w:hAnsi="Verdana"/>
          <w:sz w:val="18"/>
          <w:szCs w:val="18"/>
        </w:rPr>
        <w:t xml:space="preserve">kan </w:t>
      </w:r>
      <w:r w:rsidR="00A54B53">
        <w:rPr>
          <w:rFonts w:ascii="Verdana" w:hAnsi="Verdana"/>
          <w:sz w:val="18"/>
          <w:szCs w:val="18"/>
        </w:rPr>
        <w:t>tijdrovend handmatig werk</w:t>
      </w:r>
      <w:r w:rsidR="00794A07">
        <w:rPr>
          <w:rFonts w:ascii="Verdana" w:hAnsi="Verdana"/>
          <w:sz w:val="18"/>
          <w:szCs w:val="18"/>
        </w:rPr>
        <w:t xml:space="preserve"> worden</w:t>
      </w:r>
      <w:r w:rsidR="00A54B53">
        <w:rPr>
          <w:rFonts w:ascii="Verdana" w:hAnsi="Verdana"/>
          <w:sz w:val="18"/>
          <w:szCs w:val="18"/>
        </w:rPr>
        <w:t xml:space="preserve"> verminder</w:t>
      </w:r>
      <w:r w:rsidR="00DE35C7">
        <w:rPr>
          <w:rFonts w:ascii="Verdana" w:hAnsi="Verdana"/>
          <w:sz w:val="18"/>
          <w:szCs w:val="18"/>
        </w:rPr>
        <w:t>d</w:t>
      </w:r>
      <w:r w:rsidRPr="006421CC" w:rsidR="006421CC">
        <w:rPr>
          <w:rFonts w:ascii="Verdana" w:hAnsi="Verdana"/>
          <w:sz w:val="18"/>
          <w:szCs w:val="18"/>
        </w:rPr>
        <w:t xml:space="preserve">. </w:t>
      </w:r>
      <w:r w:rsidRPr="00C8662F">
        <w:rPr>
          <w:rFonts w:ascii="Verdana" w:hAnsi="Verdana"/>
          <w:sz w:val="18"/>
          <w:szCs w:val="18"/>
        </w:rPr>
        <w:t>De voortgang van de verbetermaatregelen word</w:t>
      </w:r>
      <w:r w:rsidR="00206F19">
        <w:rPr>
          <w:rFonts w:ascii="Verdana" w:hAnsi="Verdana"/>
          <w:sz w:val="18"/>
          <w:szCs w:val="18"/>
        </w:rPr>
        <w:t>t</w:t>
      </w:r>
      <w:r w:rsidRPr="00C8662F">
        <w:rPr>
          <w:rFonts w:ascii="Verdana" w:hAnsi="Verdana"/>
          <w:sz w:val="18"/>
          <w:szCs w:val="18"/>
        </w:rPr>
        <w:t xml:space="preserve"> nauwlettend in de gaten gehouden.</w:t>
      </w:r>
      <w:r>
        <w:rPr>
          <w:rFonts w:ascii="Verdana" w:hAnsi="Verdana"/>
          <w:sz w:val="18"/>
          <w:szCs w:val="18"/>
        </w:rPr>
        <w:t xml:space="preserve"> </w:t>
      </w:r>
      <w:r w:rsidR="00A54B53">
        <w:rPr>
          <w:rFonts w:ascii="Verdana" w:hAnsi="Verdana"/>
          <w:sz w:val="18"/>
          <w:szCs w:val="18"/>
        </w:rPr>
        <w:t>Wa</w:t>
      </w:r>
      <w:r w:rsidRPr="00276931">
        <w:rPr>
          <w:rFonts w:ascii="Verdana" w:hAnsi="Verdana"/>
          <w:sz w:val="18"/>
          <w:szCs w:val="18"/>
        </w:rPr>
        <w:t xml:space="preserve">ar nodig </w:t>
      </w:r>
      <w:r w:rsidR="00794A07">
        <w:rPr>
          <w:rFonts w:ascii="Verdana" w:hAnsi="Verdana"/>
          <w:sz w:val="18"/>
          <w:szCs w:val="18"/>
        </w:rPr>
        <w:t xml:space="preserve">zal de Belastingdienst </w:t>
      </w:r>
      <w:r w:rsidR="00A54B53">
        <w:rPr>
          <w:rFonts w:ascii="Verdana" w:hAnsi="Verdana"/>
          <w:sz w:val="18"/>
          <w:szCs w:val="18"/>
        </w:rPr>
        <w:t>de</w:t>
      </w:r>
      <w:r w:rsidR="00794A07">
        <w:rPr>
          <w:rFonts w:ascii="Verdana" w:hAnsi="Verdana"/>
          <w:sz w:val="18"/>
          <w:szCs w:val="18"/>
        </w:rPr>
        <w:t>ze</w:t>
      </w:r>
      <w:r w:rsidR="00A54B53">
        <w:rPr>
          <w:rFonts w:ascii="Verdana" w:hAnsi="Verdana"/>
          <w:sz w:val="18"/>
          <w:szCs w:val="18"/>
        </w:rPr>
        <w:t xml:space="preserve"> maatregelen verder in</w:t>
      </w:r>
      <w:r w:rsidRPr="00276931">
        <w:rPr>
          <w:rFonts w:ascii="Verdana" w:hAnsi="Verdana"/>
          <w:sz w:val="18"/>
          <w:szCs w:val="18"/>
        </w:rPr>
        <w:t>tensiver</w:t>
      </w:r>
      <w:r w:rsidR="00A54B53">
        <w:rPr>
          <w:rFonts w:ascii="Verdana" w:hAnsi="Verdana"/>
          <w:sz w:val="18"/>
          <w:szCs w:val="18"/>
        </w:rPr>
        <w:t>en</w:t>
      </w:r>
      <w:r w:rsidRPr="00276931">
        <w:rPr>
          <w:rFonts w:ascii="Verdana" w:hAnsi="Verdana"/>
          <w:sz w:val="18"/>
          <w:szCs w:val="18"/>
        </w:rPr>
        <w:t xml:space="preserve">. </w:t>
      </w:r>
    </w:p>
    <w:p w:rsidR="00AB3112" w:rsidRDefault="00AB3112" w14:paraId="1E6C81CE" w14:textId="6DF3DC01">
      <w:pPr>
        <w:rPr>
          <w:rFonts w:ascii="Verdana" w:hAnsi="Verdana"/>
          <w:b/>
          <w:bCs/>
          <w:sz w:val="18"/>
          <w:szCs w:val="18"/>
        </w:rPr>
      </w:pPr>
      <w:bookmarkStart w:name="_Hlk212813022" w:id="23"/>
      <w:bookmarkEnd w:id="20"/>
      <w:r>
        <w:rPr>
          <w:rFonts w:ascii="Verdana" w:hAnsi="Verdana"/>
          <w:b/>
          <w:bCs/>
          <w:sz w:val="18"/>
          <w:szCs w:val="18"/>
        </w:rPr>
        <w:t>2</w:t>
      </w:r>
      <w:r w:rsidR="007F29E6">
        <w:rPr>
          <w:rFonts w:ascii="Verdana" w:hAnsi="Verdana"/>
          <w:b/>
          <w:bCs/>
          <w:sz w:val="18"/>
          <w:szCs w:val="18"/>
        </w:rPr>
        <w:t>1</w:t>
      </w:r>
      <w:r>
        <w:rPr>
          <w:rFonts w:ascii="Verdana" w:hAnsi="Verdana"/>
          <w:b/>
          <w:bCs/>
          <w:sz w:val="18"/>
          <w:szCs w:val="18"/>
        </w:rPr>
        <w:t xml:space="preserve">. Fiscale geheimhoudingsplicht: </w:t>
      </w:r>
      <w:r w:rsidRPr="00A85518" w:rsidR="00A85518">
        <w:rPr>
          <w:rFonts w:ascii="Verdana" w:hAnsi="Verdana"/>
          <w:b/>
          <w:bCs/>
          <w:sz w:val="18"/>
          <w:szCs w:val="18"/>
        </w:rPr>
        <w:t>Arm’s-lengthbeginsel</w:t>
      </w:r>
    </w:p>
    <w:p w:rsidRPr="00913084" w:rsidR="00AB3112" w:rsidP="00AB3112" w:rsidRDefault="00AB3112" w14:paraId="54A2C4D9" w14:textId="120C1184">
      <w:pPr>
        <w:rPr>
          <w:rFonts w:ascii="Verdana" w:hAnsi="Verdana"/>
          <w:sz w:val="18"/>
          <w:szCs w:val="18"/>
        </w:rPr>
      </w:pPr>
      <w:bookmarkStart w:name="_Hlk212812489" w:id="24"/>
      <w:r w:rsidRPr="00913084">
        <w:rPr>
          <w:rFonts w:ascii="Verdana" w:hAnsi="Verdana"/>
          <w:sz w:val="18"/>
          <w:szCs w:val="18"/>
        </w:rPr>
        <w:t>Naar aanleiding van een vraag van het lid Stultiens tijdens het commissiedebat internationale fiscaliteit heb ik toegezegd u te informeren over de toepassing van het arm's-lengthbeginsel en de rechtszaken hierover (onder andere op macroniveau t.a.v. opgelegde boetes). Hierbij geef ik invulling aan deze toezegging.</w:t>
      </w:r>
    </w:p>
    <w:p w:rsidRPr="00913084" w:rsidR="00AB3112" w:rsidP="00AB3112" w:rsidRDefault="00AB3112" w14:paraId="0366894F" w14:textId="77777777">
      <w:pPr>
        <w:rPr>
          <w:rFonts w:ascii="Verdana" w:hAnsi="Verdana"/>
          <w:sz w:val="18"/>
          <w:szCs w:val="18"/>
        </w:rPr>
      </w:pPr>
      <w:r w:rsidRPr="00913084">
        <w:rPr>
          <w:rFonts w:ascii="Verdana" w:hAnsi="Verdana"/>
          <w:sz w:val="18"/>
          <w:szCs w:val="18"/>
        </w:rPr>
        <w:t>Het arm's-lengthbeginsel houdt in dat de winst binnen een concern, ofwel een groep van bedrijven, verdeeld wordt op basis van wat de verschillende bedrijven binnen een concern doen. Bedrijven binnen hetzelfde concern moeten elkaar daarbij zakelijke prijzen in rekening brengen, alsof ze onafhankelijke partijen zijn. Zo krijgt elke onderneming die waarde toevoegt op basis van haar functies, activa en risico's, een passende beloning: de arm's-lenghtbeloning.</w:t>
      </w:r>
    </w:p>
    <w:p w:rsidRPr="00913084" w:rsidR="00AB3112" w:rsidP="00AB3112" w:rsidRDefault="00AB3112" w14:paraId="0FAE5253" w14:textId="4671876A">
      <w:pPr>
        <w:rPr>
          <w:rFonts w:ascii="Verdana" w:hAnsi="Verdana"/>
          <w:sz w:val="18"/>
          <w:szCs w:val="18"/>
        </w:rPr>
      </w:pPr>
      <w:r w:rsidRPr="00913084">
        <w:rPr>
          <w:rFonts w:ascii="Verdana" w:hAnsi="Verdana"/>
          <w:sz w:val="18"/>
          <w:szCs w:val="18"/>
        </w:rPr>
        <w:lastRenderedPageBreak/>
        <w:t xml:space="preserve">Als de prijzen binnen het concern afwijken van wat onafhankelijke bedrijven onder vergelijkbare omstandigheden zouden afspreken, kunnen de Nederlandse of buitenlandse </w:t>
      </w:r>
      <w:r w:rsidR="008D3704">
        <w:rPr>
          <w:rFonts w:ascii="Verdana" w:hAnsi="Verdana"/>
          <w:sz w:val="18"/>
          <w:szCs w:val="18"/>
        </w:rPr>
        <w:t>b</w:t>
      </w:r>
      <w:r w:rsidRPr="00913084">
        <w:rPr>
          <w:rFonts w:ascii="Verdana" w:hAnsi="Verdana"/>
          <w:sz w:val="18"/>
          <w:szCs w:val="18"/>
        </w:rPr>
        <w:t>elastingdiensten een correctie toepassen. De Nederlandse Belastingdienst zal dit doen op basis van artikel 8b van de Wet op de vennootschapsbelasting 1969.</w:t>
      </w:r>
    </w:p>
    <w:p w:rsidRPr="00913084" w:rsidR="00AB3112" w:rsidP="00AB3112" w:rsidRDefault="00794A07" w14:paraId="2D98FD97" w14:textId="2CBA0F2E">
      <w:pPr>
        <w:rPr>
          <w:rFonts w:ascii="Verdana" w:hAnsi="Verdana"/>
          <w:sz w:val="18"/>
          <w:szCs w:val="18"/>
        </w:rPr>
      </w:pPr>
      <w:r>
        <w:rPr>
          <w:rFonts w:ascii="Verdana" w:hAnsi="Verdana"/>
          <w:sz w:val="18"/>
          <w:szCs w:val="18"/>
        </w:rPr>
        <w:t>De</w:t>
      </w:r>
      <w:r w:rsidRPr="00913084" w:rsidR="00AB3112">
        <w:rPr>
          <w:rFonts w:ascii="Verdana" w:hAnsi="Verdana"/>
          <w:sz w:val="18"/>
          <w:szCs w:val="18"/>
        </w:rPr>
        <w:t xml:space="preserve"> Belastingdienst </w:t>
      </w:r>
      <w:r>
        <w:rPr>
          <w:rFonts w:ascii="Verdana" w:hAnsi="Verdana"/>
          <w:sz w:val="18"/>
          <w:szCs w:val="18"/>
        </w:rPr>
        <w:t>heeft een</w:t>
      </w:r>
      <w:r w:rsidRPr="00913084" w:rsidR="00AB3112">
        <w:rPr>
          <w:rFonts w:ascii="Verdana" w:hAnsi="Verdana"/>
          <w:sz w:val="18"/>
          <w:szCs w:val="18"/>
        </w:rPr>
        <w:t xml:space="preserve"> coördinatiegroep verrekenprijzen (CGVP). Deze CGVP zorgt ervoor dat het beleid rondom verrekenprijzen op een eenduidige manier wordt uitgevoer</w:t>
      </w:r>
      <w:r w:rsidRPr="00913084" w:rsidR="00AB3112">
        <w:rPr>
          <w:rFonts w:ascii="Verdana" w:hAnsi="Verdana" w:eastAsia="Aptos" w:cs="Aptos"/>
          <w:sz w:val="18"/>
          <w:szCs w:val="18"/>
        </w:rPr>
        <w:t>d</w:t>
      </w:r>
      <w:r>
        <w:rPr>
          <w:rFonts w:ascii="Verdana" w:hAnsi="Verdana" w:eastAsia="Aptos" w:cs="Aptos"/>
          <w:sz w:val="18"/>
          <w:szCs w:val="18"/>
        </w:rPr>
        <w:t xml:space="preserve"> </w:t>
      </w:r>
      <w:r w:rsidRPr="00913084" w:rsidR="00AB3112">
        <w:rPr>
          <w:rFonts w:ascii="Verdana" w:hAnsi="Verdana" w:eastAsia="Aptos" w:cs="Aptos"/>
          <w:sz w:val="18"/>
          <w:szCs w:val="18"/>
        </w:rPr>
        <w:t xml:space="preserve">en geeft daartoe bindende adviezen aan de competente inspecteur. </w:t>
      </w:r>
      <w:r w:rsidRPr="00913084" w:rsidR="00AB3112">
        <w:rPr>
          <w:rFonts w:ascii="Verdana" w:hAnsi="Verdana"/>
          <w:sz w:val="18"/>
          <w:szCs w:val="18"/>
        </w:rPr>
        <w:t>Daarbij werkt de CGVP nauw samen met de competente inspecteur van de Belastingdienst bij de behandeling van verrekenprijsproblematiek.</w:t>
      </w:r>
      <w:r w:rsidR="00AB3112">
        <w:rPr>
          <w:rFonts w:ascii="Verdana" w:hAnsi="Verdana"/>
          <w:sz w:val="18"/>
          <w:szCs w:val="18"/>
        </w:rPr>
        <w:t xml:space="preserve"> Wanneer sprake is van</w:t>
      </w:r>
      <w:r w:rsidRPr="00913084" w:rsidR="00AB3112">
        <w:rPr>
          <w:rFonts w:ascii="Verdana" w:hAnsi="Verdana"/>
          <w:sz w:val="18"/>
          <w:szCs w:val="18"/>
        </w:rPr>
        <w:t xml:space="preserve"> dubbele belastingheffing of onjuiste verdragstoepassing</w:t>
      </w:r>
      <w:r w:rsidR="00AB3112">
        <w:rPr>
          <w:rFonts w:ascii="Verdana" w:hAnsi="Verdana"/>
          <w:sz w:val="18"/>
          <w:szCs w:val="18"/>
        </w:rPr>
        <w:t>, is b</w:t>
      </w:r>
      <w:r w:rsidRPr="00913084" w:rsidR="00AB3112">
        <w:rPr>
          <w:rFonts w:ascii="Verdana" w:hAnsi="Verdana"/>
          <w:sz w:val="18"/>
          <w:szCs w:val="18"/>
        </w:rPr>
        <w:t>innen de Belastingdienst het M</w:t>
      </w:r>
      <w:r w:rsidR="00AB3112">
        <w:rPr>
          <w:rFonts w:ascii="Verdana" w:hAnsi="Verdana"/>
          <w:sz w:val="18"/>
          <w:szCs w:val="18"/>
        </w:rPr>
        <w:t>utual Agreement Procedures (M</w:t>
      </w:r>
      <w:r w:rsidRPr="00913084" w:rsidR="00AB3112">
        <w:rPr>
          <w:rFonts w:ascii="Verdana" w:hAnsi="Verdana"/>
          <w:sz w:val="18"/>
          <w:szCs w:val="18"/>
        </w:rPr>
        <w:t>AP</w:t>
      </w:r>
      <w:r w:rsidR="00AB3112">
        <w:rPr>
          <w:rFonts w:ascii="Verdana" w:hAnsi="Verdana"/>
          <w:sz w:val="18"/>
          <w:szCs w:val="18"/>
        </w:rPr>
        <w:t>)</w:t>
      </w:r>
      <w:r w:rsidRPr="00913084" w:rsidR="00AB3112">
        <w:rPr>
          <w:rFonts w:ascii="Verdana" w:hAnsi="Verdana"/>
          <w:sz w:val="18"/>
          <w:szCs w:val="18"/>
        </w:rPr>
        <w:t>-team verantwoordelijk voor het in overleg treden met buitenlandse bevoegde autoriteiten</w:t>
      </w:r>
      <w:r w:rsidR="00AB3112">
        <w:rPr>
          <w:rFonts w:ascii="Verdana" w:hAnsi="Verdana"/>
          <w:sz w:val="18"/>
          <w:szCs w:val="18"/>
        </w:rPr>
        <w:t xml:space="preserve"> om problemen op te lossen.</w:t>
      </w:r>
      <w:r w:rsidRPr="00913084" w:rsidR="00AB3112">
        <w:rPr>
          <w:rFonts w:ascii="Verdana" w:hAnsi="Verdana"/>
          <w:sz w:val="18"/>
          <w:szCs w:val="18"/>
        </w:rPr>
        <w:t xml:space="preserve"> MAP-zaken kunnen betrekking hebben op verrekenprijzen. </w:t>
      </w:r>
    </w:p>
    <w:p w:rsidRPr="00913084" w:rsidR="00AB3112" w:rsidP="00AB3112" w:rsidRDefault="00AB3112" w14:paraId="3B0C17FF" w14:textId="7CEB68FC">
      <w:pPr>
        <w:rPr>
          <w:rFonts w:ascii="Verdana" w:hAnsi="Verdana"/>
          <w:sz w:val="18"/>
          <w:szCs w:val="18"/>
        </w:rPr>
      </w:pPr>
      <w:r w:rsidRPr="00913084">
        <w:rPr>
          <w:rFonts w:ascii="Verdana" w:hAnsi="Verdana"/>
          <w:sz w:val="18"/>
          <w:szCs w:val="18"/>
        </w:rPr>
        <w:t>Er zijn op macroniveau geen gegevens beschikbaar over boetes. Wel kan in algemene zin gezegd worden dat, indien feiten en omstandigheden van een specifieke casus daar aanleiding toe geven, boetes worden opgelegd. Een voorbeeld hiervan is de procedure waarin gerechtshof Amsterdam op 11 september 2025 uitspraak heeft gedaan</w:t>
      </w:r>
      <w:r w:rsidRPr="00913084">
        <w:rPr>
          <w:rStyle w:val="Voetnootmarkering"/>
          <w:rFonts w:ascii="Verdana" w:hAnsi="Verdana"/>
          <w:sz w:val="18"/>
          <w:szCs w:val="18"/>
        </w:rPr>
        <w:footnoteReference w:id="49"/>
      </w:r>
      <w:r w:rsidRPr="00913084">
        <w:rPr>
          <w:rFonts w:ascii="Verdana" w:hAnsi="Verdana"/>
          <w:sz w:val="18"/>
          <w:szCs w:val="18"/>
        </w:rPr>
        <w:t xml:space="preserve">. In deze procedure heeft het gerechtshof Amsterdam geoordeeld dat de Belastingdienst terecht navorderingsaanslagen heeft opgelegd die betrekking hebben op verrekenprijzen. Volgens het Hof waren de kosten voor factoring, de betaalde garantiefees en het beëindigen van de licentierechten grotendeels onzakelijk. Voor de te hoge kosten voor factoring heeft het hof de opgelegde boete gedeeltelijk in stand gehouden. </w:t>
      </w:r>
    </w:p>
    <w:bookmarkEnd w:id="23"/>
    <w:bookmarkEnd w:id="24"/>
    <w:p w:rsidRPr="00913084" w:rsidR="00AB3112" w:rsidP="00AB3112" w:rsidRDefault="00AB3112" w14:paraId="5A0162EF" w14:textId="03F93ACC">
      <w:pPr>
        <w:rPr>
          <w:rFonts w:ascii="Verdana" w:hAnsi="Verdana"/>
          <w:sz w:val="18"/>
          <w:szCs w:val="18"/>
        </w:rPr>
      </w:pPr>
    </w:p>
    <w:p w:rsidR="00932CFE" w:rsidRDefault="00932CFE" w14:paraId="2D5819AA" w14:textId="7A25FD1F">
      <w:pPr>
        <w:rPr>
          <w:rFonts w:ascii="Verdana" w:hAnsi="Verdana"/>
          <w:b/>
          <w:bCs/>
          <w:sz w:val="18"/>
          <w:szCs w:val="18"/>
        </w:rPr>
      </w:pPr>
      <w:r>
        <w:rPr>
          <w:rFonts w:ascii="Verdana" w:hAnsi="Verdana"/>
          <w:b/>
          <w:bCs/>
          <w:sz w:val="18"/>
          <w:szCs w:val="18"/>
        </w:rPr>
        <w:br w:type="page"/>
      </w:r>
    </w:p>
    <w:p w:rsidR="00E152DF" w:rsidP="00E152DF" w:rsidRDefault="00E152DF" w14:paraId="28E38A17" w14:textId="257FA7E1">
      <w:pPr>
        <w:rPr>
          <w:rFonts w:ascii="Verdana" w:hAnsi="Verdana"/>
          <w:b/>
          <w:bCs/>
          <w:sz w:val="18"/>
          <w:szCs w:val="18"/>
        </w:rPr>
      </w:pPr>
      <w:r>
        <w:rPr>
          <w:rFonts w:ascii="Verdana" w:hAnsi="Verdana"/>
          <w:b/>
          <w:bCs/>
          <w:sz w:val="18"/>
          <w:szCs w:val="18"/>
        </w:rPr>
        <w:lastRenderedPageBreak/>
        <w:t xml:space="preserve">IV. </w:t>
      </w:r>
      <w:r w:rsidRPr="00E152DF">
        <w:rPr>
          <w:rFonts w:ascii="Verdana" w:hAnsi="Verdana"/>
          <w:b/>
          <w:bCs/>
          <w:sz w:val="18"/>
          <w:szCs w:val="18"/>
        </w:rPr>
        <w:t>Werken met plezier en vanuit vakmanschap</w:t>
      </w:r>
    </w:p>
    <w:p w:rsidRPr="00276931" w:rsidR="00082AFF" w:rsidP="00082AFF" w:rsidRDefault="00082AFF" w14:paraId="2E55FBBA" w14:textId="2789695E">
      <w:pPr>
        <w:rPr>
          <w:rFonts w:ascii="Verdana" w:hAnsi="Verdana"/>
          <w:b/>
          <w:bCs/>
          <w:sz w:val="18"/>
          <w:szCs w:val="18"/>
        </w:rPr>
      </w:pPr>
      <w:r>
        <w:rPr>
          <w:rFonts w:ascii="Verdana" w:hAnsi="Verdana"/>
          <w:b/>
          <w:bCs/>
          <w:sz w:val="18"/>
          <w:szCs w:val="18"/>
        </w:rPr>
        <w:t>2</w:t>
      </w:r>
      <w:r w:rsidR="00CC2AFD">
        <w:rPr>
          <w:rFonts w:ascii="Verdana" w:hAnsi="Verdana"/>
          <w:b/>
          <w:bCs/>
          <w:sz w:val="18"/>
          <w:szCs w:val="18"/>
        </w:rPr>
        <w:t>2</w:t>
      </w:r>
      <w:r w:rsidRPr="00276931">
        <w:rPr>
          <w:rFonts w:ascii="Verdana" w:hAnsi="Verdana"/>
          <w:b/>
          <w:bCs/>
          <w:sz w:val="18"/>
          <w:szCs w:val="18"/>
        </w:rPr>
        <w:t xml:space="preserve">. </w:t>
      </w:r>
      <w:r>
        <w:rPr>
          <w:rFonts w:ascii="Verdana" w:hAnsi="Verdana"/>
          <w:b/>
          <w:bCs/>
          <w:sz w:val="18"/>
          <w:szCs w:val="18"/>
        </w:rPr>
        <w:t>P</w:t>
      </w:r>
      <w:r w:rsidRPr="00276931">
        <w:rPr>
          <w:rFonts w:ascii="Verdana" w:hAnsi="Verdana"/>
          <w:b/>
          <w:bCs/>
          <w:sz w:val="18"/>
          <w:szCs w:val="18"/>
        </w:rPr>
        <w:t>ersoneel</w:t>
      </w:r>
    </w:p>
    <w:p w:rsidRPr="00276931" w:rsidR="00082AFF" w:rsidP="00082AFF" w:rsidRDefault="00082AFF" w14:paraId="33A6EC02" w14:textId="2570E769">
      <w:pPr>
        <w:spacing w:after="0"/>
        <w:rPr>
          <w:rFonts w:ascii="Verdana" w:hAnsi="Verdana"/>
          <w:sz w:val="18"/>
          <w:szCs w:val="18"/>
        </w:rPr>
      </w:pPr>
      <w:r w:rsidRPr="00276931">
        <w:rPr>
          <w:rFonts w:ascii="Verdana" w:hAnsi="Verdana"/>
          <w:sz w:val="18"/>
          <w:szCs w:val="18"/>
        </w:rPr>
        <w:t>In maart 2025</w:t>
      </w:r>
      <w:r w:rsidRPr="00276931">
        <w:rPr>
          <w:rFonts w:ascii="Verdana" w:hAnsi="Verdana"/>
          <w:sz w:val="18"/>
          <w:szCs w:val="18"/>
          <w:vertAlign w:val="superscript"/>
        </w:rPr>
        <w:footnoteReference w:id="50"/>
      </w:r>
      <w:r w:rsidRPr="00276931">
        <w:rPr>
          <w:rFonts w:ascii="Verdana" w:hAnsi="Verdana"/>
          <w:sz w:val="18"/>
          <w:szCs w:val="18"/>
        </w:rPr>
        <w:t xml:space="preserve"> heeft mijn ambtsvoorganger u</w:t>
      </w:r>
      <w:r>
        <w:rPr>
          <w:rFonts w:ascii="Verdana" w:hAnsi="Verdana"/>
          <w:sz w:val="18"/>
          <w:szCs w:val="18"/>
        </w:rPr>
        <w:t>, net als in vorige brieven,</w:t>
      </w:r>
      <w:r w:rsidRPr="00276931">
        <w:rPr>
          <w:rFonts w:ascii="Verdana" w:hAnsi="Verdana"/>
          <w:sz w:val="18"/>
          <w:szCs w:val="18"/>
        </w:rPr>
        <w:t xml:space="preserve"> bericht</w:t>
      </w:r>
      <w:r>
        <w:rPr>
          <w:rFonts w:ascii="Verdana" w:hAnsi="Verdana"/>
          <w:sz w:val="18"/>
          <w:szCs w:val="18"/>
        </w:rPr>
        <w:t xml:space="preserve"> over het belangrijke onderwerp personeel. Het is de Belastingdienst, ondanks grote krapte op de arbeidsmarkt, </w:t>
      </w:r>
      <w:r w:rsidR="008D3704">
        <w:rPr>
          <w:rFonts w:ascii="Verdana" w:hAnsi="Verdana"/>
          <w:sz w:val="18"/>
          <w:szCs w:val="18"/>
        </w:rPr>
        <w:t xml:space="preserve">ook dit jaar </w:t>
      </w:r>
      <w:r>
        <w:rPr>
          <w:rFonts w:ascii="Verdana" w:hAnsi="Verdana"/>
          <w:sz w:val="18"/>
          <w:szCs w:val="18"/>
        </w:rPr>
        <w:t xml:space="preserve">gelukt om voldoende personeel te werven. In 2024 is het gelukt een bezettingsgraad van ruim 100% te realiseren. </w:t>
      </w:r>
      <w:r w:rsidRPr="00276931">
        <w:rPr>
          <w:rFonts w:ascii="Verdana" w:hAnsi="Verdana"/>
          <w:sz w:val="18"/>
          <w:szCs w:val="18"/>
        </w:rPr>
        <w:t>De werving wordt onverminderd doorgezet om de oplopende uitstroom, naast pensionering, op te vangen.</w:t>
      </w:r>
      <w:r>
        <w:rPr>
          <w:rFonts w:ascii="Verdana" w:hAnsi="Verdana"/>
          <w:sz w:val="18"/>
          <w:szCs w:val="18"/>
        </w:rPr>
        <w:t xml:space="preserve"> </w:t>
      </w:r>
      <w:r w:rsidRPr="00993DDD">
        <w:rPr>
          <w:rFonts w:ascii="Verdana" w:hAnsi="Verdana"/>
          <w:sz w:val="18"/>
          <w:szCs w:val="18"/>
        </w:rPr>
        <w:t>De Belastingdienst wil een organisatie zijn waar medewerkers trots op zijn en waar medewerkers werken vanuit plezier en vakmanschap. Uit het meest recente medewerkers</w:t>
      </w:r>
      <w:r w:rsidR="00E63E2C">
        <w:rPr>
          <w:rFonts w:ascii="Verdana" w:hAnsi="Verdana"/>
          <w:sz w:val="18"/>
          <w:szCs w:val="18"/>
        </w:rPr>
        <w:t>tevredenheids</w:t>
      </w:r>
      <w:r w:rsidRPr="00993DDD">
        <w:rPr>
          <w:rFonts w:ascii="Verdana" w:hAnsi="Verdana"/>
          <w:sz w:val="18"/>
          <w:szCs w:val="18"/>
        </w:rPr>
        <w:t xml:space="preserve">onderzoek van </w:t>
      </w:r>
      <w:r>
        <w:rPr>
          <w:rFonts w:ascii="Verdana" w:hAnsi="Verdana"/>
          <w:sz w:val="18"/>
          <w:szCs w:val="18"/>
        </w:rPr>
        <w:t xml:space="preserve">mei 2025 </w:t>
      </w:r>
      <w:r w:rsidRPr="00993DDD">
        <w:rPr>
          <w:rFonts w:ascii="Verdana" w:hAnsi="Verdana"/>
          <w:sz w:val="18"/>
          <w:szCs w:val="18"/>
        </w:rPr>
        <w:t xml:space="preserve">blijkt dat medewerkers de Belastingdienst als werkgever </w:t>
      </w:r>
      <w:r>
        <w:rPr>
          <w:rFonts w:ascii="Verdana" w:hAnsi="Verdana"/>
          <w:sz w:val="18"/>
          <w:szCs w:val="18"/>
        </w:rPr>
        <w:t>nog steeds positief beoordelen</w:t>
      </w:r>
      <w:r w:rsidRPr="00993DDD">
        <w:rPr>
          <w:rFonts w:ascii="Verdana" w:hAnsi="Verdana"/>
          <w:sz w:val="18"/>
          <w:szCs w:val="18"/>
        </w:rPr>
        <w:t>.</w:t>
      </w:r>
      <w:r>
        <w:rPr>
          <w:rFonts w:ascii="Verdana" w:hAnsi="Verdana"/>
          <w:sz w:val="18"/>
          <w:szCs w:val="18"/>
        </w:rPr>
        <w:t xml:space="preserve"> </w:t>
      </w:r>
      <w:r w:rsidR="004C2987">
        <w:rPr>
          <w:rFonts w:ascii="Verdana" w:hAnsi="Verdana"/>
          <w:sz w:val="18"/>
          <w:szCs w:val="18"/>
        </w:rPr>
        <w:t>De Employee Net Promotor Score (eNPS</w:t>
      </w:r>
      <w:r>
        <w:rPr>
          <w:rFonts w:ascii="Verdana" w:hAnsi="Verdana"/>
          <w:sz w:val="18"/>
          <w:szCs w:val="18"/>
        </w:rPr>
        <w:t xml:space="preserve"> </w:t>
      </w:r>
      <w:r w:rsidRPr="004C2987" w:rsidR="004C2987">
        <w:rPr>
          <w:rFonts w:ascii="Verdana" w:hAnsi="Verdana"/>
          <w:sz w:val="18"/>
          <w:szCs w:val="18"/>
        </w:rPr>
        <w:t xml:space="preserve">- een veelgebruikte indicator om </w:t>
      </w:r>
      <w:r w:rsidR="004C2987">
        <w:rPr>
          <w:rFonts w:ascii="Verdana" w:hAnsi="Verdana"/>
          <w:sz w:val="18"/>
          <w:szCs w:val="18"/>
        </w:rPr>
        <w:t>aan te geven in welke mate medewerkers hun organisatie aanbevelen</w:t>
      </w:r>
      <w:r>
        <w:rPr>
          <w:rFonts w:ascii="Verdana" w:hAnsi="Verdana"/>
          <w:sz w:val="18"/>
          <w:szCs w:val="18"/>
        </w:rPr>
        <w:t>) van +5</w:t>
      </w:r>
      <w:r w:rsidR="004C2987">
        <w:rPr>
          <w:rFonts w:ascii="Verdana" w:hAnsi="Verdana"/>
          <w:sz w:val="18"/>
          <w:szCs w:val="18"/>
        </w:rPr>
        <w:t xml:space="preserve"> valt </w:t>
      </w:r>
      <w:r>
        <w:rPr>
          <w:rFonts w:ascii="Verdana" w:hAnsi="Verdana"/>
          <w:sz w:val="18"/>
          <w:szCs w:val="18"/>
        </w:rPr>
        <w:t>nog steeds boven de benchmark Ministeries. Ten opzichte van +13 die we eind 2024 scoorde is sprake van een lichte daling.</w:t>
      </w:r>
    </w:p>
    <w:p w:rsidR="00082AFF" w:rsidP="00082AFF" w:rsidRDefault="00082AFF" w14:paraId="25B8CF9C" w14:textId="5AAE9E7E">
      <w:pPr>
        <w:rPr>
          <w:rFonts w:ascii="Verdana" w:hAnsi="Verdana"/>
          <w:sz w:val="18"/>
          <w:szCs w:val="18"/>
        </w:rPr>
      </w:pPr>
      <w:r w:rsidRPr="00276931">
        <w:rPr>
          <w:rFonts w:ascii="Verdana" w:hAnsi="Verdana"/>
          <w:sz w:val="18"/>
          <w:szCs w:val="18"/>
        </w:rPr>
        <w:br/>
        <w:t xml:space="preserve">Als collega’s eenmaal binnen zijn, is het van belang hen zo snel mogelijk start- en vakbekwaam te maken en te houden. </w:t>
      </w:r>
      <w:r>
        <w:rPr>
          <w:rFonts w:ascii="Verdana" w:hAnsi="Verdana"/>
          <w:sz w:val="18"/>
          <w:szCs w:val="18"/>
        </w:rPr>
        <w:t>Zo krijgen collega’s bij bijvoorbeeld de Belasting</w:t>
      </w:r>
      <w:r w:rsidR="00406B6C">
        <w:rPr>
          <w:rFonts w:ascii="Verdana" w:hAnsi="Verdana"/>
          <w:sz w:val="18"/>
          <w:szCs w:val="18"/>
        </w:rPr>
        <w:t>T</w:t>
      </w:r>
      <w:r>
        <w:rPr>
          <w:rFonts w:ascii="Verdana" w:hAnsi="Verdana"/>
          <w:sz w:val="18"/>
          <w:szCs w:val="18"/>
        </w:rPr>
        <w:t>elefoon of het bezwarenproces een intensieve opleiding. Terwijl ze aan het werk zijn</w:t>
      </w:r>
      <w:r w:rsidR="009311CC">
        <w:rPr>
          <w:rFonts w:ascii="Verdana" w:hAnsi="Verdana"/>
          <w:sz w:val="18"/>
          <w:szCs w:val="18"/>
        </w:rPr>
        <w:t>,</w:t>
      </w:r>
      <w:r>
        <w:rPr>
          <w:rFonts w:ascii="Verdana" w:hAnsi="Verdana"/>
          <w:sz w:val="18"/>
          <w:szCs w:val="18"/>
        </w:rPr>
        <w:t xml:space="preserve"> worden ze stapsgewijs opgeleid om vakbekwaam zelfstandig aan het werk te gaan. Ook is met de Belastingacademie een breed aanbod aan </w:t>
      </w:r>
      <w:r w:rsidR="00BC4E23">
        <w:rPr>
          <w:rFonts w:ascii="Verdana" w:hAnsi="Verdana"/>
          <w:sz w:val="18"/>
          <w:szCs w:val="18"/>
        </w:rPr>
        <w:t>o</w:t>
      </w:r>
      <w:r w:rsidRPr="00BC4E23" w:rsidR="00BC4E23">
        <w:rPr>
          <w:rFonts w:ascii="Verdana" w:hAnsi="Verdana"/>
          <w:sz w:val="18"/>
          <w:szCs w:val="18"/>
        </w:rPr>
        <w:t xml:space="preserve">pleidingen gericht op persoonlijke ontwikkeling en vaktechniek </w:t>
      </w:r>
      <w:r>
        <w:rPr>
          <w:rFonts w:ascii="Verdana" w:hAnsi="Verdana"/>
          <w:sz w:val="18"/>
          <w:szCs w:val="18"/>
        </w:rPr>
        <w:t xml:space="preserve">beschikbaar voor collega’s. </w:t>
      </w:r>
    </w:p>
    <w:p w:rsidRPr="00276931" w:rsidR="00082AFF" w:rsidP="00082AFF" w:rsidRDefault="00082AFF" w14:paraId="3E016711" w14:textId="01338B22">
      <w:pPr>
        <w:rPr>
          <w:rFonts w:ascii="Verdana" w:hAnsi="Verdana"/>
          <w:sz w:val="18"/>
          <w:szCs w:val="18"/>
        </w:rPr>
      </w:pPr>
      <w:r>
        <w:rPr>
          <w:rFonts w:ascii="Verdana" w:hAnsi="Verdana"/>
          <w:sz w:val="18"/>
          <w:szCs w:val="18"/>
        </w:rPr>
        <w:t>Naast deze</w:t>
      </w:r>
      <w:r w:rsidRPr="00276931">
        <w:rPr>
          <w:rFonts w:ascii="Verdana" w:hAnsi="Verdana"/>
          <w:sz w:val="18"/>
          <w:szCs w:val="18"/>
        </w:rPr>
        <w:t xml:space="preserve"> traditionele wijze van opleiden</w:t>
      </w:r>
      <w:r>
        <w:rPr>
          <w:rFonts w:ascii="Verdana" w:hAnsi="Verdana"/>
          <w:sz w:val="18"/>
          <w:szCs w:val="18"/>
        </w:rPr>
        <w:t>, blijft de Belastingdienst investeren om ook in de toekomst collega’s zo snel mogelijk start- en vakbekwaam te maken.</w:t>
      </w:r>
      <w:r w:rsidRPr="00276931">
        <w:rPr>
          <w:rFonts w:ascii="Verdana" w:hAnsi="Verdana"/>
          <w:sz w:val="18"/>
          <w:szCs w:val="18"/>
        </w:rPr>
        <w:t xml:space="preserve"> </w:t>
      </w:r>
      <w:r>
        <w:rPr>
          <w:rFonts w:ascii="Verdana" w:hAnsi="Verdana"/>
          <w:sz w:val="18"/>
          <w:szCs w:val="18"/>
        </w:rPr>
        <w:t>We investeren</w:t>
      </w:r>
      <w:r w:rsidRPr="00276931">
        <w:rPr>
          <w:rFonts w:ascii="Verdana" w:hAnsi="Verdana"/>
          <w:sz w:val="18"/>
          <w:szCs w:val="18"/>
        </w:rPr>
        <w:t xml:space="preserve"> daarom in werken met digitale coaches die medewerkers per fiscaal werkproces kunnen raadplegen. Bestaande werkinstructies en handboeken worden</w:t>
      </w:r>
      <w:r w:rsidRPr="00DA3C38">
        <w:rPr>
          <w:rStyle w:val="Verwijzingopmerking"/>
        </w:rPr>
        <w:t xml:space="preserve"> </w:t>
      </w:r>
      <w:r w:rsidRPr="00276931">
        <w:rPr>
          <w:rFonts w:ascii="Verdana" w:hAnsi="Verdana"/>
          <w:sz w:val="18"/>
          <w:szCs w:val="18"/>
        </w:rPr>
        <w:t>met behulp van AI en de fiscale vaktechniek omgezet naar instructies voor deze digitale coaches.</w:t>
      </w:r>
    </w:p>
    <w:p w:rsidRPr="00276931" w:rsidR="00082AFF" w:rsidP="00082AFF" w:rsidRDefault="00082AFF" w14:paraId="56DBD762" w14:textId="1C4FF3D3">
      <w:pPr>
        <w:rPr>
          <w:rFonts w:ascii="Verdana" w:hAnsi="Verdana"/>
          <w:sz w:val="18"/>
          <w:szCs w:val="18"/>
        </w:rPr>
      </w:pPr>
      <w:r w:rsidRPr="00276931">
        <w:rPr>
          <w:rFonts w:ascii="Verdana" w:hAnsi="Verdana"/>
          <w:sz w:val="18"/>
          <w:szCs w:val="18"/>
        </w:rPr>
        <w:t xml:space="preserve">Het werken met digitale coaches </w:t>
      </w:r>
      <w:r>
        <w:rPr>
          <w:rFonts w:ascii="Verdana" w:hAnsi="Verdana"/>
          <w:sz w:val="18"/>
          <w:szCs w:val="18"/>
        </w:rPr>
        <w:t xml:space="preserve">heeft </w:t>
      </w:r>
      <w:r w:rsidR="004C2987">
        <w:rPr>
          <w:rFonts w:ascii="Verdana" w:hAnsi="Verdana"/>
          <w:sz w:val="18"/>
          <w:szCs w:val="18"/>
        </w:rPr>
        <w:t>het doel</w:t>
      </w:r>
      <w:r>
        <w:rPr>
          <w:rFonts w:ascii="Verdana" w:hAnsi="Verdana"/>
          <w:sz w:val="18"/>
          <w:szCs w:val="18"/>
        </w:rPr>
        <w:t xml:space="preserve"> om </w:t>
      </w:r>
      <w:r w:rsidRPr="00276931">
        <w:rPr>
          <w:rFonts w:ascii="Verdana" w:hAnsi="Verdana"/>
          <w:sz w:val="18"/>
          <w:szCs w:val="18"/>
        </w:rPr>
        <w:t>de inwerktijd van medewerkers te verkorten en de productiviteit en de kwaliteit van het werk te verhogen. Kennisbehoud bij uitstroom is beter mogelijk en er wordt minder beroep gedaan op senior</w:t>
      </w:r>
      <w:r w:rsidR="00DE35C7">
        <w:rPr>
          <w:rFonts w:ascii="Verdana" w:hAnsi="Verdana"/>
          <w:sz w:val="18"/>
          <w:szCs w:val="18"/>
        </w:rPr>
        <w:t xml:space="preserve"> </w:t>
      </w:r>
      <w:r w:rsidRPr="00276931">
        <w:rPr>
          <w:rFonts w:ascii="Verdana" w:hAnsi="Verdana"/>
          <w:sz w:val="18"/>
          <w:szCs w:val="18"/>
        </w:rPr>
        <w:t>collega’s, zodat zij hun specialistische kennis productiever kunnen inzetten in de uitvoering.</w:t>
      </w:r>
    </w:p>
    <w:p w:rsidRPr="00276931" w:rsidR="00082AFF" w:rsidP="00082AFF" w:rsidRDefault="00082AFF" w14:paraId="4AE2AD22" w14:textId="7F12E4E3">
      <w:pPr>
        <w:rPr>
          <w:rFonts w:ascii="Verdana" w:hAnsi="Verdana"/>
          <w:sz w:val="18"/>
          <w:szCs w:val="18"/>
        </w:rPr>
      </w:pPr>
      <w:r w:rsidRPr="00276931">
        <w:rPr>
          <w:rFonts w:ascii="Verdana" w:hAnsi="Verdana"/>
          <w:sz w:val="18"/>
          <w:szCs w:val="18"/>
        </w:rPr>
        <w:t>Ook op andere manieren werk</w:t>
      </w:r>
      <w:r w:rsidR="008D3704">
        <w:rPr>
          <w:rFonts w:ascii="Verdana" w:hAnsi="Verdana"/>
          <w:sz w:val="18"/>
          <w:szCs w:val="18"/>
        </w:rPr>
        <w:t>t de Belastingdienst</w:t>
      </w:r>
      <w:r w:rsidRPr="00276931">
        <w:rPr>
          <w:rFonts w:ascii="Verdana" w:hAnsi="Verdana"/>
          <w:sz w:val="18"/>
          <w:szCs w:val="18"/>
        </w:rPr>
        <w:t xml:space="preserve"> aan de inzetbaarheid van medewerkers. Er is onverminderd aandacht voor vitaliteit en welzijn, om zo een gezonde en motiverende werkomgeving te creëren. Daarmee wordt voorkomen dat medewerkers onnodig uitvallen. </w:t>
      </w:r>
      <w:r>
        <w:rPr>
          <w:rFonts w:ascii="Verdana" w:hAnsi="Verdana"/>
          <w:sz w:val="18"/>
          <w:szCs w:val="18"/>
        </w:rPr>
        <w:t>Zoals ook in de jaarrapportage 2024</w:t>
      </w:r>
      <w:r w:rsidR="00DE35C7">
        <w:rPr>
          <w:rStyle w:val="Voetnootmarkering"/>
          <w:rFonts w:ascii="Verdana" w:hAnsi="Verdana"/>
          <w:sz w:val="18"/>
          <w:szCs w:val="18"/>
        </w:rPr>
        <w:footnoteReference w:id="51"/>
      </w:r>
      <w:r>
        <w:rPr>
          <w:rFonts w:ascii="Verdana" w:hAnsi="Verdana"/>
          <w:sz w:val="18"/>
          <w:szCs w:val="18"/>
        </w:rPr>
        <w:t xml:space="preserve"> is te lezen, is een verzuimpercentage van 7,3% te hoog en vraagt </w:t>
      </w:r>
      <w:r w:rsidR="008D3704">
        <w:rPr>
          <w:rFonts w:ascii="Verdana" w:hAnsi="Verdana"/>
          <w:sz w:val="18"/>
          <w:szCs w:val="18"/>
        </w:rPr>
        <w:t xml:space="preserve">dit </w:t>
      </w:r>
      <w:r>
        <w:rPr>
          <w:rFonts w:ascii="Verdana" w:hAnsi="Verdana"/>
          <w:sz w:val="18"/>
          <w:szCs w:val="18"/>
        </w:rPr>
        <w:t>om een andere aanpak. Daarom is de Belastingdienst in 2025 gestart met een andere aanpak op verzuim. W</w:t>
      </w:r>
      <w:r w:rsidRPr="00276931">
        <w:rPr>
          <w:rFonts w:ascii="Verdana" w:hAnsi="Verdana"/>
          <w:sz w:val="18"/>
          <w:szCs w:val="18"/>
        </w:rPr>
        <w:t>aar sprake is van verzuim, wordt eerder gehandeld, vooral door vroegtijdige triage op de oorzaak van het verzuim. Daarnaast wordt langs verschillende wegen het bestaande langdurend verzuim aangepakt</w:t>
      </w:r>
      <w:r>
        <w:rPr>
          <w:rFonts w:ascii="Verdana" w:hAnsi="Verdana"/>
          <w:sz w:val="18"/>
          <w:szCs w:val="18"/>
        </w:rPr>
        <w:t>.</w:t>
      </w:r>
      <w:r w:rsidRPr="00276931">
        <w:rPr>
          <w:rFonts w:ascii="Verdana" w:hAnsi="Verdana"/>
          <w:sz w:val="18"/>
          <w:szCs w:val="18"/>
        </w:rPr>
        <w:t xml:space="preserve"> </w:t>
      </w:r>
      <w:r>
        <w:rPr>
          <w:rFonts w:ascii="Verdana" w:hAnsi="Verdana"/>
          <w:sz w:val="18"/>
          <w:szCs w:val="18"/>
        </w:rPr>
        <w:t>B</w:t>
      </w:r>
      <w:r w:rsidRPr="00276931">
        <w:rPr>
          <w:rFonts w:ascii="Verdana" w:hAnsi="Verdana"/>
          <w:sz w:val="18"/>
          <w:szCs w:val="18"/>
        </w:rPr>
        <w:t>ijvoorbeeld door het inregelen van extra re-integratieplekken</w:t>
      </w:r>
      <w:r>
        <w:rPr>
          <w:rFonts w:ascii="Verdana" w:hAnsi="Verdana"/>
          <w:sz w:val="18"/>
          <w:szCs w:val="18"/>
        </w:rPr>
        <w:t xml:space="preserve"> wanneer</w:t>
      </w:r>
      <w:r w:rsidR="0007045D">
        <w:rPr>
          <w:rFonts w:ascii="Verdana" w:hAnsi="Verdana"/>
          <w:sz w:val="18"/>
          <w:szCs w:val="18"/>
        </w:rPr>
        <w:t xml:space="preserve"> </w:t>
      </w:r>
      <w:r w:rsidRPr="00276931">
        <w:rPr>
          <w:rFonts w:ascii="Verdana" w:hAnsi="Verdana"/>
          <w:sz w:val="18"/>
          <w:szCs w:val="18"/>
        </w:rPr>
        <w:t xml:space="preserve">terugkeer naar de eerdere werkplek niet of niet goed mogelijk is. </w:t>
      </w:r>
      <w:r w:rsidR="00850B50">
        <w:rPr>
          <w:rFonts w:ascii="Verdana" w:hAnsi="Verdana"/>
          <w:sz w:val="18"/>
          <w:szCs w:val="18"/>
        </w:rPr>
        <w:t>H</w:t>
      </w:r>
      <w:r w:rsidR="0007045D">
        <w:rPr>
          <w:rFonts w:ascii="Verdana" w:hAnsi="Verdana"/>
          <w:sz w:val="18"/>
          <w:szCs w:val="18"/>
        </w:rPr>
        <w:t xml:space="preserve">et is </w:t>
      </w:r>
      <w:r w:rsidRPr="00276931">
        <w:rPr>
          <w:rFonts w:ascii="Verdana" w:hAnsi="Verdana"/>
          <w:sz w:val="18"/>
          <w:szCs w:val="18"/>
        </w:rPr>
        <w:t xml:space="preserve">nog te vroeg om de effecten daarvan op de ziekteverzuimcijfers te kunnen zien, maar de verwachtingen zijn positief. </w:t>
      </w:r>
    </w:p>
    <w:p w:rsidRPr="00276931" w:rsidR="00082AFF" w:rsidP="00082AFF" w:rsidRDefault="00082AFF" w14:paraId="7518C5B8" w14:textId="77777777">
      <w:pPr>
        <w:rPr>
          <w:rFonts w:ascii="Verdana" w:hAnsi="Verdana"/>
          <w:sz w:val="18"/>
          <w:szCs w:val="18"/>
        </w:rPr>
      </w:pPr>
      <w:r w:rsidRPr="00276931">
        <w:rPr>
          <w:rFonts w:ascii="Verdana" w:hAnsi="Verdana"/>
          <w:sz w:val="18"/>
          <w:szCs w:val="18"/>
        </w:rPr>
        <w:t>Tot slot heb ik u eerder geïnformeerd over de strategische personeelsplanning (SPP). Met deze planning bereidt de Belastingdienst zich voor op de toekomst en wordt inzichtelijk gemaakt wat de organisatie nodig heeft om in de dienstverlening aan burgers en bedrijven te blijven voorzien. Daarbij is het ook belangrijk dat de Belastingdienst oog houdt voor hoe de arbeidsmarkt zich in de toekomst ontwikkelt en welke vaardigheden daarin centraal komen te staan.</w:t>
      </w:r>
    </w:p>
    <w:p w:rsidRPr="00276931" w:rsidR="00082AFF" w:rsidP="00082AFF" w:rsidRDefault="00082AFF" w14:paraId="526611EA" w14:textId="6E5FFF72">
      <w:pPr>
        <w:rPr>
          <w:rFonts w:ascii="Verdana" w:hAnsi="Verdana"/>
          <w:sz w:val="18"/>
          <w:szCs w:val="18"/>
        </w:rPr>
      </w:pPr>
      <w:r w:rsidRPr="00276931">
        <w:rPr>
          <w:rFonts w:ascii="Verdana" w:hAnsi="Verdana"/>
          <w:sz w:val="18"/>
          <w:szCs w:val="18"/>
        </w:rPr>
        <w:t xml:space="preserve">Ondanks de instroom en de inzet op het behoud van medewerkers, blijft de personele bezetting van de Belastingdienst ook in de toekomst </w:t>
      </w:r>
      <w:r w:rsidR="004C2987">
        <w:rPr>
          <w:rFonts w:ascii="Verdana" w:hAnsi="Verdana"/>
          <w:sz w:val="18"/>
          <w:szCs w:val="18"/>
        </w:rPr>
        <w:t>aandacht vragen</w:t>
      </w:r>
      <w:r w:rsidRPr="00276931">
        <w:rPr>
          <w:rFonts w:ascii="Verdana" w:hAnsi="Verdana"/>
          <w:sz w:val="18"/>
          <w:szCs w:val="18"/>
        </w:rPr>
        <w:t xml:space="preserve">. Daarnaast blijven er extra werkzaamheden voortkomen uit nieuwe en gewijzigde wet- en regelgeving, zoals rond box 3 </w:t>
      </w:r>
      <w:r>
        <w:rPr>
          <w:rFonts w:ascii="Verdana" w:hAnsi="Verdana"/>
          <w:sz w:val="18"/>
          <w:szCs w:val="18"/>
        </w:rPr>
        <w:t xml:space="preserve">en </w:t>
      </w:r>
      <w:r w:rsidRPr="00276931">
        <w:rPr>
          <w:rFonts w:ascii="Verdana" w:hAnsi="Verdana"/>
          <w:sz w:val="18"/>
          <w:szCs w:val="18"/>
        </w:rPr>
        <w:t xml:space="preserve">het inzagerecht in het </w:t>
      </w:r>
      <w:r>
        <w:rPr>
          <w:rFonts w:ascii="Verdana" w:hAnsi="Verdana"/>
          <w:sz w:val="18"/>
          <w:szCs w:val="18"/>
        </w:rPr>
        <w:t xml:space="preserve">eigen </w:t>
      </w:r>
      <w:r w:rsidRPr="00276931">
        <w:rPr>
          <w:rFonts w:ascii="Verdana" w:hAnsi="Verdana"/>
          <w:sz w:val="18"/>
          <w:szCs w:val="18"/>
        </w:rPr>
        <w:t xml:space="preserve">fiscaal dossier, die bijdragen aan deze personeelsopgave. </w:t>
      </w:r>
    </w:p>
    <w:p w:rsidRPr="00276931" w:rsidR="00896E92" w:rsidP="006E4FC6" w:rsidRDefault="00896E92" w14:paraId="3C2FCB8B" w14:textId="77777777">
      <w:pPr>
        <w:rPr>
          <w:rFonts w:ascii="Verdana" w:hAnsi="Verdana"/>
          <w:b/>
          <w:sz w:val="18"/>
          <w:szCs w:val="18"/>
        </w:rPr>
      </w:pPr>
    </w:p>
    <w:sectPr w:rsidRPr="00276931" w:rsidR="00896E9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AC0A" w14:textId="77777777" w:rsidR="000D784C" w:rsidRDefault="000D784C" w:rsidP="00366BE8">
      <w:pPr>
        <w:spacing w:after="0" w:line="240" w:lineRule="auto"/>
      </w:pPr>
      <w:r>
        <w:separator/>
      </w:r>
    </w:p>
  </w:endnote>
  <w:endnote w:type="continuationSeparator" w:id="0">
    <w:p w14:paraId="04C159DD" w14:textId="77777777" w:rsidR="000D784C" w:rsidRDefault="000D784C" w:rsidP="00366BE8">
      <w:pPr>
        <w:spacing w:after="0" w:line="240" w:lineRule="auto"/>
      </w:pPr>
      <w:r>
        <w:continuationSeparator/>
      </w:r>
    </w:p>
  </w:endnote>
  <w:endnote w:type="continuationNotice" w:id="1">
    <w:p w14:paraId="27EBC8F0" w14:textId="77777777" w:rsidR="000D784C" w:rsidRDefault="000D7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ANBE D+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A148" w14:textId="77777777" w:rsidR="00D9226E" w:rsidRDefault="00D92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011691"/>
      <w:docPartObj>
        <w:docPartGallery w:val="Page Numbers (Bottom of Page)"/>
        <w:docPartUnique/>
      </w:docPartObj>
    </w:sdtPr>
    <w:sdtEndPr/>
    <w:sdtContent>
      <w:sdt>
        <w:sdtPr>
          <w:id w:val="-1769616900"/>
          <w:docPartObj>
            <w:docPartGallery w:val="Page Numbers (Top of Page)"/>
            <w:docPartUnique/>
          </w:docPartObj>
        </w:sdtPr>
        <w:sdtEndPr/>
        <w:sdtContent>
          <w:p w14:paraId="665DA006" w14:textId="1C483045" w:rsidR="00D520F9" w:rsidRDefault="00D520F9">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E0A7C5E" w14:textId="77777777" w:rsidR="00D520F9" w:rsidRDefault="00D520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33DF" w14:textId="77777777" w:rsidR="00D9226E" w:rsidRDefault="00D92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AD1D" w14:textId="77777777" w:rsidR="000D784C" w:rsidRDefault="000D784C" w:rsidP="00366BE8">
      <w:pPr>
        <w:spacing w:after="0" w:line="240" w:lineRule="auto"/>
      </w:pPr>
      <w:r>
        <w:separator/>
      </w:r>
    </w:p>
  </w:footnote>
  <w:footnote w:type="continuationSeparator" w:id="0">
    <w:p w14:paraId="4CC3CDEE" w14:textId="77777777" w:rsidR="000D784C" w:rsidRDefault="000D784C" w:rsidP="00366BE8">
      <w:pPr>
        <w:spacing w:after="0" w:line="240" w:lineRule="auto"/>
      </w:pPr>
      <w:r>
        <w:continuationSeparator/>
      </w:r>
    </w:p>
  </w:footnote>
  <w:footnote w:type="continuationNotice" w:id="1">
    <w:p w14:paraId="75D58B1C" w14:textId="77777777" w:rsidR="000D784C" w:rsidRDefault="000D784C">
      <w:pPr>
        <w:spacing w:after="0" w:line="240" w:lineRule="auto"/>
      </w:pPr>
    </w:p>
  </w:footnote>
  <w:footnote w:id="2">
    <w:p w14:paraId="4187444A" w14:textId="2A38AEAA" w:rsidR="00F660BF" w:rsidRPr="00CC2AFD" w:rsidRDefault="00F660BF">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w:t>
      </w:r>
      <w:r w:rsidR="00E63E2C" w:rsidRPr="00CC2AFD">
        <w:rPr>
          <w:rFonts w:ascii="Verdana" w:hAnsi="Verdana"/>
          <w:sz w:val="14"/>
          <w:szCs w:val="14"/>
        </w:rPr>
        <w:t>/</w:t>
      </w:r>
      <w:r w:rsidRPr="00CC2AFD">
        <w:rPr>
          <w:rFonts w:ascii="Verdana" w:hAnsi="Verdana"/>
          <w:sz w:val="14"/>
          <w:szCs w:val="14"/>
        </w:rPr>
        <w:t>25, 31 066, nr. AL</w:t>
      </w:r>
      <w:r w:rsidR="00E63E2C" w:rsidRPr="00CC2AFD">
        <w:rPr>
          <w:rFonts w:ascii="Verdana" w:hAnsi="Verdana"/>
          <w:sz w:val="14"/>
          <w:szCs w:val="14"/>
        </w:rPr>
        <w:t>.</w:t>
      </w:r>
    </w:p>
  </w:footnote>
  <w:footnote w:id="3">
    <w:p w14:paraId="643B56A6" w14:textId="77777777" w:rsidR="008E0957" w:rsidRPr="00CC2AFD" w:rsidRDefault="008E0957" w:rsidP="008E0957">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2024/25, 31066, nr. 1463</w:t>
      </w:r>
      <w:r w:rsidR="00E63E2C" w:rsidRPr="00CC2AFD">
        <w:rPr>
          <w:rFonts w:ascii="Verdana" w:hAnsi="Verdana"/>
          <w:sz w:val="14"/>
          <w:szCs w:val="14"/>
        </w:rPr>
        <w:t>.</w:t>
      </w:r>
    </w:p>
  </w:footnote>
  <w:footnote w:id="4">
    <w:p w14:paraId="5378155D" w14:textId="77777777" w:rsidR="008E0957" w:rsidRPr="00CC2AFD" w:rsidRDefault="008E0957" w:rsidP="008E0957">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2024/25, 31066, nr. 1463</w:t>
      </w:r>
      <w:r w:rsidR="00E63E2C" w:rsidRPr="00CC2AFD">
        <w:rPr>
          <w:rFonts w:ascii="Verdana" w:hAnsi="Verdana"/>
          <w:sz w:val="14"/>
          <w:szCs w:val="14"/>
        </w:rPr>
        <w:t>.</w:t>
      </w:r>
    </w:p>
  </w:footnote>
  <w:footnote w:id="5">
    <w:p w14:paraId="3D7C21E8" w14:textId="7F2381B0" w:rsidR="00C07FAE" w:rsidRPr="00CC2AFD" w:rsidRDefault="00C07FAE" w:rsidP="00C07FAE">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2023</w:t>
      </w:r>
      <w:r w:rsidR="00E63E2C" w:rsidRPr="00CC2AFD">
        <w:rPr>
          <w:rFonts w:ascii="Verdana" w:hAnsi="Verdana"/>
          <w:sz w:val="14"/>
          <w:szCs w:val="14"/>
        </w:rPr>
        <w:t>/</w:t>
      </w:r>
      <w:r w:rsidRPr="00CC2AFD">
        <w:rPr>
          <w:rFonts w:ascii="Verdana" w:hAnsi="Verdana"/>
          <w:sz w:val="14"/>
          <w:szCs w:val="14"/>
        </w:rPr>
        <w:t>24, 36418, nr. 110</w:t>
      </w:r>
      <w:r w:rsidR="00E63E2C" w:rsidRPr="00CC2AFD">
        <w:rPr>
          <w:rFonts w:ascii="Verdana" w:hAnsi="Verdana"/>
          <w:sz w:val="14"/>
          <w:szCs w:val="14"/>
        </w:rPr>
        <w:t>.</w:t>
      </w:r>
    </w:p>
  </w:footnote>
  <w:footnote w:id="6">
    <w:p w14:paraId="06C7B42D" w14:textId="1033361A" w:rsidR="008E0957" w:rsidRPr="00CC2AFD" w:rsidRDefault="008E0957" w:rsidP="008E0957">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w:t>
      </w:r>
      <w:r w:rsidR="00E63E2C" w:rsidRPr="00CC2AFD">
        <w:rPr>
          <w:rFonts w:ascii="Verdana" w:hAnsi="Verdana"/>
          <w:sz w:val="14"/>
          <w:szCs w:val="14"/>
        </w:rPr>
        <w:t>/</w:t>
      </w:r>
      <w:r w:rsidRPr="00CC2AFD">
        <w:rPr>
          <w:rFonts w:ascii="Verdana" w:hAnsi="Verdana"/>
          <w:sz w:val="14"/>
          <w:szCs w:val="14"/>
        </w:rPr>
        <w:t>25, 36602, nr. 151</w:t>
      </w:r>
      <w:r w:rsidR="00E63E2C" w:rsidRPr="00CC2AFD">
        <w:rPr>
          <w:rFonts w:ascii="Verdana" w:hAnsi="Verdana"/>
          <w:sz w:val="14"/>
          <w:szCs w:val="14"/>
        </w:rPr>
        <w:t>.</w:t>
      </w:r>
    </w:p>
  </w:footnote>
  <w:footnote w:id="7">
    <w:p w14:paraId="5098477F" w14:textId="77777777" w:rsidR="00A85518" w:rsidRPr="00CC2AFD" w:rsidRDefault="00A85518" w:rsidP="00A85518">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ECLI:NL:GHARL:2025:6015 en ECLI:NL:GHARL:2025:5991</w:t>
      </w:r>
    </w:p>
  </w:footnote>
  <w:footnote w:id="8">
    <w:p w14:paraId="7CFBBA3C" w14:textId="77777777" w:rsidR="00A85518" w:rsidRPr="00CC2AFD" w:rsidRDefault="00A85518" w:rsidP="00A85518">
      <w:pPr>
        <w:pStyle w:val="Voetnoottekst"/>
        <w:rPr>
          <w:rFonts w:ascii="Verdana" w:hAnsi="Verdana"/>
        </w:rPr>
      </w:pPr>
      <w:r w:rsidRPr="00CC2AFD">
        <w:rPr>
          <w:rStyle w:val="Voetnootmarkering"/>
          <w:rFonts w:ascii="Verdana" w:hAnsi="Verdana"/>
          <w:sz w:val="14"/>
          <w:szCs w:val="14"/>
        </w:rPr>
        <w:footnoteRef/>
      </w:r>
      <w:r w:rsidRPr="00CC2AFD">
        <w:rPr>
          <w:rFonts w:ascii="Verdana" w:hAnsi="Verdana"/>
          <w:sz w:val="14"/>
          <w:szCs w:val="14"/>
        </w:rPr>
        <w:t xml:space="preserve"> 23 februari 2023, nr. 21/00319 (ECLI:NL:GHAMS:2023:1249</w:t>
      </w:r>
    </w:p>
  </w:footnote>
  <w:footnote w:id="9">
    <w:p w14:paraId="449F8429" w14:textId="77777777" w:rsidR="00E263CA" w:rsidRPr="00CC2AFD" w:rsidRDefault="00E263CA" w:rsidP="00E263CA">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Wettelijke schuldsanering natuurlijke personen, het traject dat volgt op MSNP</w:t>
      </w:r>
      <w:r w:rsidR="00E63E2C" w:rsidRPr="00CC2AFD">
        <w:rPr>
          <w:rFonts w:ascii="Verdana" w:hAnsi="Verdana"/>
          <w:sz w:val="14"/>
          <w:szCs w:val="14"/>
        </w:rPr>
        <w:t>.</w:t>
      </w:r>
    </w:p>
  </w:footnote>
  <w:footnote w:id="10">
    <w:p w14:paraId="32B49729" w14:textId="17AF2BFC" w:rsidR="008D605F" w:rsidRPr="00CC2AFD" w:rsidRDefault="008D605F" w:rsidP="008D605F">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1502</w:t>
      </w:r>
      <w:r w:rsidR="00E63E2C" w:rsidRPr="00CC2AFD">
        <w:rPr>
          <w:rFonts w:ascii="Verdana" w:hAnsi="Verdana"/>
          <w:sz w:val="14"/>
          <w:szCs w:val="14"/>
        </w:rPr>
        <w:t>.</w:t>
      </w:r>
    </w:p>
  </w:footnote>
  <w:footnote w:id="11">
    <w:p w14:paraId="51FC5779" w14:textId="6E22A54F" w:rsidR="00BD7A2B" w:rsidRPr="00CC2AFD" w:rsidRDefault="00BD7A2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Staatscourant 2021, nr. 33908</w:t>
      </w:r>
      <w:r w:rsidR="00E63E2C" w:rsidRPr="00CC2AFD">
        <w:rPr>
          <w:rFonts w:ascii="Verdana" w:hAnsi="Verdana"/>
          <w:sz w:val="14"/>
          <w:szCs w:val="14"/>
        </w:rPr>
        <w:t>.</w:t>
      </w:r>
    </w:p>
  </w:footnote>
  <w:footnote w:id="12">
    <w:p w14:paraId="53DD9464" w14:textId="77777777" w:rsidR="00A26FEA" w:rsidRPr="00CC2AFD" w:rsidRDefault="00A26FEA" w:rsidP="00A26FEA">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ECLI:NL:RVS:2025:2730</w:t>
      </w:r>
      <w:r w:rsidR="00E63E2C" w:rsidRPr="00CC2AFD">
        <w:rPr>
          <w:rFonts w:ascii="Verdana" w:hAnsi="Verdana"/>
          <w:sz w:val="14"/>
          <w:szCs w:val="14"/>
        </w:rPr>
        <w:t>.</w:t>
      </w:r>
    </w:p>
  </w:footnote>
  <w:footnote w:id="13">
    <w:p w14:paraId="7692A22E" w14:textId="3637204A" w:rsidR="00A26FEA" w:rsidRPr="00CC2AFD" w:rsidRDefault="00A26FEA" w:rsidP="00A26FEA">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w:t>
      </w:r>
      <w:r w:rsidR="00E63E2C" w:rsidRPr="00CC2AFD">
        <w:rPr>
          <w:rFonts w:ascii="Verdana" w:hAnsi="Verdana"/>
          <w:sz w:val="14"/>
          <w:szCs w:val="14"/>
        </w:rPr>
        <w:t>/</w:t>
      </w:r>
      <w:r w:rsidRPr="00CC2AFD">
        <w:rPr>
          <w:rFonts w:ascii="Verdana" w:hAnsi="Verdana"/>
          <w:sz w:val="14"/>
          <w:szCs w:val="14"/>
        </w:rPr>
        <w:t>25, 31066 nr. 1463</w:t>
      </w:r>
      <w:r w:rsidR="00E63E2C" w:rsidRPr="00CC2AFD">
        <w:rPr>
          <w:rFonts w:ascii="Verdana" w:hAnsi="Verdana"/>
          <w:sz w:val="14"/>
          <w:szCs w:val="14"/>
        </w:rPr>
        <w:t>.</w:t>
      </w:r>
    </w:p>
  </w:footnote>
  <w:footnote w:id="14">
    <w:p w14:paraId="37DF284E" w14:textId="702785A4" w:rsidR="007D1341" w:rsidRPr="00CC2AFD" w:rsidRDefault="007D1341">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w:t>
      </w:r>
      <w:hyperlink r:id="rId1" w:history="1">
        <w:r w:rsidR="007E5C95" w:rsidRPr="00CC2AFD">
          <w:rPr>
            <w:rStyle w:val="Hyperlink"/>
            <w:rFonts w:ascii="Verdana" w:hAnsi="Verdana"/>
            <w:sz w:val="14"/>
            <w:szCs w:val="14"/>
          </w:rPr>
          <w:t>Meerjarenplan Openbaarheid en Informatiehuishouding ministerie van Financiën 2025-2026 | Rapport | Rijksoverheid.nl</w:t>
        </w:r>
      </w:hyperlink>
      <w:r w:rsidR="00E63E2C" w:rsidRPr="00CC2AFD">
        <w:rPr>
          <w:rFonts w:ascii="Verdana" w:hAnsi="Verdana"/>
        </w:rPr>
        <w:t>.</w:t>
      </w:r>
    </w:p>
  </w:footnote>
  <w:footnote w:id="15">
    <w:p w14:paraId="56FF1173" w14:textId="77D6AFEB" w:rsidR="00DC5DFF" w:rsidRPr="00CC2AFD" w:rsidRDefault="00DC5DFF">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2023/24, 31066, nr. 1345</w:t>
      </w:r>
    </w:p>
  </w:footnote>
  <w:footnote w:id="16">
    <w:p w14:paraId="4BDF2946" w14:textId="77777777" w:rsidR="008E0957" w:rsidRPr="00CC2AFD" w:rsidRDefault="008E0957" w:rsidP="008E0957">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Voor het laatst in Kamerstukken II, 2024/25, 31066, nr. 1463</w:t>
      </w:r>
      <w:r w:rsidR="00E63E2C" w:rsidRPr="00CC2AFD">
        <w:rPr>
          <w:rFonts w:ascii="Verdana" w:hAnsi="Verdana"/>
          <w:sz w:val="14"/>
          <w:szCs w:val="14"/>
        </w:rPr>
        <w:t>.</w:t>
      </w:r>
    </w:p>
  </w:footnote>
  <w:footnote w:id="17">
    <w:p w14:paraId="1FC4C632" w14:textId="7BDE8421" w:rsidR="00041452" w:rsidRPr="00CC2AFD" w:rsidRDefault="00041452">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1500</w:t>
      </w:r>
      <w:r w:rsidR="00E63E2C" w:rsidRPr="00CC2AFD">
        <w:rPr>
          <w:rFonts w:ascii="Verdana" w:hAnsi="Verdana"/>
          <w:sz w:val="14"/>
          <w:szCs w:val="14"/>
        </w:rPr>
        <w:t>.</w:t>
      </w:r>
    </w:p>
  </w:footnote>
  <w:footnote w:id="18">
    <w:p w14:paraId="77714302" w14:textId="227FF09C" w:rsidR="00276931" w:rsidRPr="00CC2AFD" w:rsidRDefault="00276931" w:rsidP="00276931">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Voor het laatst in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1463</w:t>
      </w:r>
      <w:r w:rsidR="00E63E2C" w:rsidRPr="00CC2AFD">
        <w:rPr>
          <w:rFonts w:ascii="Verdana" w:hAnsi="Verdana"/>
          <w:sz w:val="14"/>
          <w:szCs w:val="14"/>
        </w:rPr>
        <w:t>.</w:t>
      </w:r>
    </w:p>
  </w:footnote>
  <w:footnote w:id="19">
    <w:p w14:paraId="26544EEE" w14:textId="2D82DD8E" w:rsidR="00415381" w:rsidRPr="00CC2AFD" w:rsidRDefault="00415381">
      <w:pPr>
        <w:pStyle w:val="Voetnoottekst"/>
        <w:rPr>
          <w:rFonts w:ascii="Verdana" w:hAnsi="Verdana"/>
        </w:rPr>
      </w:pPr>
      <w:r w:rsidRPr="00CC2AFD">
        <w:rPr>
          <w:rStyle w:val="Voetnootmarkering"/>
          <w:rFonts w:ascii="Verdana" w:hAnsi="Verdana"/>
        </w:rPr>
        <w:footnoteRef/>
      </w:r>
      <w:r w:rsidRPr="00CC2AFD">
        <w:rPr>
          <w:rFonts w:ascii="Verdana" w:hAnsi="Verdana"/>
        </w:rPr>
        <w:t xml:space="preserve"> </w:t>
      </w:r>
      <w:r w:rsidRPr="00CC2AFD">
        <w:rPr>
          <w:rFonts w:ascii="Verdana" w:hAnsi="Verdana"/>
          <w:sz w:val="14"/>
          <w:szCs w:val="14"/>
        </w:rPr>
        <w:t>Kamerstukken II, 2024/25, 36706, nr. 15.</w:t>
      </w:r>
    </w:p>
  </w:footnote>
  <w:footnote w:id="20">
    <w:p w14:paraId="0D51C395" w14:textId="1AA81047" w:rsidR="00450B56" w:rsidRPr="00CC2AFD" w:rsidRDefault="00450B56">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w:t>
      </w:r>
      <w:hyperlink r:id="rId2" w:history="1">
        <w:r w:rsidR="00D067FC" w:rsidRPr="00CC2AFD">
          <w:rPr>
            <w:rStyle w:val="Hyperlink"/>
            <w:rFonts w:ascii="Verdana" w:hAnsi="Verdana"/>
            <w:sz w:val="14"/>
            <w:szCs w:val="14"/>
          </w:rPr>
          <w:t>Overzicht uitvoerbaarheid – Inzicht in effecten van beleid op de uitvoering en de beleidsruimte voor de komende jaren | Rapport | Rijksoverheid.nl</w:t>
        </w:r>
      </w:hyperlink>
      <w:r w:rsidR="00E63E2C" w:rsidRPr="00CC2AFD">
        <w:rPr>
          <w:rFonts w:ascii="Verdana" w:hAnsi="Verdana"/>
        </w:rPr>
        <w:t>.</w:t>
      </w:r>
    </w:p>
  </w:footnote>
  <w:footnote w:id="21">
    <w:p w14:paraId="5839B10B" w14:textId="3D151F27" w:rsidR="0018125D" w:rsidRPr="00CC2AFD" w:rsidRDefault="0018125D">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In het Belastingplan 2026 staat de pseudo-eindheffing verder toegelicht: </w:t>
      </w:r>
      <w:hyperlink r:id="rId3" w:history="1">
        <w:r w:rsidRPr="00CC2AFD">
          <w:rPr>
            <w:rStyle w:val="Hyperlink"/>
            <w:rFonts w:ascii="Verdana" w:hAnsi="Verdana"/>
            <w:sz w:val="14"/>
            <w:szCs w:val="14"/>
          </w:rPr>
          <w:t>Belastingplan 2026 | Ministerie van Financiën - Rijksoverheid</w:t>
        </w:r>
      </w:hyperlink>
      <w:r w:rsidR="00E63E2C" w:rsidRPr="00CC2AFD">
        <w:rPr>
          <w:rFonts w:ascii="Verdana" w:hAnsi="Verdana"/>
        </w:rPr>
        <w:t>.</w:t>
      </w:r>
    </w:p>
  </w:footnote>
  <w:footnote w:id="22">
    <w:p w14:paraId="1697EF3B" w14:textId="4D5F3653" w:rsidR="00DC6749" w:rsidRPr="00CC2AFD" w:rsidRDefault="00DC674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2023</w:t>
      </w:r>
      <w:r w:rsidR="00E63E2C" w:rsidRPr="00CC2AFD">
        <w:rPr>
          <w:rFonts w:ascii="Verdana" w:hAnsi="Verdana"/>
          <w:sz w:val="14"/>
          <w:szCs w:val="14"/>
        </w:rPr>
        <w:t>/</w:t>
      </w:r>
      <w:r w:rsidRPr="00CC2AFD">
        <w:rPr>
          <w:rFonts w:ascii="Verdana" w:hAnsi="Verdana"/>
          <w:sz w:val="14"/>
          <w:szCs w:val="14"/>
        </w:rPr>
        <w:t>24, 31066, nr. 1338</w:t>
      </w:r>
      <w:r w:rsidR="00E63E2C" w:rsidRPr="00CC2AFD">
        <w:rPr>
          <w:rFonts w:ascii="Verdana" w:hAnsi="Verdana"/>
          <w:sz w:val="14"/>
          <w:szCs w:val="14"/>
        </w:rPr>
        <w:t>.</w:t>
      </w:r>
    </w:p>
  </w:footnote>
  <w:footnote w:id="23">
    <w:p w14:paraId="4CCAB34B" w14:textId="6D02B4E3" w:rsidR="00DC6749" w:rsidRPr="00CC2AFD" w:rsidRDefault="00DC674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w:t>
      </w:r>
      <w:r w:rsidR="00E63E2C" w:rsidRPr="00CC2AFD">
        <w:rPr>
          <w:rFonts w:ascii="Verdana" w:hAnsi="Verdana"/>
          <w:sz w:val="14"/>
          <w:szCs w:val="14"/>
        </w:rPr>
        <w:t>/</w:t>
      </w:r>
      <w:r w:rsidRPr="00CC2AFD">
        <w:rPr>
          <w:rFonts w:ascii="Verdana" w:hAnsi="Verdana"/>
          <w:sz w:val="14"/>
          <w:szCs w:val="14"/>
        </w:rPr>
        <w:t>25, 31066, nr. 1463</w:t>
      </w:r>
      <w:r w:rsidR="00E63E2C" w:rsidRPr="00CC2AFD">
        <w:rPr>
          <w:rFonts w:ascii="Verdana" w:hAnsi="Verdana"/>
          <w:sz w:val="14"/>
          <w:szCs w:val="14"/>
        </w:rPr>
        <w:t>.</w:t>
      </w:r>
    </w:p>
  </w:footnote>
  <w:footnote w:id="24">
    <w:p w14:paraId="67AAD8F2" w14:textId="1BE26287" w:rsidR="005B655E" w:rsidRPr="00CC2AFD" w:rsidRDefault="005B655E" w:rsidP="005B655E">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w:t>
      </w:r>
      <w:r w:rsidR="00E63E2C" w:rsidRPr="00CC2AFD">
        <w:rPr>
          <w:rFonts w:ascii="Verdana" w:hAnsi="Verdana"/>
          <w:sz w:val="14"/>
          <w:szCs w:val="14"/>
        </w:rPr>
        <w:t>/</w:t>
      </w:r>
      <w:r w:rsidRPr="00CC2AFD">
        <w:rPr>
          <w:rFonts w:ascii="Verdana" w:hAnsi="Verdana"/>
          <w:sz w:val="14"/>
          <w:szCs w:val="14"/>
        </w:rPr>
        <w:t>25, 32761, nr. 311</w:t>
      </w:r>
      <w:r w:rsidR="00E63E2C" w:rsidRPr="00CC2AFD">
        <w:rPr>
          <w:rFonts w:ascii="Verdana" w:hAnsi="Verdana"/>
          <w:sz w:val="14"/>
          <w:szCs w:val="14"/>
        </w:rPr>
        <w:t>.</w:t>
      </w:r>
    </w:p>
  </w:footnote>
  <w:footnote w:id="25">
    <w:p w14:paraId="335A280E" w14:textId="56EA8479" w:rsidR="00DC6749" w:rsidRPr="00CC2AFD" w:rsidRDefault="00DC674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1340</w:t>
      </w:r>
      <w:r w:rsidR="00E63E2C" w:rsidRPr="00CC2AFD">
        <w:rPr>
          <w:rFonts w:ascii="Verdana" w:hAnsi="Verdana"/>
          <w:sz w:val="14"/>
          <w:szCs w:val="14"/>
        </w:rPr>
        <w:t>.</w:t>
      </w:r>
    </w:p>
  </w:footnote>
  <w:footnote w:id="26">
    <w:p w14:paraId="68A93734" w14:textId="7DE8EEF8" w:rsidR="00DC6749" w:rsidRPr="00CC2AFD" w:rsidRDefault="00DC674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1463</w:t>
      </w:r>
      <w:r w:rsidR="00E63E2C" w:rsidRPr="00CC2AFD">
        <w:rPr>
          <w:rFonts w:ascii="Verdana" w:hAnsi="Verdana"/>
          <w:sz w:val="14"/>
          <w:szCs w:val="14"/>
        </w:rPr>
        <w:t>.</w:t>
      </w:r>
    </w:p>
  </w:footnote>
  <w:footnote w:id="27">
    <w:p w14:paraId="23F50F59" w14:textId="6C249834" w:rsidR="00DC6749" w:rsidRPr="00CC2AFD" w:rsidRDefault="00DC674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1340</w:t>
      </w:r>
      <w:r w:rsidR="00E63E2C" w:rsidRPr="00CC2AFD">
        <w:rPr>
          <w:rFonts w:ascii="Verdana" w:hAnsi="Verdana"/>
          <w:sz w:val="14"/>
          <w:szCs w:val="14"/>
        </w:rPr>
        <w:t>.</w:t>
      </w:r>
    </w:p>
  </w:footnote>
  <w:footnote w:id="28">
    <w:p w14:paraId="499E0112" w14:textId="52EFE353" w:rsidR="00DC6749" w:rsidRPr="00CC2AFD" w:rsidRDefault="00DC674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1463</w:t>
      </w:r>
      <w:r w:rsidR="00E63E2C" w:rsidRPr="00CC2AFD">
        <w:rPr>
          <w:rFonts w:ascii="Verdana" w:hAnsi="Verdana"/>
          <w:sz w:val="14"/>
          <w:szCs w:val="14"/>
        </w:rPr>
        <w:t>.</w:t>
      </w:r>
    </w:p>
  </w:footnote>
  <w:footnote w:id="29">
    <w:p w14:paraId="35293C95" w14:textId="57F0B84C" w:rsidR="00DC6749" w:rsidRPr="00CC2AFD" w:rsidRDefault="00DC674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63E2C"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1463</w:t>
      </w:r>
      <w:r w:rsidR="00E63E2C" w:rsidRPr="00CC2AFD">
        <w:rPr>
          <w:rFonts w:ascii="Verdana" w:hAnsi="Verdana"/>
          <w:sz w:val="14"/>
          <w:szCs w:val="14"/>
        </w:rPr>
        <w:t>.</w:t>
      </w:r>
    </w:p>
  </w:footnote>
  <w:footnote w:id="30">
    <w:p w14:paraId="042ED518" w14:textId="43707C59" w:rsidR="00984056" w:rsidRPr="00CC2AFD" w:rsidRDefault="00984056" w:rsidP="00984056">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2024/25, 31066, nr. 1465.</w:t>
      </w:r>
    </w:p>
  </w:footnote>
  <w:footnote w:id="31">
    <w:p w14:paraId="13B1AF5F" w14:textId="66FAED5A" w:rsidR="00984056" w:rsidRPr="00CC2AFD" w:rsidRDefault="00984056" w:rsidP="00984056">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2024/25, 31066, nr. 1505.</w:t>
      </w:r>
    </w:p>
  </w:footnote>
  <w:footnote w:id="32">
    <w:p w14:paraId="4D130782" w14:textId="45D150B3" w:rsidR="0052615B" w:rsidRPr="00CC2AFD" w:rsidRDefault="0052615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2024/25, 32761, nr. 332</w:t>
      </w:r>
      <w:r w:rsidR="005562F6" w:rsidRPr="00CC2AFD">
        <w:rPr>
          <w:rFonts w:ascii="Verdana" w:hAnsi="Verdana"/>
          <w:sz w:val="14"/>
          <w:szCs w:val="14"/>
        </w:rPr>
        <w:t>.</w:t>
      </w:r>
    </w:p>
  </w:footnote>
  <w:footnote w:id="33">
    <w:p w14:paraId="41281023" w14:textId="0C6703F4" w:rsidR="007731C0" w:rsidRPr="00CC2AFD" w:rsidRDefault="007731C0" w:rsidP="007731C0">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w:t>
      </w:r>
      <w:r w:rsidR="00E91D5D" w:rsidRPr="00CC2AFD">
        <w:rPr>
          <w:rFonts w:ascii="Verdana" w:hAnsi="Verdana"/>
          <w:sz w:val="14"/>
          <w:szCs w:val="14"/>
        </w:rPr>
        <w:t>Kamerstukken II</w:t>
      </w:r>
      <w:r w:rsidRPr="00CC2AFD">
        <w:rPr>
          <w:rFonts w:ascii="Verdana" w:hAnsi="Verdana"/>
          <w:sz w:val="14"/>
          <w:szCs w:val="14"/>
        </w:rPr>
        <w:t>, 2023</w:t>
      </w:r>
      <w:r w:rsidR="00E4103A" w:rsidRPr="00CC2AFD">
        <w:rPr>
          <w:rFonts w:ascii="Verdana" w:hAnsi="Verdana"/>
          <w:sz w:val="14"/>
          <w:szCs w:val="14"/>
        </w:rPr>
        <w:t>/</w:t>
      </w:r>
      <w:r w:rsidRPr="00CC2AFD">
        <w:rPr>
          <w:rFonts w:ascii="Verdana" w:hAnsi="Verdana"/>
          <w:sz w:val="14"/>
          <w:szCs w:val="14"/>
        </w:rPr>
        <w:t>24, 31066, nr. 1374</w:t>
      </w:r>
      <w:r w:rsidR="005562F6" w:rsidRPr="00CC2AFD">
        <w:rPr>
          <w:rFonts w:ascii="Verdana" w:hAnsi="Verdana"/>
          <w:sz w:val="14"/>
          <w:szCs w:val="14"/>
        </w:rPr>
        <w:t>.</w:t>
      </w:r>
    </w:p>
  </w:footnote>
  <w:footnote w:id="34">
    <w:p w14:paraId="033853BC" w14:textId="58B3FFBE" w:rsidR="00A23B3D" w:rsidRPr="00CC2AFD" w:rsidRDefault="00A23B3D" w:rsidP="00A23B3D">
      <w:pPr>
        <w:pStyle w:val="Voetnoottekst"/>
        <w:rPr>
          <w:rFonts w:ascii="Verdana" w:hAnsi="Verdana" w:cs="Times New Roman"/>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2023</w:t>
      </w:r>
      <w:r w:rsidR="00E4103A" w:rsidRPr="00CC2AFD">
        <w:rPr>
          <w:rFonts w:ascii="Verdana" w:hAnsi="Verdana"/>
          <w:sz w:val="14"/>
          <w:szCs w:val="14"/>
        </w:rPr>
        <w:t>/</w:t>
      </w:r>
      <w:r w:rsidRPr="00CC2AFD">
        <w:rPr>
          <w:rFonts w:ascii="Verdana" w:hAnsi="Verdana"/>
          <w:sz w:val="14"/>
          <w:szCs w:val="14"/>
        </w:rPr>
        <w:t>24, 31066, nr. 1338</w:t>
      </w:r>
      <w:r w:rsidR="005562F6" w:rsidRPr="00CC2AFD">
        <w:rPr>
          <w:rFonts w:ascii="Verdana" w:hAnsi="Verdana"/>
          <w:sz w:val="14"/>
          <w:szCs w:val="14"/>
        </w:rPr>
        <w:t>.</w:t>
      </w:r>
    </w:p>
  </w:footnote>
  <w:footnote w:id="35">
    <w:p w14:paraId="22F117B5" w14:textId="77777777" w:rsidR="00A23B3D" w:rsidRPr="00CC2AFD" w:rsidRDefault="00A23B3D" w:rsidP="00A23B3D">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Als gevolg van afronding van aantallen en bedragen kunnen totalen licht afwijken van de som van de aparte onderdelen zoals opgenomen in de tabel.</w:t>
      </w:r>
    </w:p>
  </w:footnote>
  <w:footnote w:id="36">
    <w:p w14:paraId="3DC78B58" w14:textId="7146D701" w:rsidR="0089409B" w:rsidRPr="00CC2AFD" w:rsidRDefault="0089409B" w:rsidP="0089409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4103A"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1498.</w:t>
      </w:r>
    </w:p>
  </w:footnote>
  <w:footnote w:id="37">
    <w:p w14:paraId="2B399639" w14:textId="45B32F22" w:rsidR="0089409B" w:rsidRPr="00CC2AFD" w:rsidRDefault="0089409B" w:rsidP="0089409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Aanhangsel Handelingen II </w:t>
      </w:r>
      <w:r w:rsidR="001C32F0" w:rsidRPr="00CC2AFD">
        <w:rPr>
          <w:rFonts w:ascii="Verdana" w:hAnsi="Verdana"/>
          <w:sz w:val="14"/>
          <w:szCs w:val="14"/>
        </w:rPr>
        <w:t>2024</w:t>
      </w:r>
      <w:r w:rsidR="00E4103A"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nr. 2025D19782. Zie ook https://www.tweedekamer.nl/kamerstukken/kamervragen/detail?id=2025Z07052&amp;did=2025D19782.</w:t>
      </w:r>
    </w:p>
  </w:footnote>
  <w:footnote w:id="38">
    <w:p w14:paraId="5B44C7B8" w14:textId="522DFE8F" w:rsidR="0089409B" w:rsidRPr="00CC2AFD" w:rsidRDefault="0089409B" w:rsidP="0089409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w:t>
      </w:r>
      <w:r w:rsidR="007479DE" w:rsidRPr="00CC2AFD">
        <w:rPr>
          <w:rFonts w:ascii="Verdana" w:hAnsi="Verdana"/>
          <w:sz w:val="14"/>
          <w:szCs w:val="14"/>
        </w:rPr>
        <w:t>Staatscourant</w:t>
      </w:r>
      <w:r w:rsidRPr="00CC2AFD">
        <w:rPr>
          <w:rFonts w:ascii="Verdana" w:hAnsi="Verdana"/>
          <w:sz w:val="14"/>
          <w:szCs w:val="14"/>
        </w:rPr>
        <w:t xml:space="preserve"> 2025</w:t>
      </w:r>
      <w:r w:rsidR="008A7221" w:rsidRPr="00CC2AFD">
        <w:rPr>
          <w:rFonts w:ascii="Verdana" w:hAnsi="Verdana"/>
          <w:sz w:val="14"/>
          <w:szCs w:val="14"/>
        </w:rPr>
        <w:t>,</w:t>
      </w:r>
      <w:r w:rsidRPr="00CC2AFD">
        <w:rPr>
          <w:rFonts w:ascii="Verdana" w:hAnsi="Verdana"/>
          <w:sz w:val="14"/>
          <w:szCs w:val="14"/>
        </w:rPr>
        <w:t xml:space="preserve"> nr. 22266</w:t>
      </w:r>
      <w:r w:rsidR="005562F6" w:rsidRPr="00CC2AFD">
        <w:rPr>
          <w:rFonts w:ascii="Verdana" w:hAnsi="Verdana"/>
          <w:sz w:val="14"/>
          <w:szCs w:val="14"/>
        </w:rPr>
        <w:t>.</w:t>
      </w:r>
    </w:p>
  </w:footnote>
  <w:footnote w:id="39">
    <w:p w14:paraId="78AED4D4" w14:textId="77777777" w:rsidR="0089409B" w:rsidRPr="00CC2AFD" w:rsidRDefault="0089409B" w:rsidP="0089409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Artikel 28.3.8 van de Leidraad Invordering 2008. </w:t>
      </w:r>
    </w:p>
  </w:footnote>
  <w:footnote w:id="40">
    <w:p w14:paraId="6627B3F0" w14:textId="77777777" w:rsidR="0089409B" w:rsidRPr="00CC2AFD" w:rsidRDefault="0089409B" w:rsidP="0089409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Artikel 26.3.9. van de Leidraad Invordering 2008. </w:t>
      </w:r>
    </w:p>
  </w:footnote>
  <w:footnote w:id="41">
    <w:p w14:paraId="1C2EDFD2" w14:textId="77777777" w:rsidR="0089409B" w:rsidRPr="00CC2AFD" w:rsidRDefault="0089409B" w:rsidP="0089409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Wet homologatie onderhands akkoord; goedkeuring van een onderhands akkoord tussen een onderneming en zijn schuldeisers door de rechter</w:t>
      </w:r>
      <w:r w:rsidR="005562F6" w:rsidRPr="00CC2AFD">
        <w:rPr>
          <w:rFonts w:ascii="Verdana" w:hAnsi="Verdana"/>
          <w:sz w:val="14"/>
          <w:szCs w:val="14"/>
        </w:rPr>
        <w:t>.</w:t>
      </w:r>
    </w:p>
  </w:footnote>
  <w:footnote w:id="42">
    <w:p w14:paraId="4D4D48C4" w14:textId="77777777" w:rsidR="0089409B" w:rsidRPr="00CC2AFD" w:rsidRDefault="0089409B" w:rsidP="0089409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Artikel 22 Uitvoeringsregeling Invorderingswet 1990. </w:t>
      </w:r>
    </w:p>
  </w:footnote>
  <w:footnote w:id="43">
    <w:p w14:paraId="7B17B998" w14:textId="0624093E" w:rsidR="00BC2ED9" w:rsidRPr="00CC2AFD" w:rsidRDefault="00BC2ED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w:t>
      </w:r>
      <w:bookmarkStart w:id="18" w:name="_Hlk210138794"/>
      <w:r w:rsidRPr="00CC2AFD">
        <w:rPr>
          <w:rFonts w:ascii="Verdana" w:hAnsi="Verdana"/>
          <w:sz w:val="14"/>
          <w:szCs w:val="14"/>
        </w:rPr>
        <w:t xml:space="preserve">Kamerstukken II, </w:t>
      </w:r>
      <w:r w:rsidR="001C32F0" w:rsidRPr="00CC2AFD">
        <w:rPr>
          <w:rFonts w:ascii="Verdana" w:hAnsi="Verdana"/>
          <w:sz w:val="14"/>
          <w:szCs w:val="14"/>
        </w:rPr>
        <w:t>2024</w:t>
      </w:r>
      <w:r w:rsidR="00E4103A"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1463</w:t>
      </w:r>
      <w:bookmarkEnd w:id="18"/>
      <w:r w:rsidR="005562F6" w:rsidRPr="00CC2AFD">
        <w:rPr>
          <w:rFonts w:ascii="Verdana" w:hAnsi="Verdana"/>
          <w:sz w:val="14"/>
          <w:szCs w:val="14"/>
        </w:rPr>
        <w:t>.</w:t>
      </w:r>
    </w:p>
  </w:footnote>
  <w:footnote w:id="44">
    <w:p w14:paraId="4BFAD7EA" w14:textId="77777777" w:rsidR="00200979" w:rsidRPr="00CC2AFD" w:rsidRDefault="00200979" w:rsidP="0020097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Natuurlijke personen/niet-ondernemers, waaronder ook ex-ondernemers. </w:t>
      </w:r>
    </w:p>
  </w:footnote>
  <w:footnote w:id="45">
    <w:p w14:paraId="713A05EB" w14:textId="46B348C1" w:rsidR="00200979" w:rsidRPr="00CC2AFD" w:rsidRDefault="00200979" w:rsidP="00200979">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Hiermee wordt voldaan aan de toezegging die is gedaan in de stand-van-zaken brief van 6 maart jl. (Kamerstukken II 2024</w:t>
      </w:r>
      <w:r w:rsidR="002B0FEA">
        <w:rPr>
          <w:rFonts w:ascii="Verdana" w:hAnsi="Verdana"/>
          <w:sz w:val="14"/>
          <w:szCs w:val="14"/>
        </w:rPr>
        <w:t>/</w:t>
      </w:r>
      <w:r w:rsidRPr="00CC2AFD">
        <w:rPr>
          <w:rFonts w:ascii="Verdana" w:hAnsi="Verdana"/>
          <w:sz w:val="14"/>
          <w:szCs w:val="14"/>
        </w:rPr>
        <w:t>25, 31 066, nr. 1463 pagina 18 van bijlage 1 – Actuele onderwerpen, moties en toezeggingen).</w:t>
      </w:r>
    </w:p>
  </w:footnote>
  <w:footnote w:id="46">
    <w:p w14:paraId="7FC47AEF" w14:textId="77777777" w:rsidR="005A7012" w:rsidRPr="00CC2AFD" w:rsidRDefault="005A7012" w:rsidP="005A7012">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Dit is met uitzondering van de belastingschuld die oninbaar wordt geleden. In 2024 was dit percentage 0,3%, wat overeenkomt met € 1,2 mln. Op pagina 18 is aanvullende informatie over de oninbaar geleden schuld.</w:t>
      </w:r>
    </w:p>
  </w:footnote>
  <w:footnote w:id="47">
    <w:p w14:paraId="2FAD2EA4" w14:textId="5E60B0A0" w:rsidR="005A7012" w:rsidRPr="00CC2AFD" w:rsidRDefault="005A7012" w:rsidP="005A7012">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w:t>
      </w:r>
      <w:r w:rsidR="00E4103A" w:rsidRPr="00CC2AFD">
        <w:rPr>
          <w:rFonts w:ascii="Verdana" w:hAnsi="Verdana"/>
          <w:sz w:val="14"/>
          <w:szCs w:val="14"/>
        </w:rPr>
        <w:t>/</w:t>
      </w:r>
      <w:r w:rsidRPr="00CC2AFD">
        <w:rPr>
          <w:rFonts w:ascii="Verdana" w:hAnsi="Verdana"/>
          <w:sz w:val="14"/>
          <w:szCs w:val="14"/>
        </w:rPr>
        <w:t>25, 31066, nr. 1463</w:t>
      </w:r>
      <w:r w:rsidR="00E63E2C" w:rsidRPr="00CC2AFD">
        <w:rPr>
          <w:rFonts w:ascii="Verdana" w:hAnsi="Verdana"/>
          <w:sz w:val="14"/>
          <w:szCs w:val="14"/>
        </w:rPr>
        <w:t>.</w:t>
      </w:r>
    </w:p>
  </w:footnote>
  <w:footnote w:id="48">
    <w:p w14:paraId="05D5D6BB" w14:textId="0630F445" w:rsidR="0052615B" w:rsidRPr="00CC2AFD" w:rsidRDefault="0052615B">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,2024/25, 31066, nr. 1463</w:t>
      </w:r>
      <w:r w:rsidR="00E63E2C" w:rsidRPr="00CC2AFD">
        <w:rPr>
          <w:rFonts w:ascii="Verdana" w:hAnsi="Verdana"/>
          <w:sz w:val="14"/>
          <w:szCs w:val="14"/>
        </w:rPr>
        <w:t>.</w:t>
      </w:r>
    </w:p>
  </w:footnote>
  <w:footnote w:id="49">
    <w:p w14:paraId="023D47BD" w14:textId="75B3A683" w:rsidR="00AB3112" w:rsidRPr="00CC2AFD" w:rsidRDefault="00AB3112" w:rsidP="00AB3112">
      <w:pPr>
        <w:pStyle w:val="Voetnoottekst"/>
        <w:rPr>
          <w:rFonts w:ascii="Verdana" w:hAnsi="Verdana"/>
          <w:sz w:val="14"/>
          <w:szCs w:val="14"/>
        </w:rPr>
      </w:pPr>
      <w:r w:rsidRPr="00CC2AFD">
        <w:rPr>
          <w:rStyle w:val="Voetnootmarkering"/>
          <w:rFonts w:ascii="Verdana" w:hAnsi="Verdana"/>
          <w:sz w:val="14"/>
          <w:szCs w:val="14"/>
        </w:rPr>
        <w:footnoteRef/>
      </w:r>
      <w:r w:rsidR="0079197B" w:rsidRPr="00CC2AFD">
        <w:rPr>
          <w:rFonts w:ascii="Verdana" w:hAnsi="Verdana"/>
          <w:sz w:val="14"/>
          <w:szCs w:val="14"/>
        </w:rPr>
        <w:t xml:space="preserve"> </w:t>
      </w:r>
      <w:r w:rsidRPr="00CC2AFD">
        <w:rPr>
          <w:rFonts w:ascii="Verdana" w:hAnsi="Verdana"/>
          <w:sz w:val="14"/>
          <w:szCs w:val="14"/>
        </w:rPr>
        <w:t>Gerechtshof Amsterdam, 11 september 2025, ECLI:NL:GHAMS:2025:2377. Tegen deze uitspraak is (pro forma) beroep in cassatie ingesteld.</w:t>
      </w:r>
    </w:p>
  </w:footnote>
  <w:footnote w:id="50">
    <w:p w14:paraId="545BE8A8" w14:textId="3E64DC51" w:rsidR="00082AFF" w:rsidRPr="00CC2AFD" w:rsidRDefault="00082AFF" w:rsidP="00082AFF">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w:t>
      </w:r>
      <w:r w:rsidR="001C32F0" w:rsidRPr="00CC2AFD">
        <w:rPr>
          <w:rFonts w:ascii="Verdana" w:hAnsi="Verdana"/>
          <w:sz w:val="14"/>
          <w:szCs w:val="14"/>
        </w:rPr>
        <w:t>2024</w:t>
      </w:r>
      <w:r w:rsidR="00E4103A" w:rsidRPr="00CC2AFD">
        <w:rPr>
          <w:rFonts w:ascii="Verdana" w:hAnsi="Verdana"/>
          <w:sz w:val="14"/>
          <w:szCs w:val="14"/>
        </w:rPr>
        <w:t>/</w:t>
      </w:r>
      <w:r w:rsidR="001C32F0" w:rsidRPr="00CC2AFD">
        <w:rPr>
          <w:rFonts w:ascii="Verdana" w:hAnsi="Verdana"/>
          <w:sz w:val="14"/>
          <w:szCs w:val="14"/>
        </w:rPr>
        <w:t>25</w:t>
      </w:r>
      <w:r w:rsidRPr="00CC2AFD">
        <w:rPr>
          <w:rFonts w:ascii="Verdana" w:hAnsi="Verdana"/>
          <w:sz w:val="14"/>
          <w:szCs w:val="14"/>
        </w:rPr>
        <w:t>, 31066, nr. 1463</w:t>
      </w:r>
      <w:r w:rsidR="00E63E2C" w:rsidRPr="00CC2AFD">
        <w:rPr>
          <w:rFonts w:ascii="Verdana" w:hAnsi="Verdana"/>
          <w:sz w:val="14"/>
          <w:szCs w:val="14"/>
        </w:rPr>
        <w:t>.</w:t>
      </w:r>
    </w:p>
  </w:footnote>
  <w:footnote w:id="51">
    <w:p w14:paraId="6BF6E3DA" w14:textId="3E64E25F" w:rsidR="00DE35C7" w:rsidRPr="00CC2AFD" w:rsidRDefault="00DE35C7">
      <w:pPr>
        <w:pStyle w:val="Voetnoottekst"/>
        <w:rPr>
          <w:rFonts w:ascii="Verdana" w:hAnsi="Verdana"/>
          <w:sz w:val="14"/>
          <w:szCs w:val="14"/>
        </w:rPr>
      </w:pPr>
      <w:r w:rsidRPr="00CC2AFD">
        <w:rPr>
          <w:rStyle w:val="Voetnootmarkering"/>
          <w:rFonts w:ascii="Verdana" w:hAnsi="Verdana"/>
          <w:sz w:val="14"/>
          <w:szCs w:val="14"/>
        </w:rPr>
        <w:footnoteRef/>
      </w:r>
      <w:r w:rsidRPr="00CC2AFD">
        <w:rPr>
          <w:rFonts w:ascii="Verdana" w:hAnsi="Verdana"/>
          <w:sz w:val="14"/>
          <w:szCs w:val="14"/>
        </w:rPr>
        <w:t xml:space="preserve"> Kamerstukken II, 2024</w:t>
      </w:r>
      <w:r w:rsidR="00E4103A" w:rsidRPr="00CC2AFD">
        <w:rPr>
          <w:rFonts w:ascii="Verdana" w:hAnsi="Verdana"/>
          <w:sz w:val="14"/>
          <w:szCs w:val="14"/>
        </w:rPr>
        <w:t>/</w:t>
      </w:r>
      <w:r w:rsidRPr="00CC2AFD">
        <w:rPr>
          <w:rFonts w:ascii="Verdana" w:hAnsi="Verdana"/>
          <w:sz w:val="14"/>
          <w:szCs w:val="14"/>
        </w:rPr>
        <w:t>25, 31066, nr. 1504</w:t>
      </w:r>
      <w:r w:rsidR="00E63E2C" w:rsidRPr="00CC2AFD">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1B0D" w14:textId="77777777" w:rsidR="00D9226E" w:rsidRDefault="00D92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78EB" w14:textId="77777777" w:rsidR="00D9226E" w:rsidRDefault="00D922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D739" w14:textId="77777777" w:rsidR="00D9226E" w:rsidRDefault="00D922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8D2"/>
    <w:multiLevelType w:val="hybridMultilevel"/>
    <w:tmpl w:val="8688875C"/>
    <w:lvl w:ilvl="0" w:tplc="04130001">
      <w:start w:val="1"/>
      <w:numFmt w:val="bullet"/>
      <w:lvlText w:val=""/>
      <w:lvlJc w:val="left"/>
      <w:pPr>
        <w:ind w:left="48"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5">
      <w:start w:val="1"/>
      <w:numFmt w:val="bullet"/>
      <w:lvlText w:val=""/>
      <w:lvlJc w:val="left"/>
      <w:pPr>
        <w:ind w:left="1488" w:hanging="360"/>
      </w:pPr>
      <w:rPr>
        <w:rFonts w:ascii="Wingdings" w:hAnsi="Wingdings" w:hint="default"/>
      </w:rPr>
    </w:lvl>
    <w:lvl w:ilvl="3" w:tplc="04130001">
      <w:start w:val="1"/>
      <w:numFmt w:val="bullet"/>
      <w:lvlText w:val=""/>
      <w:lvlJc w:val="left"/>
      <w:pPr>
        <w:ind w:left="2208" w:hanging="360"/>
      </w:pPr>
      <w:rPr>
        <w:rFonts w:ascii="Symbol" w:hAnsi="Symbol" w:hint="default"/>
      </w:rPr>
    </w:lvl>
    <w:lvl w:ilvl="4" w:tplc="04130003">
      <w:start w:val="1"/>
      <w:numFmt w:val="bullet"/>
      <w:lvlText w:val="o"/>
      <w:lvlJc w:val="left"/>
      <w:pPr>
        <w:ind w:left="2928" w:hanging="360"/>
      </w:pPr>
      <w:rPr>
        <w:rFonts w:ascii="Courier New" w:hAnsi="Courier New" w:cs="Courier New" w:hint="default"/>
      </w:rPr>
    </w:lvl>
    <w:lvl w:ilvl="5" w:tplc="04130005">
      <w:start w:val="1"/>
      <w:numFmt w:val="bullet"/>
      <w:lvlText w:val=""/>
      <w:lvlJc w:val="left"/>
      <w:pPr>
        <w:ind w:left="3648" w:hanging="360"/>
      </w:pPr>
      <w:rPr>
        <w:rFonts w:ascii="Wingdings" w:hAnsi="Wingdings" w:hint="default"/>
      </w:rPr>
    </w:lvl>
    <w:lvl w:ilvl="6" w:tplc="04130001">
      <w:start w:val="1"/>
      <w:numFmt w:val="bullet"/>
      <w:lvlText w:val=""/>
      <w:lvlJc w:val="left"/>
      <w:pPr>
        <w:ind w:left="4368" w:hanging="360"/>
      </w:pPr>
      <w:rPr>
        <w:rFonts w:ascii="Symbol" w:hAnsi="Symbol" w:hint="default"/>
      </w:rPr>
    </w:lvl>
    <w:lvl w:ilvl="7" w:tplc="04130003">
      <w:start w:val="1"/>
      <w:numFmt w:val="bullet"/>
      <w:lvlText w:val="o"/>
      <w:lvlJc w:val="left"/>
      <w:pPr>
        <w:ind w:left="5088" w:hanging="360"/>
      </w:pPr>
      <w:rPr>
        <w:rFonts w:ascii="Courier New" w:hAnsi="Courier New" w:cs="Courier New" w:hint="default"/>
      </w:rPr>
    </w:lvl>
    <w:lvl w:ilvl="8" w:tplc="04130005">
      <w:start w:val="1"/>
      <w:numFmt w:val="bullet"/>
      <w:lvlText w:val=""/>
      <w:lvlJc w:val="left"/>
      <w:pPr>
        <w:ind w:left="5808" w:hanging="360"/>
      </w:pPr>
      <w:rPr>
        <w:rFonts w:ascii="Wingdings" w:hAnsi="Wingdings" w:hint="default"/>
      </w:rPr>
    </w:lvl>
  </w:abstractNum>
  <w:abstractNum w:abstractNumId="1" w15:restartNumberingAfterBreak="0">
    <w:nsid w:val="0D1923E1"/>
    <w:multiLevelType w:val="hybridMultilevel"/>
    <w:tmpl w:val="2FC855D0"/>
    <w:lvl w:ilvl="0" w:tplc="94A2B516">
      <w:start w:val="1"/>
      <w:numFmt w:val="bullet"/>
      <w:lvlText w:val=""/>
      <w:lvlJc w:val="left"/>
      <w:pPr>
        <w:ind w:left="1020" w:hanging="360"/>
      </w:pPr>
      <w:rPr>
        <w:rFonts w:ascii="Symbol" w:hAnsi="Symbol"/>
      </w:rPr>
    </w:lvl>
    <w:lvl w:ilvl="1" w:tplc="AB3A7752">
      <w:start w:val="1"/>
      <w:numFmt w:val="bullet"/>
      <w:lvlText w:val=""/>
      <w:lvlJc w:val="left"/>
      <w:pPr>
        <w:ind w:left="1020" w:hanging="360"/>
      </w:pPr>
      <w:rPr>
        <w:rFonts w:ascii="Symbol" w:hAnsi="Symbol"/>
      </w:rPr>
    </w:lvl>
    <w:lvl w:ilvl="2" w:tplc="E33CF6D8">
      <w:start w:val="1"/>
      <w:numFmt w:val="bullet"/>
      <w:lvlText w:val=""/>
      <w:lvlJc w:val="left"/>
      <w:pPr>
        <w:ind w:left="1020" w:hanging="360"/>
      </w:pPr>
      <w:rPr>
        <w:rFonts w:ascii="Symbol" w:hAnsi="Symbol"/>
      </w:rPr>
    </w:lvl>
    <w:lvl w:ilvl="3" w:tplc="819CA35A">
      <w:start w:val="1"/>
      <w:numFmt w:val="bullet"/>
      <w:lvlText w:val=""/>
      <w:lvlJc w:val="left"/>
      <w:pPr>
        <w:ind w:left="1020" w:hanging="360"/>
      </w:pPr>
      <w:rPr>
        <w:rFonts w:ascii="Symbol" w:hAnsi="Symbol"/>
      </w:rPr>
    </w:lvl>
    <w:lvl w:ilvl="4" w:tplc="26C01136">
      <w:start w:val="1"/>
      <w:numFmt w:val="bullet"/>
      <w:lvlText w:val=""/>
      <w:lvlJc w:val="left"/>
      <w:pPr>
        <w:ind w:left="1020" w:hanging="360"/>
      </w:pPr>
      <w:rPr>
        <w:rFonts w:ascii="Symbol" w:hAnsi="Symbol"/>
      </w:rPr>
    </w:lvl>
    <w:lvl w:ilvl="5" w:tplc="9AB6D9C2">
      <w:start w:val="1"/>
      <w:numFmt w:val="bullet"/>
      <w:lvlText w:val=""/>
      <w:lvlJc w:val="left"/>
      <w:pPr>
        <w:ind w:left="1020" w:hanging="360"/>
      </w:pPr>
      <w:rPr>
        <w:rFonts w:ascii="Symbol" w:hAnsi="Symbol"/>
      </w:rPr>
    </w:lvl>
    <w:lvl w:ilvl="6" w:tplc="99B07766">
      <w:start w:val="1"/>
      <w:numFmt w:val="bullet"/>
      <w:lvlText w:val=""/>
      <w:lvlJc w:val="left"/>
      <w:pPr>
        <w:ind w:left="1020" w:hanging="360"/>
      </w:pPr>
      <w:rPr>
        <w:rFonts w:ascii="Symbol" w:hAnsi="Symbol"/>
      </w:rPr>
    </w:lvl>
    <w:lvl w:ilvl="7" w:tplc="FC0E3B40">
      <w:start w:val="1"/>
      <w:numFmt w:val="bullet"/>
      <w:lvlText w:val=""/>
      <w:lvlJc w:val="left"/>
      <w:pPr>
        <w:ind w:left="1020" w:hanging="360"/>
      </w:pPr>
      <w:rPr>
        <w:rFonts w:ascii="Symbol" w:hAnsi="Symbol"/>
      </w:rPr>
    </w:lvl>
    <w:lvl w:ilvl="8" w:tplc="53DA54B6">
      <w:start w:val="1"/>
      <w:numFmt w:val="bullet"/>
      <w:lvlText w:val=""/>
      <w:lvlJc w:val="left"/>
      <w:pPr>
        <w:ind w:left="1020" w:hanging="360"/>
      </w:pPr>
      <w:rPr>
        <w:rFonts w:ascii="Symbol" w:hAnsi="Symbol"/>
      </w:rPr>
    </w:lvl>
  </w:abstractNum>
  <w:abstractNum w:abstractNumId="2" w15:restartNumberingAfterBreak="0">
    <w:nsid w:val="0E12035F"/>
    <w:multiLevelType w:val="hybridMultilevel"/>
    <w:tmpl w:val="BBD2E1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14F49DF"/>
    <w:multiLevelType w:val="hybridMultilevel"/>
    <w:tmpl w:val="51FC8BB6"/>
    <w:lvl w:ilvl="0" w:tplc="607A9CF0">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1E62D8"/>
    <w:multiLevelType w:val="hybridMultilevel"/>
    <w:tmpl w:val="408477C0"/>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CA7DD5"/>
    <w:multiLevelType w:val="hybridMultilevel"/>
    <w:tmpl w:val="70AA9E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F1653B1"/>
    <w:multiLevelType w:val="hybridMultilevel"/>
    <w:tmpl w:val="C66EEA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033A2D"/>
    <w:multiLevelType w:val="hybridMultilevel"/>
    <w:tmpl w:val="0BEE2C3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17F1D06"/>
    <w:multiLevelType w:val="hybridMultilevel"/>
    <w:tmpl w:val="2E0E30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604AE2"/>
    <w:multiLevelType w:val="hybridMultilevel"/>
    <w:tmpl w:val="3F0E8C1E"/>
    <w:lvl w:ilvl="0" w:tplc="FFFFFFFF">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852E33"/>
    <w:multiLevelType w:val="hybridMultilevel"/>
    <w:tmpl w:val="1D6C171C"/>
    <w:lvl w:ilvl="0" w:tplc="6E7849F8">
      <w:start w:val="2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6B7BAA"/>
    <w:multiLevelType w:val="multilevel"/>
    <w:tmpl w:val="D7E64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93FD8"/>
    <w:multiLevelType w:val="hybridMultilevel"/>
    <w:tmpl w:val="B2D42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D3236C"/>
    <w:multiLevelType w:val="hybridMultilevel"/>
    <w:tmpl w:val="E5EAD6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F65BC5"/>
    <w:multiLevelType w:val="hybridMultilevel"/>
    <w:tmpl w:val="D2B8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D191F5D"/>
    <w:multiLevelType w:val="hybridMultilevel"/>
    <w:tmpl w:val="66E49488"/>
    <w:lvl w:ilvl="0" w:tplc="A1C6A64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ED36066"/>
    <w:multiLevelType w:val="hybridMultilevel"/>
    <w:tmpl w:val="D5ACC0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6B2327"/>
    <w:multiLevelType w:val="hybridMultilevel"/>
    <w:tmpl w:val="4F60663C"/>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FC94440"/>
    <w:multiLevelType w:val="hybridMultilevel"/>
    <w:tmpl w:val="E5EAD65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0D6063A"/>
    <w:multiLevelType w:val="hybridMultilevel"/>
    <w:tmpl w:val="A470CF86"/>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3EA3400"/>
    <w:multiLevelType w:val="hybridMultilevel"/>
    <w:tmpl w:val="D226B892"/>
    <w:lvl w:ilvl="0" w:tplc="33AE1DE8">
      <w:start w:val="4"/>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6E46974"/>
    <w:multiLevelType w:val="hybridMultilevel"/>
    <w:tmpl w:val="78E2D818"/>
    <w:lvl w:ilvl="0" w:tplc="95DC9834">
      <w:start w:val="2"/>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552D55"/>
    <w:multiLevelType w:val="hybridMultilevel"/>
    <w:tmpl w:val="3F0E8C1E"/>
    <w:lvl w:ilvl="0" w:tplc="FFFFFFFF">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607062E"/>
    <w:multiLevelType w:val="hybridMultilevel"/>
    <w:tmpl w:val="157C9D1A"/>
    <w:lvl w:ilvl="0" w:tplc="151653D2">
      <w:start w:val="1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6AE2913"/>
    <w:multiLevelType w:val="hybridMultilevel"/>
    <w:tmpl w:val="FAD20A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9B47A1"/>
    <w:multiLevelType w:val="hybridMultilevel"/>
    <w:tmpl w:val="6A7E00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6552A7"/>
    <w:multiLevelType w:val="hybridMultilevel"/>
    <w:tmpl w:val="9FB0B1F2"/>
    <w:lvl w:ilvl="0" w:tplc="F7D401C0">
      <w:start w:val="2"/>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D5F51C5"/>
    <w:multiLevelType w:val="hybridMultilevel"/>
    <w:tmpl w:val="7C50742C"/>
    <w:lvl w:ilvl="0" w:tplc="3B2A1416">
      <w:start w:val="1"/>
      <w:numFmt w:val="decimal"/>
      <w:lvlText w:val="%1)"/>
      <w:lvlJc w:val="left"/>
      <w:pPr>
        <w:ind w:left="1020" w:hanging="360"/>
      </w:pPr>
    </w:lvl>
    <w:lvl w:ilvl="1" w:tplc="E0DCE6F0">
      <w:start w:val="1"/>
      <w:numFmt w:val="decimal"/>
      <w:lvlText w:val="%2)"/>
      <w:lvlJc w:val="left"/>
      <w:pPr>
        <w:ind w:left="1020" w:hanging="360"/>
      </w:pPr>
    </w:lvl>
    <w:lvl w:ilvl="2" w:tplc="363C2B9C">
      <w:start w:val="1"/>
      <w:numFmt w:val="decimal"/>
      <w:lvlText w:val="%3)"/>
      <w:lvlJc w:val="left"/>
      <w:pPr>
        <w:ind w:left="1020" w:hanging="360"/>
      </w:pPr>
    </w:lvl>
    <w:lvl w:ilvl="3" w:tplc="6452F74A">
      <w:start w:val="1"/>
      <w:numFmt w:val="decimal"/>
      <w:lvlText w:val="%4)"/>
      <w:lvlJc w:val="left"/>
      <w:pPr>
        <w:ind w:left="1020" w:hanging="360"/>
      </w:pPr>
    </w:lvl>
    <w:lvl w:ilvl="4" w:tplc="7818A87E">
      <w:start w:val="1"/>
      <w:numFmt w:val="decimal"/>
      <w:lvlText w:val="%5)"/>
      <w:lvlJc w:val="left"/>
      <w:pPr>
        <w:ind w:left="1020" w:hanging="360"/>
      </w:pPr>
    </w:lvl>
    <w:lvl w:ilvl="5" w:tplc="6AE0A638">
      <w:start w:val="1"/>
      <w:numFmt w:val="decimal"/>
      <w:lvlText w:val="%6)"/>
      <w:lvlJc w:val="left"/>
      <w:pPr>
        <w:ind w:left="1020" w:hanging="360"/>
      </w:pPr>
    </w:lvl>
    <w:lvl w:ilvl="6" w:tplc="62EA462C">
      <w:start w:val="1"/>
      <w:numFmt w:val="decimal"/>
      <w:lvlText w:val="%7)"/>
      <w:lvlJc w:val="left"/>
      <w:pPr>
        <w:ind w:left="1020" w:hanging="360"/>
      </w:pPr>
    </w:lvl>
    <w:lvl w:ilvl="7" w:tplc="89B438E0">
      <w:start w:val="1"/>
      <w:numFmt w:val="decimal"/>
      <w:lvlText w:val="%8)"/>
      <w:lvlJc w:val="left"/>
      <w:pPr>
        <w:ind w:left="1020" w:hanging="360"/>
      </w:pPr>
    </w:lvl>
    <w:lvl w:ilvl="8" w:tplc="40EE44DE">
      <w:start w:val="1"/>
      <w:numFmt w:val="decimal"/>
      <w:lvlText w:val="%9)"/>
      <w:lvlJc w:val="left"/>
      <w:pPr>
        <w:ind w:left="1020" w:hanging="360"/>
      </w:pPr>
    </w:lvl>
  </w:abstractNum>
  <w:abstractNum w:abstractNumId="28" w15:restartNumberingAfterBreak="0">
    <w:nsid w:val="5F6315AE"/>
    <w:multiLevelType w:val="hybridMultilevel"/>
    <w:tmpl w:val="8DE40540"/>
    <w:lvl w:ilvl="0" w:tplc="7CF421C8">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04F01CB"/>
    <w:multiLevelType w:val="hybridMultilevel"/>
    <w:tmpl w:val="D7F6B1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17A54D7"/>
    <w:multiLevelType w:val="hybridMultilevel"/>
    <w:tmpl w:val="50E02F98"/>
    <w:lvl w:ilvl="0" w:tplc="42CCDC12">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3587AB0"/>
    <w:multiLevelType w:val="hybridMultilevel"/>
    <w:tmpl w:val="DCB6F26C"/>
    <w:lvl w:ilvl="0" w:tplc="DC44A45C">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2E49E3"/>
    <w:multiLevelType w:val="hybridMultilevel"/>
    <w:tmpl w:val="B6B26282"/>
    <w:lvl w:ilvl="0" w:tplc="0413000F">
      <w:start w:val="2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6784A16"/>
    <w:multiLevelType w:val="hybridMultilevel"/>
    <w:tmpl w:val="C7A0B9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6EF341E"/>
    <w:multiLevelType w:val="hybridMultilevel"/>
    <w:tmpl w:val="52F03440"/>
    <w:lvl w:ilvl="0" w:tplc="0CA8C41E">
      <w:start w:val="13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9DE348C"/>
    <w:multiLevelType w:val="hybridMultilevel"/>
    <w:tmpl w:val="E5EAD6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8EB1CBE"/>
    <w:multiLevelType w:val="hybridMultilevel"/>
    <w:tmpl w:val="4E2E9A86"/>
    <w:lvl w:ilvl="0" w:tplc="FFFFFFFF">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A696FEC"/>
    <w:multiLevelType w:val="hybridMultilevel"/>
    <w:tmpl w:val="A9244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2609237">
    <w:abstractNumId w:val="33"/>
  </w:num>
  <w:num w:numId="2" w16cid:durableId="1019043423">
    <w:abstractNumId w:val="33"/>
  </w:num>
  <w:num w:numId="3" w16cid:durableId="536815053">
    <w:abstractNumId w:val="24"/>
  </w:num>
  <w:num w:numId="4" w16cid:durableId="292175155">
    <w:abstractNumId w:val="6"/>
  </w:num>
  <w:num w:numId="5" w16cid:durableId="1494641589">
    <w:abstractNumId w:val="16"/>
  </w:num>
  <w:num w:numId="6" w16cid:durableId="1590889268">
    <w:abstractNumId w:val="2"/>
  </w:num>
  <w:num w:numId="7" w16cid:durableId="1863006097">
    <w:abstractNumId w:val="34"/>
  </w:num>
  <w:num w:numId="8" w16cid:durableId="922494308">
    <w:abstractNumId w:val="23"/>
  </w:num>
  <w:num w:numId="9" w16cid:durableId="953562750">
    <w:abstractNumId w:val="15"/>
  </w:num>
  <w:num w:numId="10" w16cid:durableId="1459029580">
    <w:abstractNumId w:val="12"/>
  </w:num>
  <w:num w:numId="11" w16cid:durableId="677848572">
    <w:abstractNumId w:val="0"/>
  </w:num>
  <w:num w:numId="12" w16cid:durableId="960527281">
    <w:abstractNumId w:val="29"/>
  </w:num>
  <w:num w:numId="13" w16cid:durableId="840506485">
    <w:abstractNumId w:val="28"/>
  </w:num>
  <w:num w:numId="14" w16cid:durableId="1580210685">
    <w:abstractNumId w:val="18"/>
  </w:num>
  <w:num w:numId="15" w16cid:durableId="307174138">
    <w:abstractNumId w:val="13"/>
  </w:num>
  <w:num w:numId="16" w16cid:durableId="345597775">
    <w:abstractNumId w:val="35"/>
  </w:num>
  <w:num w:numId="17" w16cid:durableId="306475954">
    <w:abstractNumId w:val="8"/>
  </w:num>
  <w:num w:numId="18" w16cid:durableId="231041044">
    <w:abstractNumId w:val="7"/>
  </w:num>
  <w:num w:numId="19" w16cid:durableId="677999913">
    <w:abstractNumId w:val="0"/>
  </w:num>
  <w:num w:numId="20" w16cid:durableId="1227496799">
    <w:abstractNumId w:val="37"/>
  </w:num>
  <w:num w:numId="21" w16cid:durableId="1009410697">
    <w:abstractNumId w:val="27"/>
  </w:num>
  <w:num w:numId="22" w16cid:durableId="552424197">
    <w:abstractNumId w:val="28"/>
  </w:num>
  <w:num w:numId="23" w16cid:durableId="1307010442">
    <w:abstractNumId w:val="36"/>
  </w:num>
  <w:num w:numId="24" w16cid:durableId="1120731916">
    <w:abstractNumId w:val="4"/>
  </w:num>
  <w:num w:numId="25" w16cid:durableId="1249460274">
    <w:abstractNumId w:val="22"/>
  </w:num>
  <w:num w:numId="26" w16cid:durableId="1516193060">
    <w:abstractNumId w:val="17"/>
  </w:num>
  <w:num w:numId="27" w16cid:durableId="395444430">
    <w:abstractNumId w:val="9"/>
  </w:num>
  <w:num w:numId="28" w16cid:durableId="6637397">
    <w:abstractNumId w:val="19"/>
  </w:num>
  <w:num w:numId="29" w16cid:durableId="2074426717">
    <w:abstractNumId w:val="25"/>
  </w:num>
  <w:num w:numId="30" w16cid:durableId="1644264850">
    <w:abstractNumId w:val="20"/>
  </w:num>
  <w:num w:numId="31" w16cid:durableId="1474560284">
    <w:abstractNumId w:val="21"/>
  </w:num>
  <w:num w:numId="32" w16cid:durableId="227039459">
    <w:abstractNumId w:val="1"/>
  </w:num>
  <w:num w:numId="33" w16cid:durableId="19719788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3656819">
    <w:abstractNumId w:val="5"/>
  </w:num>
  <w:num w:numId="35" w16cid:durableId="533076135">
    <w:abstractNumId w:val="26"/>
  </w:num>
  <w:num w:numId="36" w16cid:durableId="1772044866">
    <w:abstractNumId w:val="30"/>
  </w:num>
  <w:num w:numId="37" w16cid:durableId="1759212631">
    <w:abstractNumId w:val="31"/>
  </w:num>
  <w:num w:numId="38" w16cid:durableId="514149798">
    <w:abstractNumId w:val="3"/>
  </w:num>
  <w:num w:numId="39" w16cid:durableId="510416919">
    <w:abstractNumId w:val="2"/>
  </w:num>
  <w:num w:numId="40" w16cid:durableId="1397699899">
    <w:abstractNumId w:val="11"/>
  </w:num>
  <w:num w:numId="41" w16cid:durableId="283729311">
    <w:abstractNumId w:val="34"/>
  </w:num>
  <w:num w:numId="42" w16cid:durableId="1479953330">
    <w:abstractNumId w:val="23"/>
  </w:num>
  <w:num w:numId="43" w16cid:durableId="2037536564">
    <w:abstractNumId w:val="10"/>
  </w:num>
  <w:num w:numId="44" w16cid:durableId="12208279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540B65"/>
    <w:rsid w:val="000008D4"/>
    <w:rsid w:val="00000B8D"/>
    <w:rsid w:val="00002A4D"/>
    <w:rsid w:val="00004103"/>
    <w:rsid w:val="000055A5"/>
    <w:rsid w:val="0001082C"/>
    <w:rsid w:val="0001094D"/>
    <w:rsid w:val="000114EC"/>
    <w:rsid w:val="00012816"/>
    <w:rsid w:val="0001614B"/>
    <w:rsid w:val="00017E40"/>
    <w:rsid w:val="00021094"/>
    <w:rsid w:val="00021542"/>
    <w:rsid w:val="000221BE"/>
    <w:rsid w:val="00023200"/>
    <w:rsid w:val="00024112"/>
    <w:rsid w:val="00024B3F"/>
    <w:rsid w:val="000251BD"/>
    <w:rsid w:val="000255CA"/>
    <w:rsid w:val="00026A77"/>
    <w:rsid w:val="00031728"/>
    <w:rsid w:val="00037C9F"/>
    <w:rsid w:val="000405F5"/>
    <w:rsid w:val="00040F86"/>
    <w:rsid w:val="00041452"/>
    <w:rsid w:val="00041BB3"/>
    <w:rsid w:val="0004404C"/>
    <w:rsid w:val="00046511"/>
    <w:rsid w:val="00046B72"/>
    <w:rsid w:val="00046F24"/>
    <w:rsid w:val="00047147"/>
    <w:rsid w:val="00047F15"/>
    <w:rsid w:val="00050576"/>
    <w:rsid w:val="00051B7A"/>
    <w:rsid w:val="00052FF3"/>
    <w:rsid w:val="00054ADB"/>
    <w:rsid w:val="00054E2E"/>
    <w:rsid w:val="000601D3"/>
    <w:rsid w:val="00063DFA"/>
    <w:rsid w:val="00064328"/>
    <w:rsid w:val="00064521"/>
    <w:rsid w:val="00064BD1"/>
    <w:rsid w:val="000666D1"/>
    <w:rsid w:val="0007045D"/>
    <w:rsid w:val="00071156"/>
    <w:rsid w:val="00074041"/>
    <w:rsid w:val="00074A9C"/>
    <w:rsid w:val="00076323"/>
    <w:rsid w:val="0007647C"/>
    <w:rsid w:val="00077C7F"/>
    <w:rsid w:val="00080202"/>
    <w:rsid w:val="000829AA"/>
    <w:rsid w:val="00082AFF"/>
    <w:rsid w:val="00083360"/>
    <w:rsid w:val="000868CD"/>
    <w:rsid w:val="0008779B"/>
    <w:rsid w:val="00090047"/>
    <w:rsid w:val="000906F0"/>
    <w:rsid w:val="0009225A"/>
    <w:rsid w:val="00092585"/>
    <w:rsid w:val="000925B3"/>
    <w:rsid w:val="00094DED"/>
    <w:rsid w:val="000959D6"/>
    <w:rsid w:val="00095B41"/>
    <w:rsid w:val="00095C6F"/>
    <w:rsid w:val="000960B9"/>
    <w:rsid w:val="000A0D40"/>
    <w:rsid w:val="000A10B2"/>
    <w:rsid w:val="000A156E"/>
    <w:rsid w:val="000A2BE9"/>
    <w:rsid w:val="000A4017"/>
    <w:rsid w:val="000A4174"/>
    <w:rsid w:val="000A4A69"/>
    <w:rsid w:val="000A4B2A"/>
    <w:rsid w:val="000A6B61"/>
    <w:rsid w:val="000B0D52"/>
    <w:rsid w:val="000B2490"/>
    <w:rsid w:val="000B34C6"/>
    <w:rsid w:val="000B43E5"/>
    <w:rsid w:val="000B5D87"/>
    <w:rsid w:val="000B61F8"/>
    <w:rsid w:val="000C0364"/>
    <w:rsid w:val="000C1608"/>
    <w:rsid w:val="000C20E9"/>
    <w:rsid w:val="000C2C83"/>
    <w:rsid w:val="000C50DA"/>
    <w:rsid w:val="000C5BFB"/>
    <w:rsid w:val="000C78E6"/>
    <w:rsid w:val="000D1951"/>
    <w:rsid w:val="000D223F"/>
    <w:rsid w:val="000D2414"/>
    <w:rsid w:val="000D2A3B"/>
    <w:rsid w:val="000D451C"/>
    <w:rsid w:val="000D4703"/>
    <w:rsid w:val="000D52EF"/>
    <w:rsid w:val="000D666E"/>
    <w:rsid w:val="000D6DCD"/>
    <w:rsid w:val="000D784C"/>
    <w:rsid w:val="000E02E3"/>
    <w:rsid w:val="000E19D5"/>
    <w:rsid w:val="000E1E77"/>
    <w:rsid w:val="000E37C6"/>
    <w:rsid w:val="000E3C49"/>
    <w:rsid w:val="000E75CC"/>
    <w:rsid w:val="000F0342"/>
    <w:rsid w:val="000F1ADF"/>
    <w:rsid w:val="000F3D6D"/>
    <w:rsid w:val="000F4725"/>
    <w:rsid w:val="000F4A95"/>
    <w:rsid w:val="000F4FB6"/>
    <w:rsid w:val="000F5C47"/>
    <w:rsid w:val="000F654A"/>
    <w:rsid w:val="000F6C2D"/>
    <w:rsid w:val="000F78B9"/>
    <w:rsid w:val="000F7F08"/>
    <w:rsid w:val="00101623"/>
    <w:rsid w:val="001034C3"/>
    <w:rsid w:val="00105A83"/>
    <w:rsid w:val="00107952"/>
    <w:rsid w:val="001110D4"/>
    <w:rsid w:val="00113588"/>
    <w:rsid w:val="001157CD"/>
    <w:rsid w:val="0011650E"/>
    <w:rsid w:val="00117B9C"/>
    <w:rsid w:val="00120027"/>
    <w:rsid w:val="001200CD"/>
    <w:rsid w:val="00122DC3"/>
    <w:rsid w:val="00123BEA"/>
    <w:rsid w:val="00123FC7"/>
    <w:rsid w:val="00124D69"/>
    <w:rsid w:val="00124FE7"/>
    <w:rsid w:val="00126673"/>
    <w:rsid w:val="00126DE5"/>
    <w:rsid w:val="001274CD"/>
    <w:rsid w:val="00132A96"/>
    <w:rsid w:val="001345E3"/>
    <w:rsid w:val="00134F63"/>
    <w:rsid w:val="0013673A"/>
    <w:rsid w:val="00142C00"/>
    <w:rsid w:val="00142E2F"/>
    <w:rsid w:val="00142FA7"/>
    <w:rsid w:val="001432F2"/>
    <w:rsid w:val="00144C53"/>
    <w:rsid w:val="001457D0"/>
    <w:rsid w:val="00146E56"/>
    <w:rsid w:val="00146FB5"/>
    <w:rsid w:val="001479DF"/>
    <w:rsid w:val="00147E5A"/>
    <w:rsid w:val="0015055A"/>
    <w:rsid w:val="0015070E"/>
    <w:rsid w:val="00150C5E"/>
    <w:rsid w:val="00150F82"/>
    <w:rsid w:val="00151FFF"/>
    <w:rsid w:val="00152EE7"/>
    <w:rsid w:val="00153535"/>
    <w:rsid w:val="00153D80"/>
    <w:rsid w:val="00154273"/>
    <w:rsid w:val="0015474C"/>
    <w:rsid w:val="0015685B"/>
    <w:rsid w:val="0015730C"/>
    <w:rsid w:val="00157711"/>
    <w:rsid w:val="00160FF0"/>
    <w:rsid w:val="0016156E"/>
    <w:rsid w:val="00162B28"/>
    <w:rsid w:val="00163829"/>
    <w:rsid w:val="00164111"/>
    <w:rsid w:val="00164F2F"/>
    <w:rsid w:val="00165714"/>
    <w:rsid w:val="00165F65"/>
    <w:rsid w:val="00165F85"/>
    <w:rsid w:val="001664CC"/>
    <w:rsid w:val="00171387"/>
    <w:rsid w:val="00171DFF"/>
    <w:rsid w:val="00173B29"/>
    <w:rsid w:val="00175A67"/>
    <w:rsid w:val="00176E87"/>
    <w:rsid w:val="00176EC8"/>
    <w:rsid w:val="00177DF1"/>
    <w:rsid w:val="00180C0B"/>
    <w:rsid w:val="0018125D"/>
    <w:rsid w:val="00181EDC"/>
    <w:rsid w:val="001823EA"/>
    <w:rsid w:val="00183751"/>
    <w:rsid w:val="00183BCF"/>
    <w:rsid w:val="00184E60"/>
    <w:rsid w:val="00185C11"/>
    <w:rsid w:val="00190012"/>
    <w:rsid w:val="0019177B"/>
    <w:rsid w:val="00191872"/>
    <w:rsid w:val="0019199F"/>
    <w:rsid w:val="00192645"/>
    <w:rsid w:val="001928C0"/>
    <w:rsid w:val="00196764"/>
    <w:rsid w:val="001A0703"/>
    <w:rsid w:val="001A1DA7"/>
    <w:rsid w:val="001A2D41"/>
    <w:rsid w:val="001A4C7E"/>
    <w:rsid w:val="001A71F9"/>
    <w:rsid w:val="001B06DF"/>
    <w:rsid w:val="001B10C3"/>
    <w:rsid w:val="001B17F5"/>
    <w:rsid w:val="001B2BA3"/>
    <w:rsid w:val="001B3FC5"/>
    <w:rsid w:val="001B7832"/>
    <w:rsid w:val="001B7D64"/>
    <w:rsid w:val="001C0277"/>
    <w:rsid w:val="001C0A71"/>
    <w:rsid w:val="001C32F0"/>
    <w:rsid w:val="001D1A3B"/>
    <w:rsid w:val="001D2AD6"/>
    <w:rsid w:val="001D35DF"/>
    <w:rsid w:val="001D4AA4"/>
    <w:rsid w:val="001D63A3"/>
    <w:rsid w:val="001D650E"/>
    <w:rsid w:val="001D67F4"/>
    <w:rsid w:val="001D7467"/>
    <w:rsid w:val="001E1649"/>
    <w:rsid w:val="001E2530"/>
    <w:rsid w:val="001E34A9"/>
    <w:rsid w:val="001E41C7"/>
    <w:rsid w:val="001E4B31"/>
    <w:rsid w:val="001E4F50"/>
    <w:rsid w:val="001E6B52"/>
    <w:rsid w:val="001E73DE"/>
    <w:rsid w:val="001E7451"/>
    <w:rsid w:val="001F051A"/>
    <w:rsid w:val="001F06E4"/>
    <w:rsid w:val="001F2CB6"/>
    <w:rsid w:val="001F5906"/>
    <w:rsid w:val="001F7898"/>
    <w:rsid w:val="00200979"/>
    <w:rsid w:val="002010C5"/>
    <w:rsid w:val="00201307"/>
    <w:rsid w:val="002031B1"/>
    <w:rsid w:val="002038AF"/>
    <w:rsid w:val="00204BE9"/>
    <w:rsid w:val="00204D3C"/>
    <w:rsid w:val="00205CD0"/>
    <w:rsid w:val="00206F19"/>
    <w:rsid w:val="0020756E"/>
    <w:rsid w:val="00207C6D"/>
    <w:rsid w:val="00207CEB"/>
    <w:rsid w:val="00207F12"/>
    <w:rsid w:val="00210DAF"/>
    <w:rsid w:val="00212C09"/>
    <w:rsid w:val="002131B2"/>
    <w:rsid w:val="002137EF"/>
    <w:rsid w:val="0021496D"/>
    <w:rsid w:val="00214C2B"/>
    <w:rsid w:val="00215F59"/>
    <w:rsid w:val="002162C4"/>
    <w:rsid w:val="00216EEB"/>
    <w:rsid w:val="00220C31"/>
    <w:rsid w:val="00220ED6"/>
    <w:rsid w:val="00221D04"/>
    <w:rsid w:val="00223DCD"/>
    <w:rsid w:val="002242C6"/>
    <w:rsid w:val="00224A8C"/>
    <w:rsid w:val="00225DBB"/>
    <w:rsid w:val="00226891"/>
    <w:rsid w:val="00227F3F"/>
    <w:rsid w:val="00230E20"/>
    <w:rsid w:val="00231338"/>
    <w:rsid w:val="002338FA"/>
    <w:rsid w:val="00234AD8"/>
    <w:rsid w:val="00234FC2"/>
    <w:rsid w:val="0023535A"/>
    <w:rsid w:val="0023549C"/>
    <w:rsid w:val="002416B9"/>
    <w:rsid w:val="00241D9F"/>
    <w:rsid w:val="0024345F"/>
    <w:rsid w:val="0024377B"/>
    <w:rsid w:val="00244DF1"/>
    <w:rsid w:val="002476DD"/>
    <w:rsid w:val="00250A6E"/>
    <w:rsid w:val="00252216"/>
    <w:rsid w:val="0025375E"/>
    <w:rsid w:val="00260325"/>
    <w:rsid w:val="00260D0B"/>
    <w:rsid w:val="00260E80"/>
    <w:rsid w:val="002614BD"/>
    <w:rsid w:val="0026168F"/>
    <w:rsid w:val="002637AA"/>
    <w:rsid w:val="00263C08"/>
    <w:rsid w:val="00263C44"/>
    <w:rsid w:val="00263D3B"/>
    <w:rsid w:val="0026411A"/>
    <w:rsid w:val="002751F0"/>
    <w:rsid w:val="00276931"/>
    <w:rsid w:val="00281283"/>
    <w:rsid w:val="00281E96"/>
    <w:rsid w:val="00282F50"/>
    <w:rsid w:val="002836D7"/>
    <w:rsid w:val="002838CE"/>
    <w:rsid w:val="002841BC"/>
    <w:rsid w:val="00293174"/>
    <w:rsid w:val="00293224"/>
    <w:rsid w:val="00294106"/>
    <w:rsid w:val="00294795"/>
    <w:rsid w:val="00294FBC"/>
    <w:rsid w:val="00295850"/>
    <w:rsid w:val="00296128"/>
    <w:rsid w:val="00296493"/>
    <w:rsid w:val="002A0B91"/>
    <w:rsid w:val="002A2A7A"/>
    <w:rsid w:val="002A2CFC"/>
    <w:rsid w:val="002A37D8"/>
    <w:rsid w:val="002A3BE1"/>
    <w:rsid w:val="002A3E69"/>
    <w:rsid w:val="002A71A5"/>
    <w:rsid w:val="002A7A38"/>
    <w:rsid w:val="002B0056"/>
    <w:rsid w:val="002B08E7"/>
    <w:rsid w:val="002B0F8B"/>
    <w:rsid w:val="002B0FEA"/>
    <w:rsid w:val="002B28DA"/>
    <w:rsid w:val="002B2C94"/>
    <w:rsid w:val="002B2D4B"/>
    <w:rsid w:val="002B4D4F"/>
    <w:rsid w:val="002B7631"/>
    <w:rsid w:val="002C20EA"/>
    <w:rsid w:val="002C3BE0"/>
    <w:rsid w:val="002C4501"/>
    <w:rsid w:val="002C456B"/>
    <w:rsid w:val="002C491C"/>
    <w:rsid w:val="002C4C77"/>
    <w:rsid w:val="002C5B89"/>
    <w:rsid w:val="002C645E"/>
    <w:rsid w:val="002C78A7"/>
    <w:rsid w:val="002D1A66"/>
    <w:rsid w:val="002D2431"/>
    <w:rsid w:val="002D342B"/>
    <w:rsid w:val="002D3777"/>
    <w:rsid w:val="002D3A47"/>
    <w:rsid w:val="002D3AD7"/>
    <w:rsid w:val="002D3B27"/>
    <w:rsid w:val="002D591B"/>
    <w:rsid w:val="002D6135"/>
    <w:rsid w:val="002D64EE"/>
    <w:rsid w:val="002D6BAD"/>
    <w:rsid w:val="002D7AAB"/>
    <w:rsid w:val="002E0BBD"/>
    <w:rsid w:val="002E15A2"/>
    <w:rsid w:val="002E164B"/>
    <w:rsid w:val="002E4995"/>
    <w:rsid w:val="002E5428"/>
    <w:rsid w:val="002E5553"/>
    <w:rsid w:val="002E6288"/>
    <w:rsid w:val="002E6B7B"/>
    <w:rsid w:val="002E6F7D"/>
    <w:rsid w:val="002E7A9D"/>
    <w:rsid w:val="002F0050"/>
    <w:rsid w:val="002F0FCD"/>
    <w:rsid w:val="002F14CB"/>
    <w:rsid w:val="002F2F72"/>
    <w:rsid w:val="002F36D3"/>
    <w:rsid w:val="002F4F39"/>
    <w:rsid w:val="002F5E3F"/>
    <w:rsid w:val="002F6165"/>
    <w:rsid w:val="002F6278"/>
    <w:rsid w:val="003009E0"/>
    <w:rsid w:val="003012C9"/>
    <w:rsid w:val="00301523"/>
    <w:rsid w:val="00302547"/>
    <w:rsid w:val="00303C33"/>
    <w:rsid w:val="00304413"/>
    <w:rsid w:val="003047DB"/>
    <w:rsid w:val="00305626"/>
    <w:rsid w:val="00310B84"/>
    <w:rsid w:val="00311B9F"/>
    <w:rsid w:val="00314418"/>
    <w:rsid w:val="00314E7F"/>
    <w:rsid w:val="00315A6E"/>
    <w:rsid w:val="00315E83"/>
    <w:rsid w:val="003167F8"/>
    <w:rsid w:val="00317DA0"/>
    <w:rsid w:val="00320962"/>
    <w:rsid w:val="00322BD4"/>
    <w:rsid w:val="00322CB1"/>
    <w:rsid w:val="00326C69"/>
    <w:rsid w:val="00331177"/>
    <w:rsid w:val="0033391C"/>
    <w:rsid w:val="003344F8"/>
    <w:rsid w:val="00334B74"/>
    <w:rsid w:val="00335A6B"/>
    <w:rsid w:val="003366AF"/>
    <w:rsid w:val="00340BB7"/>
    <w:rsid w:val="00340D8D"/>
    <w:rsid w:val="003411EE"/>
    <w:rsid w:val="003416D8"/>
    <w:rsid w:val="003434D9"/>
    <w:rsid w:val="003438B3"/>
    <w:rsid w:val="00343CF8"/>
    <w:rsid w:val="00345867"/>
    <w:rsid w:val="00345922"/>
    <w:rsid w:val="003476A4"/>
    <w:rsid w:val="00350C4C"/>
    <w:rsid w:val="003510B5"/>
    <w:rsid w:val="00355F96"/>
    <w:rsid w:val="0035643D"/>
    <w:rsid w:val="00356C55"/>
    <w:rsid w:val="0035702E"/>
    <w:rsid w:val="0036009B"/>
    <w:rsid w:val="0036539B"/>
    <w:rsid w:val="00365881"/>
    <w:rsid w:val="00365B22"/>
    <w:rsid w:val="00366BE8"/>
    <w:rsid w:val="0037308C"/>
    <w:rsid w:val="00375124"/>
    <w:rsid w:val="003779AF"/>
    <w:rsid w:val="00377E76"/>
    <w:rsid w:val="00382EFF"/>
    <w:rsid w:val="00383CCA"/>
    <w:rsid w:val="00384D0F"/>
    <w:rsid w:val="00386C87"/>
    <w:rsid w:val="00386FEE"/>
    <w:rsid w:val="0039019A"/>
    <w:rsid w:val="00390C2E"/>
    <w:rsid w:val="0039414B"/>
    <w:rsid w:val="00394196"/>
    <w:rsid w:val="003966EC"/>
    <w:rsid w:val="003A162A"/>
    <w:rsid w:val="003A3535"/>
    <w:rsid w:val="003A3B49"/>
    <w:rsid w:val="003A4D96"/>
    <w:rsid w:val="003A7194"/>
    <w:rsid w:val="003B3AFB"/>
    <w:rsid w:val="003B5F5C"/>
    <w:rsid w:val="003B711D"/>
    <w:rsid w:val="003B7899"/>
    <w:rsid w:val="003C0692"/>
    <w:rsid w:val="003C2080"/>
    <w:rsid w:val="003C2822"/>
    <w:rsid w:val="003C714F"/>
    <w:rsid w:val="003D050B"/>
    <w:rsid w:val="003D4A91"/>
    <w:rsid w:val="003D589D"/>
    <w:rsid w:val="003D7BCA"/>
    <w:rsid w:val="003E3195"/>
    <w:rsid w:val="003E51DD"/>
    <w:rsid w:val="003E5D62"/>
    <w:rsid w:val="003F1B9E"/>
    <w:rsid w:val="003F2888"/>
    <w:rsid w:val="003F28EC"/>
    <w:rsid w:val="00400F6E"/>
    <w:rsid w:val="004014A8"/>
    <w:rsid w:val="00402471"/>
    <w:rsid w:val="0040249B"/>
    <w:rsid w:val="0040605C"/>
    <w:rsid w:val="0040611C"/>
    <w:rsid w:val="00406B6C"/>
    <w:rsid w:val="00406E3B"/>
    <w:rsid w:val="00411702"/>
    <w:rsid w:val="004117D9"/>
    <w:rsid w:val="004119CA"/>
    <w:rsid w:val="00412FE6"/>
    <w:rsid w:val="00413425"/>
    <w:rsid w:val="0041352C"/>
    <w:rsid w:val="0041424B"/>
    <w:rsid w:val="00415381"/>
    <w:rsid w:val="00420FED"/>
    <w:rsid w:val="00421CB8"/>
    <w:rsid w:val="00423B12"/>
    <w:rsid w:val="00425C0B"/>
    <w:rsid w:val="004269D5"/>
    <w:rsid w:val="00427524"/>
    <w:rsid w:val="00430353"/>
    <w:rsid w:val="00431592"/>
    <w:rsid w:val="00431F39"/>
    <w:rsid w:val="004349F0"/>
    <w:rsid w:val="00436538"/>
    <w:rsid w:val="00437AF6"/>
    <w:rsid w:val="00442578"/>
    <w:rsid w:val="00442D09"/>
    <w:rsid w:val="00444FA6"/>
    <w:rsid w:val="0044704D"/>
    <w:rsid w:val="00450B56"/>
    <w:rsid w:val="00451B6C"/>
    <w:rsid w:val="0045422C"/>
    <w:rsid w:val="00455B21"/>
    <w:rsid w:val="00455FB5"/>
    <w:rsid w:val="0045767E"/>
    <w:rsid w:val="00460897"/>
    <w:rsid w:val="00463736"/>
    <w:rsid w:val="00463E84"/>
    <w:rsid w:val="00465D38"/>
    <w:rsid w:val="00466DB3"/>
    <w:rsid w:val="00467AE4"/>
    <w:rsid w:val="00467CD9"/>
    <w:rsid w:val="00471046"/>
    <w:rsid w:val="00472362"/>
    <w:rsid w:val="004739AA"/>
    <w:rsid w:val="004742EE"/>
    <w:rsid w:val="004756CD"/>
    <w:rsid w:val="00476ECC"/>
    <w:rsid w:val="00477B87"/>
    <w:rsid w:val="004808A7"/>
    <w:rsid w:val="0048422E"/>
    <w:rsid w:val="00487299"/>
    <w:rsid w:val="0049059E"/>
    <w:rsid w:val="00491252"/>
    <w:rsid w:val="004923CB"/>
    <w:rsid w:val="00492BAF"/>
    <w:rsid w:val="004962D0"/>
    <w:rsid w:val="004979B9"/>
    <w:rsid w:val="00497C92"/>
    <w:rsid w:val="00497EFF"/>
    <w:rsid w:val="004A01B3"/>
    <w:rsid w:val="004A2910"/>
    <w:rsid w:val="004A6160"/>
    <w:rsid w:val="004A7976"/>
    <w:rsid w:val="004B1F92"/>
    <w:rsid w:val="004B27FB"/>
    <w:rsid w:val="004B373D"/>
    <w:rsid w:val="004B380D"/>
    <w:rsid w:val="004B4279"/>
    <w:rsid w:val="004B6F6C"/>
    <w:rsid w:val="004C039A"/>
    <w:rsid w:val="004C2987"/>
    <w:rsid w:val="004C41B2"/>
    <w:rsid w:val="004C5D84"/>
    <w:rsid w:val="004C690D"/>
    <w:rsid w:val="004C7804"/>
    <w:rsid w:val="004D1CBE"/>
    <w:rsid w:val="004D2B28"/>
    <w:rsid w:val="004D2F96"/>
    <w:rsid w:val="004D3733"/>
    <w:rsid w:val="004D543D"/>
    <w:rsid w:val="004D5641"/>
    <w:rsid w:val="004D7672"/>
    <w:rsid w:val="004D7CEA"/>
    <w:rsid w:val="004E4205"/>
    <w:rsid w:val="004E5F68"/>
    <w:rsid w:val="004E6CD4"/>
    <w:rsid w:val="004E7681"/>
    <w:rsid w:val="004E77ED"/>
    <w:rsid w:val="004E7D55"/>
    <w:rsid w:val="004F10FB"/>
    <w:rsid w:val="004F26C6"/>
    <w:rsid w:val="004F3052"/>
    <w:rsid w:val="004F4210"/>
    <w:rsid w:val="004F60CA"/>
    <w:rsid w:val="004F64F9"/>
    <w:rsid w:val="004F6C3A"/>
    <w:rsid w:val="004F7AE1"/>
    <w:rsid w:val="004F7CF2"/>
    <w:rsid w:val="00502369"/>
    <w:rsid w:val="005064B8"/>
    <w:rsid w:val="005119A2"/>
    <w:rsid w:val="00516305"/>
    <w:rsid w:val="00517B4F"/>
    <w:rsid w:val="005206EB"/>
    <w:rsid w:val="00521C5C"/>
    <w:rsid w:val="00522DBC"/>
    <w:rsid w:val="00523660"/>
    <w:rsid w:val="00523B07"/>
    <w:rsid w:val="005240D0"/>
    <w:rsid w:val="0052615B"/>
    <w:rsid w:val="00526D33"/>
    <w:rsid w:val="0053037E"/>
    <w:rsid w:val="0053282F"/>
    <w:rsid w:val="0053371A"/>
    <w:rsid w:val="00534020"/>
    <w:rsid w:val="00542FEC"/>
    <w:rsid w:val="0054372C"/>
    <w:rsid w:val="00543980"/>
    <w:rsid w:val="00543A6C"/>
    <w:rsid w:val="00543E2F"/>
    <w:rsid w:val="00544A14"/>
    <w:rsid w:val="00545A31"/>
    <w:rsid w:val="0054601D"/>
    <w:rsid w:val="00547E59"/>
    <w:rsid w:val="005515CE"/>
    <w:rsid w:val="00552E4E"/>
    <w:rsid w:val="00553EE5"/>
    <w:rsid w:val="00554A49"/>
    <w:rsid w:val="00555676"/>
    <w:rsid w:val="005556AF"/>
    <w:rsid w:val="005562F6"/>
    <w:rsid w:val="0055697F"/>
    <w:rsid w:val="00562531"/>
    <w:rsid w:val="00563CDA"/>
    <w:rsid w:val="005668F4"/>
    <w:rsid w:val="00570345"/>
    <w:rsid w:val="00571333"/>
    <w:rsid w:val="0057309E"/>
    <w:rsid w:val="005734BF"/>
    <w:rsid w:val="005738B1"/>
    <w:rsid w:val="00574235"/>
    <w:rsid w:val="00576065"/>
    <w:rsid w:val="0057732F"/>
    <w:rsid w:val="00577427"/>
    <w:rsid w:val="005776B5"/>
    <w:rsid w:val="0058095F"/>
    <w:rsid w:val="00580E12"/>
    <w:rsid w:val="0058365B"/>
    <w:rsid w:val="00585F25"/>
    <w:rsid w:val="00586CDE"/>
    <w:rsid w:val="005933E1"/>
    <w:rsid w:val="00593B71"/>
    <w:rsid w:val="00596C02"/>
    <w:rsid w:val="005A2ED1"/>
    <w:rsid w:val="005A3577"/>
    <w:rsid w:val="005A3E38"/>
    <w:rsid w:val="005A4089"/>
    <w:rsid w:val="005A480B"/>
    <w:rsid w:val="005A5049"/>
    <w:rsid w:val="005A5C95"/>
    <w:rsid w:val="005A7012"/>
    <w:rsid w:val="005B34BF"/>
    <w:rsid w:val="005B5D38"/>
    <w:rsid w:val="005B628C"/>
    <w:rsid w:val="005B655E"/>
    <w:rsid w:val="005B6763"/>
    <w:rsid w:val="005B67C2"/>
    <w:rsid w:val="005B7C30"/>
    <w:rsid w:val="005C0098"/>
    <w:rsid w:val="005C026F"/>
    <w:rsid w:val="005C7150"/>
    <w:rsid w:val="005C7778"/>
    <w:rsid w:val="005C7903"/>
    <w:rsid w:val="005D09EC"/>
    <w:rsid w:val="005D12B7"/>
    <w:rsid w:val="005D2D4B"/>
    <w:rsid w:val="005D428A"/>
    <w:rsid w:val="005D57FE"/>
    <w:rsid w:val="005D5F2E"/>
    <w:rsid w:val="005D7E45"/>
    <w:rsid w:val="005E018D"/>
    <w:rsid w:val="005E0701"/>
    <w:rsid w:val="005E16B9"/>
    <w:rsid w:val="005E37C6"/>
    <w:rsid w:val="005E4526"/>
    <w:rsid w:val="005E47F4"/>
    <w:rsid w:val="005E4C9C"/>
    <w:rsid w:val="005E55A5"/>
    <w:rsid w:val="005E5795"/>
    <w:rsid w:val="005E58D1"/>
    <w:rsid w:val="005E7192"/>
    <w:rsid w:val="005F11CE"/>
    <w:rsid w:val="005F1949"/>
    <w:rsid w:val="005F1B80"/>
    <w:rsid w:val="005F2F5D"/>
    <w:rsid w:val="005F43C7"/>
    <w:rsid w:val="005F5421"/>
    <w:rsid w:val="005F79B4"/>
    <w:rsid w:val="0060038D"/>
    <w:rsid w:val="00601DB5"/>
    <w:rsid w:val="00602BC9"/>
    <w:rsid w:val="00603DE8"/>
    <w:rsid w:val="00603E1C"/>
    <w:rsid w:val="00605A36"/>
    <w:rsid w:val="00606498"/>
    <w:rsid w:val="0060653E"/>
    <w:rsid w:val="006077F2"/>
    <w:rsid w:val="0061153F"/>
    <w:rsid w:val="0061205A"/>
    <w:rsid w:val="00612F35"/>
    <w:rsid w:val="00613149"/>
    <w:rsid w:val="0061357C"/>
    <w:rsid w:val="006147E1"/>
    <w:rsid w:val="00615152"/>
    <w:rsid w:val="0061664A"/>
    <w:rsid w:val="00617647"/>
    <w:rsid w:val="00617E2C"/>
    <w:rsid w:val="00622BA6"/>
    <w:rsid w:val="00622F80"/>
    <w:rsid w:val="00624B2C"/>
    <w:rsid w:val="00625BDC"/>
    <w:rsid w:val="00626819"/>
    <w:rsid w:val="00626973"/>
    <w:rsid w:val="0062753A"/>
    <w:rsid w:val="00627D00"/>
    <w:rsid w:val="00630570"/>
    <w:rsid w:val="00631320"/>
    <w:rsid w:val="006358C0"/>
    <w:rsid w:val="006371BA"/>
    <w:rsid w:val="0064071F"/>
    <w:rsid w:val="006417C6"/>
    <w:rsid w:val="0064195D"/>
    <w:rsid w:val="00641AF0"/>
    <w:rsid w:val="006421CC"/>
    <w:rsid w:val="00642E0D"/>
    <w:rsid w:val="00644E7D"/>
    <w:rsid w:val="0064613A"/>
    <w:rsid w:val="0064755A"/>
    <w:rsid w:val="006477D2"/>
    <w:rsid w:val="0065467F"/>
    <w:rsid w:val="00654D69"/>
    <w:rsid w:val="00655D13"/>
    <w:rsid w:val="006570EF"/>
    <w:rsid w:val="006578A0"/>
    <w:rsid w:val="0066071C"/>
    <w:rsid w:val="00662CC6"/>
    <w:rsid w:val="00665FC6"/>
    <w:rsid w:val="00667046"/>
    <w:rsid w:val="00670A8C"/>
    <w:rsid w:val="00672F06"/>
    <w:rsid w:val="006739AC"/>
    <w:rsid w:val="0067447A"/>
    <w:rsid w:val="00674C49"/>
    <w:rsid w:val="00675C17"/>
    <w:rsid w:val="00676B66"/>
    <w:rsid w:val="00677996"/>
    <w:rsid w:val="00680856"/>
    <w:rsid w:val="00682A34"/>
    <w:rsid w:val="006838BF"/>
    <w:rsid w:val="0068458F"/>
    <w:rsid w:val="006846AD"/>
    <w:rsid w:val="006908F8"/>
    <w:rsid w:val="00690AE7"/>
    <w:rsid w:val="00691620"/>
    <w:rsid w:val="00692BA6"/>
    <w:rsid w:val="00693481"/>
    <w:rsid w:val="006948E1"/>
    <w:rsid w:val="00696292"/>
    <w:rsid w:val="0069659A"/>
    <w:rsid w:val="00697108"/>
    <w:rsid w:val="00697741"/>
    <w:rsid w:val="006A0EC7"/>
    <w:rsid w:val="006A247C"/>
    <w:rsid w:val="006A389D"/>
    <w:rsid w:val="006A526C"/>
    <w:rsid w:val="006A6036"/>
    <w:rsid w:val="006B00AA"/>
    <w:rsid w:val="006B049D"/>
    <w:rsid w:val="006B05D4"/>
    <w:rsid w:val="006B0B6F"/>
    <w:rsid w:val="006B1AC1"/>
    <w:rsid w:val="006C08B6"/>
    <w:rsid w:val="006C2B1B"/>
    <w:rsid w:val="006C2DA4"/>
    <w:rsid w:val="006C42DD"/>
    <w:rsid w:val="006C47C8"/>
    <w:rsid w:val="006C7744"/>
    <w:rsid w:val="006D16B5"/>
    <w:rsid w:val="006D204E"/>
    <w:rsid w:val="006D2A04"/>
    <w:rsid w:val="006D72DC"/>
    <w:rsid w:val="006D74AD"/>
    <w:rsid w:val="006E088E"/>
    <w:rsid w:val="006E1B1F"/>
    <w:rsid w:val="006E4C37"/>
    <w:rsid w:val="006E4FC6"/>
    <w:rsid w:val="006E627A"/>
    <w:rsid w:val="006E6418"/>
    <w:rsid w:val="006F3922"/>
    <w:rsid w:val="006F52C1"/>
    <w:rsid w:val="006F5C68"/>
    <w:rsid w:val="006F5D27"/>
    <w:rsid w:val="00700551"/>
    <w:rsid w:val="00701B64"/>
    <w:rsid w:val="00702C43"/>
    <w:rsid w:val="00705592"/>
    <w:rsid w:val="00705987"/>
    <w:rsid w:val="0070729D"/>
    <w:rsid w:val="00711CE0"/>
    <w:rsid w:val="00711D89"/>
    <w:rsid w:val="00712A75"/>
    <w:rsid w:val="00712F8A"/>
    <w:rsid w:val="00713A90"/>
    <w:rsid w:val="007159E9"/>
    <w:rsid w:val="00717BB8"/>
    <w:rsid w:val="00717C29"/>
    <w:rsid w:val="00722CA9"/>
    <w:rsid w:val="00723210"/>
    <w:rsid w:val="007233DF"/>
    <w:rsid w:val="00723676"/>
    <w:rsid w:val="00730773"/>
    <w:rsid w:val="0073300B"/>
    <w:rsid w:val="00733DF8"/>
    <w:rsid w:val="00734383"/>
    <w:rsid w:val="0073440C"/>
    <w:rsid w:val="00734B11"/>
    <w:rsid w:val="007351CA"/>
    <w:rsid w:val="007351FE"/>
    <w:rsid w:val="00736B38"/>
    <w:rsid w:val="007371FF"/>
    <w:rsid w:val="00740978"/>
    <w:rsid w:val="00740D7A"/>
    <w:rsid w:val="007410A8"/>
    <w:rsid w:val="007422BF"/>
    <w:rsid w:val="00742F9F"/>
    <w:rsid w:val="00743C33"/>
    <w:rsid w:val="00744275"/>
    <w:rsid w:val="00746B41"/>
    <w:rsid w:val="007479DE"/>
    <w:rsid w:val="00753AD4"/>
    <w:rsid w:val="00753D6B"/>
    <w:rsid w:val="00754A5F"/>
    <w:rsid w:val="00755FF4"/>
    <w:rsid w:val="00757CE2"/>
    <w:rsid w:val="00760EFB"/>
    <w:rsid w:val="00762E28"/>
    <w:rsid w:val="00763594"/>
    <w:rsid w:val="00763F73"/>
    <w:rsid w:val="007641A8"/>
    <w:rsid w:val="00767F05"/>
    <w:rsid w:val="00770A57"/>
    <w:rsid w:val="0077109A"/>
    <w:rsid w:val="00772AAD"/>
    <w:rsid w:val="00772E25"/>
    <w:rsid w:val="007731C0"/>
    <w:rsid w:val="0077327B"/>
    <w:rsid w:val="007739C2"/>
    <w:rsid w:val="00774F48"/>
    <w:rsid w:val="007752A1"/>
    <w:rsid w:val="0077531A"/>
    <w:rsid w:val="00775542"/>
    <w:rsid w:val="00775710"/>
    <w:rsid w:val="00775E74"/>
    <w:rsid w:val="00776566"/>
    <w:rsid w:val="007765B2"/>
    <w:rsid w:val="00780B65"/>
    <w:rsid w:val="00781D1C"/>
    <w:rsid w:val="007820D0"/>
    <w:rsid w:val="00782B31"/>
    <w:rsid w:val="00783768"/>
    <w:rsid w:val="007872BD"/>
    <w:rsid w:val="00787367"/>
    <w:rsid w:val="00787469"/>
    <w:rsid w:val="0079054A"/>
    <w:rsid w:val="00790C7B"/>
    <w:rsid w:val="007917D8"/>
    <w:rsid w:val="0079197B"/>
    <w:rsid w:val="00794A07"/>
    <w:rsid w:val="00795589"/>
    <w:rsid w:val="007974B6"/>
    <w:rsid w:val="007A06B3"/>
    <w:rsid w:val="007A0919"/>
    <w:rsid w:val="007A0B06"/>
    <w:rsid w:val="007A270F"/>
    <w:rsid w:val="007A354C"/>
    <w:rsid w:val="007A49A9"/>
    <w:rsid w:val="007A52C8"/>
    <w:rsid w:val="007A5414"/>
    <w:rsid w:val="007A7852"/>
    <w:rsid w:val="007B12C6"/>
    <w:rsid w:val="007B17BB"/>
    <w:rsid w:val="007B198F"/>
    <w:rsid w:val="007B22CC"/>
    <w:rsid w:val="007B2A32"/>
    <w:rsid w:val="007B2B9C"/>
    <w:rsid w:val="007B336F"/>
    <w:rsid w:val="007B3A8A"/>
    <w:rsid w:val="007B3FA2"/>
    <w:rsid w:val="007B449D"/>
    <w:rsid w:val="007B4DB5"/>
    <w:rsid w:val="007B544F"/>
    <w:rsid w:val="007B56B1"/>
    <w:rsid w:val="007B709D"/>
    <w:rsid w:val="007C13E9"/>
    <w:rsid w:val="007C18D4"/>
    <w:rsid w:val="007C1FBB"/>
    <w:rsid w:val="007C25CE"/>
    <w:rsid w:val="007C419F"/>
    <w:rsid w:val="007C494F"/>
    <w:rsid w:val="007C65D2"/>
    <w:rsid w:val="007C6E39"/>
    <w:rsid w:val="007C6F3A"/>
    <w:rsid w:val="007C7924"/>
    <w:rsid w:val="007C7AA1"/>
    <w:rsid w:val="007D0540"/>
    <w:rsid w:val="007D1341"/>
    <w:rsid w:val="007D1FFD"/>
    <w:rsid w:val="007D25BF"/>
    <w:rsid w:val="007D35FC"/>
    <w:rsid w:val="007D3AE3"/>
    <w:rsid w:val="007D3BF0"/>
    <w:rsid w:val="007D41B2"/>
    <w:rsid w:val="007D41FB"/>
    <w:rsid w:val="007D6D6B"/>
    <w:rsid w:val="007E2A0D"/>
    <w:rsid w:val="007E2BC0"/>
    <w:rsid w:val="007E5C95"/>
    <w:rsid w:val="007E7247"/>
    <w:rsid w:val="007F0283"/>
    <w:rsid w:val="007F1084"/>
    <w:rsid w:val="007F1248"/>
    <w:rsid w:val="007F12F6"/>
    <w:rsid w:val="007F2193"/>
    <w:rsid w:val="007F223E"/>
    <w:rsid w:val="007F29E6"/>
    <w:rsid w:val="007F3248"/>
    <w:rsid w:val="007F4C3D"/>
    <w:rsid w:val="007F5699"/>
    <w:rsid w:val="007F64E1"/>
    <w:rsid w:val="007F72DE"/>
    <w:rsid w:val="007F7A2E"/>
    <w:rsid w:val="00801DC9"/>
    <w:rsid w:val="00802976"/>
    <w:rsid w:val="00805CA9"/>
    <w:rsid w:val="00805E38"/>
    <w:rsid w:val="008077B2"/>
    <w:rsid w:val="00810920"/>
    <w:rsid w:val="00810D89"/>
    <w:rsid w:val="008123DF"/>
    <w:rsid w:val="008125F7"/>
    <w:rsid w:val="00813759"/>
    <w:rsid w:val="008151A4"/>
    <w:rsid w:val="00817AE8"/>
    <w:rsid w:val="00820690"/>
    <w:rsid w:val="00821FEF"/>
    <w:rsid w:val="00823CFB"/>
    <w:rsid w:val="00824133"/>
    <w:rsid w:val="008248B0"/>
    <w:rsid w:val="0082559E"/>
    <w:rsid w:val="00826D09"/>
    <w:rsid w:val="008323ED"/>
    <w:rsid w:val="00832B74"/>
    <w:rsid w:val="0083323C"/>
    <w:rsid w:val="00834496"/>
    <w:rsid w:val="008350C8"/>
    <w:rsid w:val="00836C92"/>
    <w:rsid w:val="0084005E"/>
    <w:rsid w:val="00842B20"/>
    <w:rsid w:val="00844E01"/>
    <w:rsid w:val="00845C49"/>
    <w:rsid w:val="00850B50"/>
    <w:rsid w:val="0085131F"/>
    <w:rsid w:val="00854BB7"/>
    <w:rsid w:val="00854CE4"/>
    <w:rsid w:val="0086004E"/>
    <w:rsid w:val="00863C1C"/>
    <w:rsid w:val="008713EA"/>
    <w:rsid w:val="008714CB"/>
    <w:rsid w:val="008718AB"/>
    <w:rsid w:val="008737DD"/>
    <w:rsid w:val="0087450A"/>
    <w:rsid w:val="008747BE"/>
    <w:rsid w:val="00881716"/>
    <w:rsid w:val="0088353E"/>
    <w:rsid w:val="00884A35"/>
    <w:rsid w:val="00884BA4"/>
    <w:rsid w:val="00884C76"/>
    <w:rsid w:val="00884E00"/>
    <w:rsid w:val="008855FE"/>
    <w:rsid w:val="0088799F"/>
    <w:rsid w:val="00891F0E"/>
    <w:rsid w:val="008924E3"/>
    <w:rsid w:val="0089289F"/>
    <w:rsid w:val="00892972"/>
    <w:rsid w:val="0089409B"/>
    <w:rsid w:val="0089466B"/>
    <w:rsid w:val="00894E18"/>
    <w:rsid w:val="008950A3"/>
    <w:rsid w:val="0089617F"/>
    <w:rsid w:val="008966E3"/>
    <w:rsid w:val="00896E92"/>
    <w:rsid w:val="008A0005"/>
    <w:rsid w:val="008A26CC"/>
    <w:rsid w:val="008A302B"/>
    <w:rsid w:val="008A3160"/>
    <w:rsid w:val="008A485A"/>
    <w:rsid w:val="008A5940"/>
    <w:rsid w:val="008A6778"/>
    <w:rsid w:val="008A6EF4"/>
    <w:rsid w:val="008A7221"/>
    <w:rsid w:val="008A772D"/>
    <w:rsid w:val="008A7FA1"/>
    <w:rsid w:val="008B05F3"/>
    <w:rsid w:val="008B2422"/>
    <w:rsid w:val="008B2BA3"/>
    <w:rsid w:val="008B7119"/>
    <w:rsid w:val="008C397B"/>
    <w:rsid w:val="008C4E7F"/>
    <w:rsid w:val="008C560B"/>
    <w:rsid w:val="008C74BC"/>
    <w:rsid w:val="008D0575"/>
    <w:rsid w:val="008D0D3A"/>
    <w:rsid w:val="008D11C8"/>
    <w:rsid w:val="008D16CA"/>
    <w:rsid w:val="008D1C19"/>
    <w:rsid w:val="008D2927"/>
    <w:rsid w:val="008D2F81"/>
    <w:rsid w:val="008D3704"/>
    <w:rsid w:val="008D3736"/>
    <w:rsid w:val="008D4894"/>
    <w:rsid w:val="008D5545"/>
    <w:rsid w:val="008D605F"/>
    <w:rsid w:val="008E0201"/>
    <w:rsid w:val="008E0957"/>
    <w:rsid w:val="008E0A41"/>
    <w:rsid w:val="008E3F9C"/>
    <w:rsid w:val="008E4401"/>
    <w:rsid w:val="008E44C0"/>
    <w:rsid w:val="008E664D"/>
    <w:rsid w:val="008E6A8C"/>
    <w:rsid w:val="008E7964"/>
    <w:rsid w:val="008F07DF"/>
    <w:rsid w:val="008F3644"/>
    <w:rsid w:val="008F3EFC"/>
    <w:rsid w:val="008F5224"/>
    <w:rsid w:val="008F5DAC"/>
    <w:rsid w:val="008F7853"/>
    <w:rsid w:val="0090031E"/>
    <w:rsid w:val="00900871"/>
    <w:rsid w:val="00900D63"/>
    <w:rsid w:val="009010D7"/>
    <w:rsid w:val="0090129F"/>
    <w:rsid w:val="009012D8"/>
    <w:rsid w:val="00902514"/>
    <w:rsid w:val="00902B87"/>
    <w:rsid w:val="00903052"/>
    <w:rsid w:val="00903862"/>
    <w:rsid w:val="00903E2D"/>
    <w:rsid w:val="009048E5"/>
    <w:rsid w:val="00905458"/>
    <w:rsid w:val="00905532"/>
    <w:rsid w:val="00905565"/>
    <w:rsid w:val="00910864"/>
    <w:rsid w:val="00911AA7"/>
    <w:rsid w:val="0091347B"/>
    <w:rsid w:val="00913DC0"/>
    <w:rsid w:val="00914165"/>
    <w:rsid w:val="009156E5"/>
    <w:rsid w:val="00916ECF"/>
    <w:rsid w:val="0091720B"/>
    <w:rsid w:val="009175CF"/>
    <w:rsid w:val="00917DAB"/>
    <w:rsid w:val="00920FD6"/>
    <w:rsid w:val="009212C2"/>
    <w:rsid w:val="00921514"/>
    <w:rsid w:val="009234D8"/>
    <w:rsid w:val="00924263"/>
    <w:rsid w:val="00930B05"/>
    <w:rsid w:val="009311CC"/>
    <w:rsid w:val="009316FD"/>
    <w:rsid w:val="00931F72"/>
    <w:rsid w:val="0093215E"/>
    <w:rsid w:val="00932CFE"/>
    <w:rsid w:val="0093612B"/>
    <w:rsid w:val="00940745"/>
    <w:rsid w:val="00942584"/>
    <w:rsid w:val="00942A08"/>
    <w:rsid w:val="00942E06"/>
    <w:rsid w:val="00943DB6"/>
    <w:rsid w:val="00944505"/>
    <w:rsid w:val="009500AB"/>
    <w:rsid w:val="00951D7A"/>
    <w:rsid w:val="00953EDB"/>
    <w:rsid w:val="009551F9"/>
    <w:rsid w:val="00955DF0"/>
    <w:rsid w:val="00957EBB"/>
    <w:rsid w:val="00957FB4"/>
    <w:rsid w:val="00961B3E"/>
    <w:rsid w:val="00961EB8"/>
    <w:rsid w:val="00964A84"/>
    <w:rsid w:val="00966232"/>
    <w:rsid w:val="00967A4E"/>
    <w:rsid w:val="00970CE7"/>
    <w:rsid w:val="009718A8"/>
    <w:rsid w:val="009726CB"/>
    <w:rsid w:val="00974526"/>
    <w:rsid w:val="00974A69"/>
    <w:rsid w:val="0097565F"/>
    <w:rsid w:val="00976003"/>
    <w:rsid w:val="009769C5"/>
    <w:rsid w:val="00976B1E"/>
    <w:rsid w:val="00981570"/>
    <w:rsid w:val="00983831"/>
    <w:rsid w:val="00984056"/>
    <w:rsid w:val="009860F9"/>
    <w:rsid w:val="00987B0A"/>
    <w:rsid w:val="009910A1"/>
    <w:rsid w:val="00991310"/>
    <w:rsid w:val="00991BAB"/>
    <w:rsid w:val="00992EC0"/>
    <w:rsid w:val="00993800"/>
    <w:rsid w:val="0099381C"/>
    <w:rsid w:val="009947CD"/>
    <w:rsid w:val="009A0F8A"/>
    <w:rsid w:val="009A2238"/>
    <w:rsid w:val="009A2E57"/>
    <w:rsid w:val="009A31A2"/>
    <w:rsid w:val="009A41DD"/>
    <w:rsid w:val="009A5AFC"/>
    <w:rsid w:val="009A653C"/>
    <w:rsid w:val="009A7623"/>
    <w:rsid w:val="009B0CF6"/>
    <w:rsid w:val="009B27AF"/>
    <w:rsid w:val="009B2BCE"/>
    <w:rsid w:val="009B308C"/>
    <w:rsid w:val="009B3331"/>
    <w:rsid w:val="009B412A"/>
    <w:rsid w:val="009B5EF0"/>
    <w:rsid w:val="009B64F1"/>
    <w:rsid w:val="009B6599"/>
    <w:rsid w:val="009C1BBB"/>
    <w:rsid w:val="009C2218"/>
    <w:rsid w:val="009C2954"/>
    <w:rsid w:val="009C5680"/>
    <w:rsid w:val="009C5890"/>
    <w:rsid w:val="009C6086"/>
    <w:rsid w:val="009C74B5"/>
    <w:rsid w:val="009D0919"/>
    <w:rsid w:val="009D2649"/>
    <w:rsid w:val="009D41F5"/>
    <w:rsid w:val="009D4619"/>
    <w:rsid w:val="009E00FC"/>
    <w:rsid w:val="009E1C1C"/>
    <w:rsid w:val="009E25EC"/>
    <w:rsid w:val="009E2BD9"/>
    <w:rsid w:val="009E2F14"/>
    <w:rsid w:val="009E3525"/>
    <w:rsid w:val="009E6E61"/>
    <w:rsid w:val="009E7335"/>
    <w:rsid w:val="009E7F0D"/>
    <w:rsid w:val="009F2636"/>
    <w:rsid w:val="009F77AA"/>
    <w:rsid w:val="00A00476"/>
    <w:rsid w:val="00A00CC8"/>
    <w:rsid w:val="00A00F83"/>
    <w:rsid w:val="00A014A9"/>
    <w:rsid w:val="00A032AC"/>
    <w:rsid w:val="00A037D8"/>
    <w:rsid w:val="00A03F6E"/>
    <w:rsid w:val="00A042F3"/>
    <w:rsid w:val="00A05A67"/>
    <w:rsid w:val="00A05E23"/>
    <w:rsid w:val="00A063C1"/>
    <w:rsid w:val="00A0729A"/>
    <w:rsid w:val="00A074C0"/>
    <w:rsid w:val="00A077C4"/>
    <w:rsid w:val="00A10A62"/>
    <w:rsid w:val="00A10C73"/>
    <w:rsid w:val="00A11288"/>
    <w:rsid w:val="00A1169C"/>
    <w:rsid w:val="00A134AD"/>
    <w:rsid w:val="00A1369E"/>
    <w:rsid w:val="00A13B5A"/>
    <w:rsid w:val="00A13CDA"/>
    <w:rsid w:val="00A14259"/>
    <w:rsid w:val="00A149D5"/>
    <w:rsid w:val="00A15017"/>
    <w:rsid w:val="00A2090E"/>
    <w:rsid w:val="00A2223E"/>
    <w:rsid w:val="00A2304F"/>
    <w:rsid w:val="00A23B3D"/>
    <w:rsid w:val="00A23D71"/>
    <w:rsid w:val="00A24745"/>
    <w:rsid w:val="00A24AD8"/>
    <w:rsid w:val="00A26D3B"/>
    <w:rsid w:val="00A26FEA"/>
    <w:rsid w:val="00A33ED0"/>
    <w:rsid w:val="00A3479D"/>
    <w:rsid w:val="00A34C15"/>
    <w:rsid w:val="00A403E3"/>
    <w:rsid w:val="00A4064A"/>
    <w:rsid w:val="00A41E12"/>
    <w:rsid w:val="00A43784"/>
    <w:rsid w:val="00A43A52"/>
    <w:rsid w:val="00A45D97"/>
    <w:rsid w:val="00A45EE0"/>
    <w:rsid w:val="00A46529"/>
    <w:rsid w:val="00A46FEF"/>
    <w:rsid w:val="00A47AAE"/>
    <w:rsid w:val="00A51D27"/>
    <w:rsid w:val="00A5264E"/>
    <w:rsid w:val="00A5281F"/>
    <w:rsid w:val="00A54B53"/>
    <w:rsid w:val="00A556B7"/>
    <w:rsid w:val="00A579D5"/>
    <w:rsid w:val="00A57D0F"/>
    <w:rsid w:val="00A57EB2"/>
    <w:rsid w:val="00A62C01"/>
    <w:rsid w:val="00A6302D"/>
    <w:rsid w:val="00A63B30"/>
    <w:rsid w:val="00A65453"/>
    <w:rsid w:val="00A704D8"/>
    <w:rsid w:val="00A711F9"/>
    <w:rsid w:val="00A71999"/>
    <w:rsid w:val="00A71C96"/>
    <w:rsid w:val="00A73059"/>
    <w:rsid w:val="00A7322E"/>
    <w:rsid w:val="00A741B2"/>
    <w:rsid w:val="00A74598"/>
    <w:rsid w:val="00A75A0B"/>
    <w:rsid w:val="00A75AED"/>
    <w:rsid w:val="00A7765C"/>
    <w:rsid w:val="00A80074"/>
    <w:rsid w:val="00A8143F"/>
    <w:rsid w:val="00A8237F"/>
    <w:rsid w:val="00A85518"/>
    <w:rsid w:val="00A864F9"/>
    <w:rsid w:val="00A907DC"/>
    <w:rsid w:val="00A91EAE"/>
    <w:rsid w:val="00A92F86"/>
    <w:rsid w:val="00A940BF"/>
    <w:rsid w:val="00A97587"/>
    <w:rsid w:val="00AA0AA0"/>
    <w:rsid w:val="00AA0AD4"/>
    <w:rsid w:val="00AA0E27"/>
    <w:rsid w:val="00AA2219"/>
    <w:rsid w:val="00AA2FFC"/>
    <w:rsid w:val="00AB0C8A"/>
    <w:rsid w:val="00AB26B1"/>
    <w:rsid w:val="00AB3112"/>
    <w:rsid w:val="00AB7340"/>
    <w:rsid w:val="00AC0983"/>
    <w:rsid w:val="00AC4E48"/>
    <w:rsid w:val="00AC6650"/>
    <w:rsid w:val="00AC7937"/>
    <w:rsid w:val="00AC7A66"/>
    <w:rsid w:val="00AC7C70"/>
    <w:rsid w:val="00AD0DFD"/>
    <w:rsid w:val="00AD21A8"/>
    <w:rsid w:val="00AD57AF"/>
    <w:rsid w:val="00AE0874"/>
    <w:rsid w:val="00AE0A63"/>
    <w:rsid w:val="00AE0DCD"/>
    <w:rsid w:val="00AE1CCE"/>
    <w:rsid w:val="00AE1D73"/>
    <w:rsid w:val="00AE1E8D"/>
    <w:rsid w:val="00AE3E80"/>
    <w:rsid w:val="00AE6403"/>
    <w:rsid w:val="00AE6BAB"/>
    <w:rsid w:val="00AF3549"/>
    <w:rsid w:val="00AF43FE"/>
    <w:rsid w:val="00AF4656"/>
    <w:rsid w:val="00AF556F"/>
    <w:rsid w:val="00AF5578"/>
    <w:rsid w:val="00AF6CAF"/>
    <w:rsid w:val="00B00525"/>
    <w:rsid w:val="00B0057A"/>
    <w:rsid w:val="00B029EE"/>
    <w:rsid w:val="00B05C65"/>
    <w:rsid w:val="00B05FFF"/>
    <w:rsid w:val="00B06273"/>
    <w:rsid w:val="00B06AC5"/>
    <w:rsid w:val="00B072B8"/>
    <w:rsid w:val="00B10429"/>
    <w:rsid w:val="00B1055E"/>
    <w:rsid w:val="00B12093"/>
    <w:rsid w:val="00B13DC9"/>
    <w:rsid w:val="00B155A1"/>
    <w:rsid w:val="00B1570B"/>
    <w:rsid w:val="00B16581"/>
    <w:rsid w:val="00B170F3"/>
    <w:rsid w:val="00B1714A"/>
    <w:rsid w:val="00B1718F"/>
    <w:rsid w:val="00B20A1F"/>
    <w:rsid w:val="00B20CEB"/>
    <w:rsid w:val="00B21BBB"/>
    <w:rsid w:val="00B22EFD"/>
    <w:rsid w:val="00B22F98"/>
    <w:rsid w:val="00B238D1"/>
    <w:rsid w:val="00B240FB"/>
    <w:rsid w:val="00B24C55"/>
    <w:rsid w:val="00B2676D"/>
    <w:rsid w:val="00B268ED"/>
    <w:rsid w:val="00B32144"/>
    <w:rsid w:val="00B3219A"/>
    <w:rsid w:val="00B3282D"/>
    <w:rsid w:val="00B328B2"/>
    <w:rsid w:val="00B32A0D"/>
    <w:rsid w:val="00B346FF"/>
    <w:rsid w:val="00B34E09"/>
    <w:rsid w:val="00B35DEC"/>
    <w:rsid w:val="00B36329"/>
    <w:rsid w:val="00B36E69"/>
    <w:rsid w:val="00B40D01"/>
    <w:rsid w:val="00B40D0B"/>
    <w:rsid w:val="00B41F0E"/>
    <w:rsid w:val="00B41F50"/>
    <w:rsid w:val="00B42384"/>
    <w:rsid w:val="00B42593"/>
    <w:rsid w:val="00B42A27"/>
    <w:rsid w:val="00B42A6B"/>
    <w:rsid w:val="00B4415D"/>
    <w:rsid w:val="00B44A5B"/>
    <w:rsid w:val="00B45D70"/>
    <w:rsid w:val="00B47B55"/>
    <w:rsid w:val="00B506B4"/>
    <w:rsid w:val="00B50AF5"/>
    <w:rsid w:val="00B522C4"/>
    <w:rsid w:val="00B528FF"/>
    <w:rsid w:val="00B52B19"/>
    <w:rsid w:val="00B53DF3"/>
    <w:rsid w:val="00B55644"/>
    <w:rsid w:val="00B55DFF"/>
    <w:rsid w:val="00B57C07"/>
    <w:rsid w:val="00B62A7A"/>
    <w:rsid w:val="00B6522B"/>
    <w:rsid w:val="00B66DB5"/>
    <w:rsid w:val="00B6704D"/>
    <w:rsid w:val="00B7002B"/>
    <w:rsid w:val="00B70F39"/>
    <w:rsid w:val="00B71CDD"/>
    <w:rsid w:val="00B71D28"/>
    <w:rsid w:val="00B74420"/>
    <w:rsid w:val="00B7550A"/>
    <w:rsid w:val="00B75CD6"/>
    <w:rsid w:val="00B76C70"/>
    <w:rsid w:val="00B77092"/>
    <w:rsid w:val="00B770C4"/>
    <w:rsid w:val="00B77C11"/>
    <w:rsid w:val="00B77E5E"/>
    <w:rsid w:val="00B80741"/>
    <w:rsid w:val="00B80A7F"/>
    <w:rsid w:val="00B814C2"/>
    <w:rsid w:val="00B83161"/>
    <w:rsid w:val="00B83754"/>
    <w:rsid w:val="00B86488"/>
    <w:rsid w:val="00B86BAA"/>
    <w:rsid w:val="00B86C7E"/>
    <w:rsid w:val="00B90B95"/>
    <w:rsid w:val="00B91C50"/>
    <w:rsid w:val="00B91F40"/>
    <w:rsid w:val="00B937DE"/>
    <w:rsid w:val="00B94448"/>
    <w:rsid w:val="00B94B4B"/>
    <w:rsid w:val="00B96C89"/>
    <w:rsid w:val="00B9711E"/>
    <w:rsid w:val="00B97EFB"/>
    <w:rsid w:val="00BA02BB"/>
    <w:rsid w:val="00BA045F"/>
    <w:rsid w:val="00BA15B9"/>
    <w:rsid w:val="00BA2D69"/>
    <w:rsid w:val="00BA3649"/>
    <w:rsid w:val="00BA372F"/>
    <w:rsid w:val="00BA5427"/>
    <w:rsid w:val="00BA598F"/>
    <w:rsid w:val="00BA6331"/>
    <w:rsid w:val="00BA6382"/>
    <w:rsid w:val="00BB0BC9"/>
    <w:rsid w:val="00BB2A12"/>
    <w:rsid w:val="00BB5DF0"/>
    <w:rsid w:val="00BB6B6F"/>
    <w:rsid w:val="00BC2ED9"/>
    <w:rsid w:val="00BC3CAA"/>
    <w:rsid w:val="00BC4E23"/>
    <w:rsid w:val="00BC55F8"/>
    <w:rsid w:val="00BC5A17"/>
    <w:rsid w:val="00BC5CF4"/>
    <w:rsid w:val="00BC5F0A"/>
    <w:rsid w:val="00BC6FD7"/>
    <w:rsid w:val="00BC719E"/>
    <w:rsid w:val="00BC7B44"/>
    <w:rsid w:val="00BC7F46"/>
    <w:rsid w:val="00BD1004"/>
    <w:rsid w:val="00BD161D"/>
    <w:rsid w:val="00BD392C"/>
    <w:rsid w:val="00BD4215"/>
    <w:rsid w:val="00BD42C5"/>
    <w:rsid w:val="00BD535D"/>
    <w:rsid w:val="00BD62AA"/>
    <w:rsid w:val="00BD7987"/>
    <w:rsid w:val="00BD79BC"/>
    <w:rsid w:val="00BD7A2B"/>
    <w:rsid w:val="00BE05AD"/>
    <w:rsid w:val="00BE4C7F"/>
    <w:rsid w:val="00BE4E12"/>
    <w:rsid w:val="00BE59D7"/>
    <w:rsid w:val="00BE7EEB"/>
    <w:rsid w:val="00BF060F"/>
    <w:rsid w:val="00BF1102"/>
    <w:rsid w:val="00BF25A7"/>
    <w:rsid w:val="00BF28C5"/>
    <w:rsid w:val="00BF28F3"/>
    <w:rsid w:val="00BF2A81"/>
    <w:rsid w:val="00BF4BD1"/>
    <w:rsid w:val="00BF5A60"/>
    <w:rsid w:val="00BF61E0"/>
    <w:rsid w:val="00BF68EC"/>
    <w:rsid w:val="00BF6BDC"/>
    <w:rsid w:val="00BF6EDD"/>
    <w:rsid w:val="00BF7071"/>
    <w:rsid w:val="00BF7C6E"/>
    <w:rsid w:val="00C030EE"/>
    <w:rsid w:val="00C0313A"/>
    <w:rsid w:val="00C03A0D"/>
    <w:rsid w:val="00C0492F"/>
    <w:rsid w:val="00C04B17"/>
    <w:rsid w:val="00C0525D"/>
    <w:rsid w:val="00C0527A"/>
    <w:rsid w:val="00C05643"/>
    <w:rsid w:val="00C05714"/>
    <w:rsid w:val="00C070B2"/>
    <w:rsid w:val="00C07FAE"/>
    <w:rsid w:val="00C11144"/>
    <w:rsid w:val="00C1304D"/>
    <w:rsid w:val="00C14C37"/>
    <w:rsid w:val="00C15CB4"/>
    <w:rsid w:val="00C164A2"/>
    <w:rsid w:val="00C2031A"/>
    <w:rsid w:val="00C2124C"/>
    <w:rsid w:val="00C217A9"/>
    <w:rsid w:val="00C21C80"/>
    <w:rsid w:val="00C22936"/>
    <w:rsid w:val="00C23E0B"/>
    <w:rsid w:val="00C24011"/>
    <w:rsid w:val="00C2469E"/>
    <w:rsid w:val="00C249F2"/>
    <w:rsid w:val="00C2627F"/>
    <w:rsid w:val="00C2677E"/>
    <w:rsid w:val="00C274FB"/>
    <w:rsid w:val="00C27CB9"/>
    <w:rsid w:val="00C30A85"/>
    <w:rsid w:val="00C32C0A"/>
    <w:rsid w:val="00C32F2B"/>
    <w:rsid w:val="00C335EE"/>
    <w:rsid w:val="00C41EB6"/>
    <w:rsid w:val="00C43022"/>
    <w:rsid w:val="00C4386C"/>
    <w:rsid w:val="00C43C94"/>
    <w:rsid w:val="00C4454D"/>
    <w:rsid w:val="00C4525E"/>
    <w:rsid w:val="00C45406"/>
    <w:rsid w:val="00C46226"/>
    <w:rsid w:val="00C47328"/>
    <w:rsid w:val="00C473A5"/>
    <w:rsid w:val="00C47792"/>
    <w:rsid w:val="00C47AFA"/>
    <w:rsid w:val="00C501C3"/>
    <w:rsid w:val="00C5163A"/>
    <w:rsid w:val="00C517D3"/>
    <w:rsid w:val="00C518C4"/>
    <w:rsid w:val="00C5248B"/>
    <w:rsid w:val="00C53F31"/>
    <w:rsid w:val="00C566DD"/>
    <w:rsid w:val="00C57029"/>
    <w:rsid w:val="00C60CFD"/>
    <w:rsid w:val="00C60EA7"/>
    <w:rsid w:val="00C6209F"/>
    <w:rsid w:val="00C64406"/>
    <w:rsid w:val="00C64B9A"/>
    <w:rsid w:val="00C65036"/>
    <w:rsid w:val="00C66108"/>
    <w:rsid w:val="00C721CF"/>
    <w:rsid w:val="00C72F70"/>
    <w:rsid w:val="00C73DDC"/>
    <w:rsid w:val="00C77510"/>
    <w:rsid w:val="00C77DE7"/>
    <w:rsid w:val="00C80EFD"/>
    <w:rsid w:val="00C815A2"/>
    <w:rsid w:val="00C81B5E"/>
    <w:rsid w:val="00C8527F"/>
    <w:rsid w:val="00C869AD"/>
    <w:rsid w:val="00C908BC"/>
    <w:rsid w:val="00C913A3"/>
    <w:rsid w:val="00C9168E"/>
    <w:rsid w:val="00C91BB6"/>
    <w:rsid w:val="00C92ADD"/>
    <w:rsid w:val="00C945E9"/>
    <w:rsid w:val="00C95379"/>
    <w:rsid w:val="00CA1013"/>
    <w:rsid w:val="00CA3365"/>
    <w:rsid w:val="00CA33A8"/>
    <w:rsid w:val="00CA418D"/>
    <w:rsid w:val="00CA42F4"/>
    <w:rsid w:val="00CA63CB"/>
    <w:rsid w:val="00CA7D31"/>
    <w:rsid w:val="00CA7DA0"/>
    <w:rsid w:val="00CB1B98"/>
    <w:rsid w:val="00CB20FC"/>
    <w:rsid w:val="00CB3104"/>
    <w:rsid w:val="00CB49EB"/>
    <w:rsid w:val="00CB4B1B"/>
    <w:rsid w:val="00CB60CB"/>
    <w:rsid w:val="00CB72DF"/>
    <w:rsid w:val="00CB772D"/>
    <w:rsid w:val="00CB777C"/>
    <w:rsid w:val="00CC0578"/>
    <w:rsid w:val="00CC15EE"/>
    <w:rsid w:val="00CC2665"/>
    <w:rsid w:val="00CC2AFD"/>
    <w:rsid w:val="00CC3322"/>
    <w:rsid w:val="00CC401C"/>
    <w:rsid w:val="00CC5165"/>
    <w:rsid w:val="00CC64E7"/>
    <w:rsid w:val="00CD17CC"/>
    <w:rsid w:val="00CD32A5"/>
    <w:rsid w:val="00CD5BC1"/>
    <w:rsid w:val="00CD7E96"/>
    <w:rsid w:val="00CE05B9"/>
    <w:rsid w:val="00CE175A"/>
    <w:rsid w:val="00CE2366"/>
    <w:rsid w:val="00CE2B50"/>
    <w:rsid w:val="00CE39E5"/>
    <w:rsid w:val="00CE3C72"/>
    <w:rsid w:val="00CE5806"/>
    <w:rsid w:val="00CE58F4"/>
    <w:rsid w:val="00CE5B48"/>
    <w:rsid w:val="00CE7D7A"/>
    <w:rsid w:val="00CF1522"/>
    <w:rsid w:val="00CF26F4"/>
    <w:rsid w:val="00CF281A"/>
    <w:rsid w:val="00CF394B"/>
    <w:rsid w:val="00CF4035"/>
    <w:rsid w:val="00CF423D"/>
    <w:rsid w:val="00CF4D7A"/>
    <w:rsid w:val="00CF6E49"/>
    <w:rsid w:val="00CF7692"/>
    <w:rsid w:val="00CF798A"/>
    <w:rsid w:val="00D00D33"/>
    <w:rsid w:val="00D00F11"/>
    <w:rsid w:val="00D01575"/>
    <w:rsid w:val="00D0162D"/>
    <w:rsid w:val="00D019FB"/>
    <w:rsid w:val="00D036CF"/>
    <w:rsid w:val="00D04DE2"/>
    <w:rsid w:val="00D04F6A"/>
    <w:rsid w:val="00D0526B"/>
    <w:rsid w:val="00D0593D"/>
    <w:rsid w:val="00D067FC"/>
    <w:rsid w:val="00D107CD"/>
    <w:rsid w:val="00D11AE6"/>
    <w:rsid w:val="00D12BAB"/>
    <w:rsid w:val="00D1583D"/>
    <w:rsid w:val="00D17B7A"/>
    <w:rsid w:val="00D20011"/>
    <w:rsid w:val="00D21672"/>
    <w:rsid w:val="00D21A1B"/>
    <w:rsid w:val="00D22463"/>
    <w:rsid w:val="00D22DC9"/>
    <w:rsid w:val="00D25D4F"/>
    <w:rsid w:val="00D27488"/>
    <w:rsid w:val="00D27803"/>
    <w:rsid w:val="00D300BB"/>
    <w:rsid w:val="00D34A1B"/>
    <w:rsid w:val="00D34B8F"/>
    <w:rsid w:val="00D4067A"/>
    <w:rsid w:val="00D410F0"/>
    <w:rsid w:val="00D41117"/>
    <w:rsid w:val="00D41E71"/>
    <w:rsid w:val="00D43490"/>
    <w:rsid w:val="00D44A91"/>
    <w:rsid w:val="00D4502B"/>
    <w:rsid w:val="00D46B93"/>
    <w:rsid w:val="00D503D2"/>
    <w:rsid w:val="00D50AD5"/>
    <w:rsid w:val="00D50FA8"/>
    <w:rsid w:val="00D520F9"/>
    <w:rsid w:val="00D525AE"/>
    <w:rsid w:val="00D5334B"/>
    <w:rsid w:val="00D545AE"/>
    <w:rsid w:val="00D548D1"/>
    <w:rsid w:val="00D569E9"/>
    <w:rsid w:val="00D57402"/>
    <w:rsid w:val="00D57CA2"/>
    <w:rsid w:val="00D611FD"/>
    <w:rsid w:val="00D61B12"/>
    <w:rsid w:val="00D62CA4"/>
    <w:rsid w:val="00D6323C"/>
    <w:rsid w:val="00D6448C"/>
    <w:rsid w:val="00D658FF"/>
    <w:rsid w:val="00D6698A"/>
    <w:rsid w:val="00D7123E"/>
    <w:rsid w:val="00D722E3"/>
    <w:rsid w:val="00D72416"/>
    <w:rsid w:val="00D73628"/>
    <w:rsid w:val="00D74C2F"/>
    <w:rsid w:val="00D753B3"/>
    <w:rsid w:val="00D77202"/>
    <w:rsid w:val="00D7736F"/>
    <w:rsid w:val="00D804FC"/>
    <w:rsid w:val="00D82B02"/>
    <w:rsid w:val="00D82C92"/>
    <w:rsid w:val="00D8348F"/>
    <w:rsid w:val="00D9035A"/>
    <w:rsid w:val="00D905B4"/>
    <w:rsid w:val="00D90F31"/>
    <w:rsid w:val="00D91108"/>
    <w:rsid w:val="00D9141E"/>
    <w:rsid w:val="00D9226E"/>
    <w:rsid w:val="00D92493"/>
    <w:rsid w:val="00D931A4"/>
    <w:rsid w:val="00D94D6A"/>
    <w:rsid w:val="00D95772"/>
    <w:rsid w:val="00D95BF6"/>
    <w:rsid w:val="00D961E0"/>
    <w:rsid w:val="00DA02DF"/>
    <w:rsid w:val="00DA0362"/>
    <w:rsid w:val="00DA0BDB"/>
    <w:rsid w:val="00DA101F"/>
    <w:rsid w:val="00DA14F6"/>
    <w:rsid w:val="00DA25FE"/>
    <w:rsid w:val="00DA3681"/>
    <w:rsid w:val="00DA3C38"/>
    <w:rsid w:val="00DA4809"/>
    <w:rsid w:val="00DA4FE7"/>
    <w:rsid w:val="00DA5084"/>
    <w:rsid w:val="00DA6FDA"/>
    <w:rsid w:val="00DB2374"/>
    <w:rsid w:val="00DB26DC"/>
    <w:rsid w:val="00DB287A"/>
    <w:rsid w:val="00DB4AF9"/>
    <w:rsid w:val="00DB5991"/>
    <w:rsid w:val="00DB5D33"/>
    <w:rsid w:val="00DB6393"/>
    <w:rsid w:val="00DB7334"/>
    <w:rsid w:val="00DC063E"/>
    <w:rsid w:val="00DC0AF1"/>
    <w:rsid w:val="00DC0F3A"/>
    <w:rsid w:val="00DC1CFE"/>
    <w:rsid w:val="00DC2B82"/>
    <w:rsid w:val="00DC3C13"/>
    <w:rsid w:val="00DC5DFF"/>
    <w:rsid w:val="00DC6749"/>
    <w:rsid w:val="00DC67FB"/>
    <w:rsid w:val="00DD1C87"/>
    <w:rsid w:val="00DD20FF"/>
    <w:rsid w:val="00DD2F77"/>
    <w:rsid w:val="00DD4315"/>
    <w:rsid w:val="00DD788E"/>
    <w:rsid w:val="00DD795A"/>
    <w:rsid w:val="00DE1778"/>
    <w:rsid w:val="00DE35C7"/>
    <w:rsid w:val="00DE42A7"/>
    <w:rsid w:val="00DE4C5A"/>
    <w:rsid w:val="00DE4E66"/>
    <w:rsid w:val="00DF00D3"/>
    <w:rsid w:val="00DF1549"/>
    <w:rsid w:val="00DF158E"/>
    <w:rsid w:val="00DF30A4"/>
    <w:rsid w:val="00DF539A"/>
    <w:rsid w:val="00DF65BF"/>
    <w:rsid w:val="00E003AC"/>
    <w:rsid w:val="00E016B1"/>
    <w:rsid w:val="00E01DC0"/>
    <w:rsid w:val="00E020AD"/>
    <w:rsid w:val="00E039C7"/>
    <w:rsid w:val="00E03EB2"/>
    <w:rsid w:val="00E043B2"/>
    <w:rsid w:val="00E0665E"/>
    <w:rsid w:val="00E06A5A"/>
    <w:rsid w:val="00E07DCD"/>
    <w:rsid w:val="00E10F92"/>
    <w:rsid w:val="00E120A6"/>
    <w:rsid w:val="00E128A2"/>
    <w:rsid w:val="00E1305E"/>
    <w:rsid w:val="00E13337"/>
    <w:rsid w:val="00E138A1"/>
    <w:rsid w:val="00E152DF"/>
    <w:rsid w:val="00E15390"/>
    <w:rsid w:val="00E15720"/>
    <w:rsid w:val="00E157B3"/>
    <w:rsid w:val="00E1697E"/>
    <w:rsid w:val="00E17E60"/>
    <w:rsid w:val="00E2191E"/>
    <w:rsid w:val="00E21E08"/>
    <w:rsid w:val="00E2202B"/>
    <w:rsid w:val="00E22BCB"/>
    <w:rsid w:val="00E22C90"/>
    <w:rsid w:val="00E244D2"/>
    <w:rsid w:val="00E246C7"/>
    <w:rsid w:val="00E24ED5"/>
    <w:rsid w:val="00E25718"/>
    <w:rsid w:val="00E263CA"/>
    <w:rsid w:val="00E32B47"/>
    <w:rsid w:val="00E346E7"/>
    <w:rsid w:val="00E3492C"/>
    <w:rsid w:val="00E34FB6"/>
    <w:rsid w:val="00E37F9A"/>
    <w:rsid w:val="00E4103A"/>
    <w:rsid w:val="00E45513"/>
    <w:rsid w:val="00E45A74"/>
    <w:rsid w:val="00E45EFC"/>
    <w:rsid w:val="00E47ED3"/>
    <w:rsid w:val="00E5041D"/>
    <w:rsid w:val="00E51532"/>
    <w:rsid w:val="00E529DB"/>
    <w:rsid w:val="00E546CB"/>
    <w:rsid w:val="00E5494A"/>
    <w:rsid w:val="00E56446"/>
    <w:rsid w:val="00E5654E"/>
    <w:rsid w:val="00E570FC"/>
    <w:rsid w:val="00E57BA5"/>
    <w:rsid w:val="00E62ECA"/>
    <w:rsid w:val="00E632D2"/>
    <w:rsid w:val="00E63E2C"/>
    <w:rsid w:val="00E67C5A"/>
    <w:rsid w:val="00E7023A"/>
    <w:rsid w:val="00E70658"/>
    <w:rsid w:val="00E7228D"/>
    <w:rsid w:val="00E72C25"/>
    <w:rsid w:val="00E72F55"/>
    <w:rsid w:val="00E7304C"/>
    <w:rsid w:val="00E741F8"/>
    <w:rsid w:val="00E74F85"/>
    <w:rsid w:val="00E764C6"/>
    <w:rsid w:val="00E767D3"/>
    <w:rsid w:val="00E77519"/>
    <w:rsid w:val="00E77E9C"/>
    <w:rsid w:val="00E84259"/>
    <w:rsid w:val="00E85D0F"/>
    <w:rsid w:val="00E85EEB"/>
    <w:rsid w:val="00E867DE"/>
    <w:rsid w:val="00E86E9A"/>
    <w:rsid w:val="00E87293"/>
    <w:rsid w:val="00E87551"/>
    <w:rsid w:val="00E876F3"/>
    <w:rsid w:val="00E91D5D"/>
    <w:rsid w:val="00E93861"/>
    <w:rsid w:val="00E93A43"/>
    <w:rsid w:val="00E95950"/>
    <w:rsid w:val="00E95B0A"/>
    <w:rsid w:val="00EA0DB1"/>
    <w:rsid w:val="00EA15A8"/>
    <w:rsid w:val="00EA5613"/>
    <w:rsid w:val="00EA6BCA"/>
    <w:rsid w:val="00EA7D09"/>
    <w:rsid w:val="00EB10A1"/>
    <w:rsid w:val="00EB23D5"/>
    <w:rsid w:val="00EB26BC"/>
    <w:rsid w:val="00EB2AAC"/>
    <w:rsid w:val="00EB317D"/>
    <w:rsid w:val="00EB3A89"/>
    <w:rsid w:val="00EB522A"/>
    <w:rsid w:val="00EB61B9"/>
    <w:rsid w:val="00EB77C5"/>
    <w:rsid w:val="00EC11FB"/>
    <w:rsid w:val="00EC40C5"/>
    <w:rsid w:val="00EC487E"/>
    <w:rsid w:val="00EC5EB4"/>
    <w:rsid w:val="00EC7B9B"/>
    <w:rsid w:val="00ED0283"/>
    <w:rsid w:val="00ED4616"/>
    <w:rsid w:val="00ED5D18"/>
    <w:rsid w:val="00ED63EE"/>
    <w:rsid w:val="00ED6880"/>
    <w:rsid w:val="00EE0336"/>
    <w:rsid w:val="00EE03DD"/>
    <w:rsid w:val="00EE0B27"/>
    <w:rsid w:val="00EE0D50"/>
    <w:rsid w:val="00EE0FFB"/>
    <w:rsid w:val="00EE10BA"/>
    <w:rsid w:val="00EE1CAC"/>
    <w:rsid w:val="00EE2CCE"/>
    <w:rsid w:val="00EF1466"/>
    <w:rsid w:val="00EF244E"/>
    <w:rsid w:val="00EF3BD3"/>
    <w:rsid w:val="00EF538D"/>
    <w:rsid w:val="00EF6CC9"/>
    <w:rsid w:val="00F002C8"/>
    <w:rsid w:val="00F02449"/>
    <w:rsid w:val="00F052BE"/>
    <w:rsid w:val="00F07487"/>
    <w:rsid w:val="00F074F8"/>
    <w:rsid w:val="00F0793B"/>
    <w:rsid w:val="00F119B5"/>
    <w:rsid w:val="00F14ED6"/>
    <w:rsid w:val="00F170B2"/>
    <w:rsid w:val="00F20ECD"/>
    <w:rsid w:val="00F21456"/>
    <w:rsid w:val="00F214C4"/>
    <w:rsid w:val="00F21E5B"/>
    <w:rsid w:val="00F22FC2"/>
    <w:rsid w:val="00F248A5"/>
    <w:rsid w:val="00F259AD"/>
    <w:rsid w:val="00F27292"/>
    <w:rsid w:val="00F278EE"/>
    <w:rsid w:val="00F30870"/>
    <w:rsid w:val="00F30D4B"/>
    <w:rsid w:val="00F3338B"/>
    <w:rsid w:val="00F3383A"/>
    <w:rsid w:val="00F339FA"/>
    <w:rsid w:val="00F345E4"/>
    <w:rsid w:val="00F364F6"/>
    <w:rsid w:val="00F41750"/>
    <w:rsid w:val="00F42269"/>
    <w:rsid w:val="00F4357C"/>
    <w:rsid w:val="00F439BD"/>
    <w:rsid w:val="00F446EA"/>
    <w:rsid w:val="00F45617"/>
    <w:rsid w:val="00F45ACF"/>
    <w:rsid w:val="00F47F45"/>
    <w:rsid w:val="00F52154"/>
    <w:rsid w:val="00F53213"/>
    <w:rsid w:val="00F53D03"/>
    <w:rsid w:val="00F53D1B"/>
    <w:rsid w:val="00F57101"/>
    <w:rsid w:val="00F57544"/>
    <w:rsid w:val="00F60205"/>
    <w:rsid w:val="00F6197D"/>
    <w:rsid w:val="00F660BF"/>
    <w:rsid w:val="00F67069"/>
    <w:rsid w:val="00F71E49"/>
    <w:rsid w:val="00F72BC7"/>
    <w:rsid w:val="00F747E5"/>
    <w:rsid w:val="00F74B80"/>
    <w:rsid w:val="00F74EDF"/>
    <w:rsid w:val="00F74FDE"/>
    <w:rsid w:val="00F81D3A"/>
    <w:rsid w:val="00F835D4"/>
    <w:rsid w:val="00F83B51"/>
    <w:rsid w:val="00F84FCD"/>
    <w:rsid w:val="00F86D0E"/>
    <w:rsid w:val="00F87FF2"/>
    <w:rsid w:val="00F9093C"/>
    <w:rsid w:val="00F90FD5"/>
    <w:rsid w:val="00F9173F"/>
    <w:rsid w:val="00F91C10"/>
    <w:rsid w:val="00F95CB6"/>
    <w:rsid w:val="00F97054"/>
    <w:rsid w:val="00FA0A5D"/>
    <w:rsid w:val="00FA2703"/>
    <w:rsid w:val="00FA296D"/>
    <w:rsid w:val="00FA2DE7"/>
    <w:rsid w:val="00FA38AF"/>
    <w:rsid w:val="00FA5CB3"/>
    <w:rsid w:val="00FA6342"/>
    <w:rsid w:val="00FA6B47"/>
    <w:rsid w:val="00FB12F2"/>
    <w:rsid w:val="00FB248D"/>
    <w:rsid w:val="00FB3967"/>
    <w:rsid w:val="00FB7994"/>
    <w:rsid w:val="00FC0BA9"/>
    <w:rsid w:val="00FC1F41"/>
    <w:rsid w:val="00FC7865"/>
    <w:rsid w:val="00FD0030"/>
    <w:rsid w:val="00FD02E8"/>
    <w:rsid w:val="00FD072C"/>
    <w:rsid w:val="00FD257E"/>
    <w:rsid w:val="00FD2997"/>
    <w:rsid w:val="00FD32F7"/>
    <w:rsid w:val="00FD7C50"/>
    <w:rsid w:val="00FE1555"/>
    <w:rsid w:val="00FE4C3D"/>
    <w:rsid w:val="00FF08D2"/>
    <w:rsid w:val="00FF0FB5"/>
    <w:rsid w:val="00FF3550"/>
    <w:rsid w:val="00FF478F"/>
    <w:rsid w:val="00FF52BD"/>
    <w:rsid w:val="00FF5A58"/>
    <w:rsid w:val="00FF5F76"/>
    <w:rsid w:val="00FF651C"/>
    <w:rsid w:val="3F540B65"/>
    <w:rsid w:val="5F905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0B65"/>
  <w15:chartTrackingRefBased/>
  <w15:docId w15:val="{88D0A302-980D-4623-9309-C77667C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4E6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0A2BE9"/>
    <w:pPr>
      <w:spacing w:after="0" w:line="240" w:lineRule="auto"/>
    </w:pPr>
  </w:style>
  <w:style w:type="character" w:styleId="Verwijzingopmerking">
    <w:name w:val="annotation reference"/>
    <w:basedOn w:val="Standaardalinea-lettertype"/>
    <w:uiPriority w:val="99"/>
    <w:semiHidden/>
    <w:unhideWhenUsed/>
    <w:rsid w:val="00241D9F"/>
    <w:rPr>
      <w:sz w:val="16"/>
      <w:szCs w:val="16"/>
    </w:rPr>
  </w:style>
  <w:style w:type="paragraph" w:styleId="Tekstopmerking">
    <w:name w:val="annotation text"/>
    <w:basedOn w:val="Standaard"/>
    <w:link w:val="TekstopmerkingChar"/>
    <w:uiPriority w:val="99"/>
    <w:unhideWhenUsed/>
    <w:rsid w:val="00241D9F"/>
    <w:pPr>
      <w:spacing w:line="240" w:lineRule="auto"/>
    </w:pPr>
    <w:rPr>
      <w:sz w:val="20"/>
      <w:szCs w:val="20"/>
    </w:rPr>
  </w:style>
  <w:style w:type="character" w:customStyle="1" w:styleId="TekstopmerkingChar">
    <w:name w:val="Tekst opmerking Char"/>
    <w:basedOn w:val="Standaardalinea-lettertype"/>
    <w:link w:val="Tekstopmerking"/>
    <w:uiPriority w:val="99"/>
    <w:rsid w:val="00241D9F"/>
    <w:rPr>
      <w:sz w:val="20"/>
      <w:szCs w:val="20"/>
    </w:rPr>
  </w:style>
  <w:style w:type="paragraph" w:styleId="Onderwerpvanopmerking">
    <w:name w:val="annotation subject"/>
    <w:basedOn w:val="Tekstopmerking"/>
    <w:next w:val="Tekstopmerking"/>
    <w:link w:val="OnderwerpvanopmerkingChar"/>
    <w:uiPriority w:val="99"/>
    <w:semiHidden/>
    <w:unhideWhenUsed/>
    <w:rsid w:val="00241D9F"/>
    <w:rPr>
      <w:b/>
      <w:bCs/>
    </w:rPr>
  </w:style>
  <w:style w:type="character" w:customStyle="1" w:styleId="OnderwerpvanopmerkingChar">
    <w:name w:val="Onderwerp van opmerking Char"/>
    <w:basedOn w:val="TekstopmerkingChar"/>
    <w:link w:val="Onderwerpvanopmerking"/>
    <w:uiPriority w:val="99"/>
    <w:semiHidden/>
    <w:rsid w:val="00241D9F"/>
    <w:rPr>
      <w:b/>
      <w:bCs/>
      <w:sz w:val="20"/>
      <w:szCs w:val="20"/>
    </w:rPr>
  </w:style>
  <w:style w:type="paragraph" w:styleId="Voetnoottekst">
    <w:name w:val="footnote text"/>
    <w:basedOn w:val="Standaard"/>
    <w:link w:val="VoetnoottekstChar"/>
    <w:uiPriority w:val="99"/>
    <w:unhideWhenUsed/>
    <w:qFormat/>
    <w:rsid w:val="007F1248"/>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rsid w:val="007F1248"/>
    <w:rPr>
      <w:kern w:val="2"/>
      <w:sz w:val="20"/>
      <w:szCs w:val="20"/>
      <w14:ligatures w14:val="standardContextual"/>
    </w:rPr>
  </w:style>
  <w:style w:type="character" w:styleId="Voetnootmarkering">
    <w:name w:val="footnote reference"/>
    <w:basedOn w:val="Standaardalinea-lettertype"/>
    <w:uiPriority w:val="99"/>
    <w:semiHidden/>
    <w:unhideWhenUsed/>
    <w:qFormat/>
    <w:rsid w:val="007F1248"/>
    <w:rPr>
      <w:vertAlign w:val="superscript"/>
    </w:rPr>
  </w:style>
  <w:style w:type="paragraph" w:styleId="Lijstalinea">
    <w:name w:val="List Paragraph"/>
    <w:basedOn w:val="Standaard"/>
    <w:uiPriority w:val="34"/>
    <w:qFormat/>
    <w:rsid w:val="00762E28"/>
    <w:pPr>
      <w:ind w:left="720"/>
      <w:contextualSpacing/>
    </w:pPr>
  </w:style>
  <w:style w:type="character" w:styleId="Hyperlink">
    <w:name w:val="Hyperlink"/>
    <w:basedOn w:val="Standaardalinea-lettertype"/>
    <w:uiPriority w:val="99"/>
    <w:unhideWhenUsed/>
    <w:rsid w:val="009B2BCE"/>
    <w:rPr>
      <w:color w:val="0563C1" w:themeColor="hyperlink"/>
      <w:u w:val="single"/>
    </w:rPr>
  </w:style>
  <w:style w:type="table" w:styleId="Onopgemaaktetabel2">
    <w:name w:val="Plain Table 2"/>
    <w:basedOn w:val="Standaardtabel"/>
    <w:uiPriority w:val="42"/>
    <w:rsid w:val="009B2B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op1Char">
    <w:name w:val="Kop 1 Char"/>
    <w:basedOn w:val="Standaardalinea-lettertype"/>
    <w:link w:val="Kop1"/>
    <w:uiPriority w:val="9"/>
    <w:rsid w:val="00DE4E66"/>
    <w:rPr>
      <w:rFonts w:asciiTheme="majorHAnsi" w:eastAsiaTheme="majorEastAsia" w:hAnsiTheme="majorHAnsi" w:cstheme="majorBidi"/>
      <w:color w:val="2F5496" w:themeColor="accent1" w:themeShade="BF"/>
      <w:kern w:val="2"/>
      <w:sz w:val="40"/>
      <w:szCs w:val="40"/>
      <w14:ligatures w14:val="standardContextual"/>
    </w:rPr>
  </w:style>
  <w:style w:type="paragraph" w:styleId="Normaalweb">
    <w:name w:val="Normal (Web)"/>
    <w:basedOn w:val="Standaard"/>
    <w:uiPriority w:val="99"/>
    <w:unhideWhenUsed/>
    <w:rsid w:val="00DE4E6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1">
    <w:name w:val="p1"/>
    <w:basedOn w:val="Standaard"/>
    <w:rsid w:val="00DE4E66"/>
    <w:pPr>
      <w:spacing w:after="0" w:line="240" w:lineRule="auto"/>
    </w:pPr>
    <w:rPr>
      <w:rFonts w:ascii="Verdana" w:eastAsia="Times New Roman" w:hAnsi="Verdana" w:cs="Times New Roman"/>
      <w:color w:val="000000"/>
      <w:sz w:val="14"/>
      <w:szCs w:val="14"/>
      <w:lang w:eastAsia="nl-NL"/>
    </w:rPr>
  </w:style>
  <w:style w:type="paragraph" w:customStyle="1" w:styleId="StandaardSlotzin">
    <w:name w:val="Standaard_Slotzin"/>
    <w:basedOn w:val="Standaard"/>
    <w:next w:val="Standaard"/>
    <w:rsid w:val="005C0098"/>
    <w:pPr>
      <w:autoSpaceDN w:val="0"/>
      <w:spacing w:before="240" w:after="0" w:line="240" w:lineRule="exact"/>
      <w:textAlignment w:val="baseline"/>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4F7A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7AE1"/>
  </w:style>
  <w:style w:type="paragraph" w:styleId="Voettekst">
    <w:name w:val="footer"/>
    <w:basedOn w:val="Standaard"/>
    <w:link w:val="VoettekstChar"/>
    <w:uiPriority w:val="99"/>
    <w:unhideWhenUsed/>
    <w:rsid w:val="004F7A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7AE1"/>
  </w:style>
  <w:style w:type="character" w:styleId="Onopgelostemelding">
    <w:name w:val="Unresolved Mention"/>
    <w:basedOn w:val="Standaardalinea-lettertype"/>
    <w:uiPriority w:val="99"/>
    <w:semiHidden/>
    <w:unhideWhenUsed/>
    <w:rsid w:val="005E5795"/>
    <w:rPr>
      <w:color w:val="605E5C"/>
      <w:shd w:val="clear" w:color="auto" w:fill="E1DFDD"/>
    </w:rPr>
  </w:style>
  <w:style w:type="character" w:styleId="Nadruk">
    <w:name w:val="Emphasis"/>
    <w:basedOn w:val="Standaardalinea-lettertype"/>
    <w:uiPriority w:val="20"/>
    <w:qFormat/>
    <w:rsid w:val="00CC2665"/>
    <w:rPr>
      <w:i/>
      <w:iCs/>
    </w:rPr>
  </w:style>
  <w:style w:type="character" w:styleId="GevolgdeHyperlink">
    <w:name w:val="FollowedHyperlink"/>
    <w:basedOn w:val="Standaardalinea-lettertype"/>
    <w:uiPriority w:val="99"/>
    <w:semiHidden/>
    <w:unhideWhenUsed/>
    <w:rsid w:val="00844E01"/>
    <w:rPr>
      <w:color w:val="954F72" w:themeColor="followedHyperlink"/>
      <w:u w:val="single"/>
    </w:rPr>
  </w:style>
  <w:style w:type="character" w:styleId="Zwaar">
    <w:name w:val="Strong"/>
    <w:basedOn w:val="Standaardalinea-lettertype"/>
    <w:uiPriority w:val="22"/>
    <w:qFormat/>
    <w:rsid w:val="007410A8"/>
    <w:rPr>
      <w:b/>
      <w:bCs/>
    </w:rPr>
  </w:style>
  <w:style w:type="character" w:customStyle="1" w:styleId="apple-converted-space">
    <w:name w:val="apple-converted-space"/>
    <w:basedOn w:val="Standaardalinea-lettertype"/>
    <w:rsid w:val="0074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27">
      <w:bodyDiv w:val="1"/>
      <w:marLeft w:val="0"/>
      <w:marRight w:val="0"/>
      <w:marTop w:val="0"/>
      <w:marBottom w:val="0"/>
      <w:divBdr>
        <w:top w:val="none" w:sz="0" w:space="0" w:color="auto"/>
        <w:left w:val="none" w:sz="0" w:space="0" w:color="auto"/>
        <w:bottom w:val="none" w:sz="0" w:space="0" w:color="auto"/>
        <w:right w:val="none" w:sz="0" w:space="0" w:color="auto"/>
      </w:divBdr>
    </w:div>
    <w:div w:id="10034065">
      <w:bodyDiv w:val="1"/>
      <w:marLeft w:val="0"/>
      <w:marRight w:val="0"/>
      <w:marTop w:val="0"/>
      <w:marBottom w:val="0"/>
      <w:divBdr>
        <w:top w:val="none" w:sz="0" w:space="0" w:color="auto"/>
        <w:left w:val="none" w:sz="0" w:space="0" w:color="auto"/>
        <w:bottom w:val="none" w:sz="0" w:space="0" w:color="auto"/>
        <w:right w:val="none" w:sz="0" w:space="0" w:color="auto"/>
      </w:divBdr>
    </w:div>
    <w:div w:id="13000946">
      <w:bodyDiv w:val="1"/>
      <w:marLeft w:val="0"/>
      <w:marRight w:val="0"/>
      <w:marTop w:val="0"/>
      <w:marBottom w:val="0"/>
      <w:divBdr>
        <w:top w:val="none" w:sz="0" w:space="0" w:color="auto"/>
        <w:left w:val="none" w:sz="0" w:space="0" w:color="auto"/>
        <w:bottom w:val="none" w:sz="0" w:space="0" w:color="auto"/>
        <w:right w:val="none" w:sz="0" w:space="0" w:color="auto"/>
      </w:divBdr>
    </w:div>
    <w:div w:id="15354103">
      <w:bodyDiv w:val="1"/>
      <w:marLeft w:val="0"/>
      <w:marRight w:val="0"/>
      <w:marTop w:val="0"/>
      <w:marBottom w:val="0"/>
      <w:divBdr>
        <w:top w:val="none" w:sz="0" w:space="0" w:color="auto"/>
        <w:left w:val="none" w:sz="0" w:space="0" w:color="auto"/>
        <w:bottom w:val="none" w:sz="0" w:space="0" w:color="auto"/>
        <w:right w:val="none" w:sz="0" w:space="0" w:color="auto"/>
      </w:divBdr>
    </w:div>
    <w:div w:id="25450699">
      <w:bodyDiv w:val="1"/>
      <w:marLeft w:val="0"/>
      <w:marRight w:val="0"/>
      <w:marTop w:val="0"/>
      <w:marBottom w:val="0"/>
      <w:divBdr>
        <w:top w:val="none" w:sz="0" w:space="0" w:color="auto"/>
        <w:left w:val="none" w:sz="0" w:space="0" w:color="auto"/>
        <w:bottom w:val="none" w:sz="0" w:space="0" w:color="auto"/>
        <w:right w:val="none" w:sz="0" w:space="0" w:color="auto"/>
      </w:divBdr>
    </w:div>
    <w:div w:id="60907335">
      <w:bodyDiv w:val="1"/>
      <w:marLeft w:val="0"/>
      <w:marRight w:val="0"/>
      <w:marTop w:val="0"/>
      <w:marBottom w:val="0"/>
      <w:divBdr>
        <w:top w:val="none" w:sz="0" w:space="0" w:color="auto"/>
        <w:left w:val="none" w:sz="0" w:space="0" w:color="auto"/>
        <w:bottom w:val="none" w:sz="0" w:space="0" w:color="auto"/>
        <w:right w:val="none" w:sz="0" w:space="0" w:color="auto"/>
      </w:divBdr>
    </w:div>
    <w:div w:id="65540987">
      <w:bodyDiv w:val="1"/>
      <w:marLeft w:val="0"/>
      <w:marRight w:val="0"/>
      <w:marTop w:val="0"/>
      <w:marBottom w:val="0"/>
      <w:divBdr>
        <w:top w:val="none" w:sz="0" w:space="0" w:color="auto"/>
        <w:left w:val="none" w:sz="0" w:space="0" w:color="auto"/>
        <w:bottom w:val="none" w:sz="0" w:space="0" w:color="auto"/>
        <w:right w:val="none" w:sz="0" w:space="0" w:color="auto"/>
      </w:divBdr>
    </w:div>
    <w:div w:id="77597505">
      <w:bodyDiv w:val="1"/>
      <w:marLeft w:val="0"/>
      <w:marRight w:val="0"/>
      <w:marTop w:val="0"/>
      <w:marBottom w:val="0"/>
      <w:divBdr>
        <w:top w:val="none" w:sz="0" w:space="0" w:color="auto"/>
        <w:left w:val="none" w:sz="0" w:space="0" w:color="auto"/>
        <w:bottom w:val="none" w:sz="0" w:space="0" w:color="auto"/>
        <w:right w:val="none" w:sz="0" w:space="0" w:color="auto"/>
      </w:divBdr>
    </w:div>
    <w:div w:id="96368357">
      <w:bodyDiv w:val="1"/>
      <w:marLeft w:val="0"/>
      <w:marRight w:val="0"/>
      <w:marTop w:val="0"/>
      <w:marBottom w:val="0"/>
      <w:divBdr>
        <w:top w:val="none" w:sz="0" w:space="0" w:color="auto"/>
        <w:left w:val="none" w:sz="0" w:space="0" w:color="auto"/>
        <w:bottom w:val="none" w:sz="0" w:space="0" w:color="auto"/>
        <w:right w:val="none" w:sz="0" w:space="0" w:color="auto"/>
      </w:divBdr>
    </w:div>
    <w:div w:id="109052831">
      <w:bodyDiv w:val="1"/>
      <w:marLeft w:val="0"/>
      <w:marRight w:val="0"/>
      <w:marTop w:val="0"/>
      <w:marBottom w:val="0"/>
      <w:divBdr>
        <w:top w:val="none" w:sz="0" w:space="0" w:color="auto"/>
        <w:left w:val="none" w:sz="0" w:space="0" w:color="auto"/>
        <w:bottom w:val="none" w:sz="0" w:space="0" w:color="auto"/>
        <w:right w:val="none" w:sz="0" w:space="0" w:color="auto"/>
      </w:divBdr>
    </w:div>
    <w:div w:id="151987304">
      <w:bodyDiv w:val="1"/>
      <w:marLeft w:val="0"/>
      <w:marRight w:val="0"/>
      <w:marTop w:val="0"/>
      <w:marBottom w:val="0"/>
      <w:divBdr>
        <w:top w:val="none" w:sz="0" w:space="0" w:color="auto"/>
        <w:left w:val="none" w:sz="0" w:space="0" w:color="auto"/>
        <w:bottom w:val="none" w:sz="0" w:space="0" w:color="auto"/>
        <w:right w:val="none" w:sz="0" w:space="0" w:color="auto"/>
      </w:divBdr>
    </w:div>
    <w:div w:id="182788906">
      <w:bodyDiv w:val="1"/>
      <w:marLeft w:val="0"/>
      <w:marRight w:val="0"/>
      <w:marTop w:val="0"/>
      <w:marBottom w:val="0"/>
      <w:divBdr>
        <w:top w:val="none" w:sz="0" w:space="0" w:color="auto"/>
        <w:left w:val="none" w:sz="0" w:space="0" w:color="auto"/>
        <w:bottom w:val="none" w:sz="0" w:space="0" w:color="auto"/>
        <w:right w:val="none" w:sz="0" w:space="0" w:color="auto"/>
      </w:divBdr>
    </w:div>
    <w:div w:id="192236526">
      <w:bodyDiv w:val="1"/>
      <w:marLeft w:val="0"/>
      <w:marRight w:val="0"/>
      <w:marTop w:val="0"/>
      <w:marBottom w:val="0"/>
      <w:divBdr>
        <w:top w:val="none" w:sz="0" w:space="0" w:color="auto"/>
        <w:left w:val="none" w:sz="0" w:space="0" w:color="auto"/>
        <w:bottom w:val="none" w:sz="0" w:space="0" w:color="auto"/>
        <w:right w:val="none" w:sz="0" w:space="0" w:color="auto"/>
      </w:divBdr>
    </w:div>
    <w:div w:id="238490960">
      <w:bodyDiv w:val="1"/>
      <w:marLeft w:val="0"/>
      <w:marRight w:val="0"/>
      <w:marTop w:val="0"/>
      <w:marBottom w:val="0"/>
      <w:divBdr>
        <w:top w:val="none" w:sz="0" w:space="0" w:color="auto"/>
        <w:left w:val="none" w:sz="0" w:space="0" w:color="auto"/>
        <w:bottom w:val="none" w:sz="0" w:space="0" w:color="auto"/>
        <w:right w:val="none" w:sz="0" w:space="0" w:color="auto"/>
      </w:divBdr>
    </w:div>
    <w:div w:id="252863326">
      <w:bodyDiv w:val="1"/>
      <w:marLeft w:val="0"/>
      <w:marRight w:val="0"/>
      <w:marTop w:val="0"/>
      <w:marBottom w:val="0"/>
      <w:divBdr>
        <w:top w:val="none" w:sz="0" w:space="0" w:color="auto"/>
        <w:left w:val="none" w:sz="0" w:space="0" w:color="auto"/>
        <w:bottom w:val="none" w:sz="0" w:space="0" w:color="auto"/>
        <w:right w:val="none" w:sz="0" w:space="0" w:color="auto"/>
      </w:divBdr>
    </w:div>
    <w:div w:id="268317316">
      <w:bodyDiv w:val="1"/>
      <w:marLeft w:val="0"/>
      <w:marRight w:val="0"/>
      <w:marTop w:val="0"/>
      <w:marBottom w:val="0"/>
      <w:divBdr>
        <w:top w:val="none" w:sz="0" w:space="0" w:color="auto"/>
        <w:left w:val="none" w:sz="0" w:space="0" w:color="auto"/>
        <w:bottom w:val="none" w:sz="0" w:space="0" w:color="auto"/>
        <w:right w:val="none" w:sz="0" w:space="0" w:color="auto"/>
      </w:divBdr>
    </w:div>
    <w:div w:id="281621124">
      <w:bodyDiv w:val="1"/>
      <w:marLeft w:val="0"/>
      <w:marRight w:val="0"/>
      <w:marTop w:val="0"/>
      <w:marBottom w:val="0"/>
      <w:divBdr>
        <w:top w:val="none" w:sz="0" w:space="0" w:color="auto"/>
        <w:left w:val="none" w:sz="0" w:space="0" w:color="auto"/>
        <w:bottom w:val="none" w:sz="0" w:space="0" w:color="auto"/>
        <w:right w:val="none" w:sz="0" w:space="0" w:color="auto"/>
      </w:divBdr>
    </w:div>
    <w:div w:id="321399831">
      <w:bodyDiv w:val="1"/>
      <w:marLeft w:val="0"/>
      <w:marRight w:val="0"/>
      <w:marTop w:val="0"/>
      <w:marBottom w:val="0"/>
      <w:divBdr>
        <w:top w:val="none" w:sz="0" w:space="0" w:color="auto"/>
        <w:left w:val="none" w:sz="0" w:space="0" w:color="auto"/>
        <w:bottom w:val="none" w:sz="0" w:space="0" w:color="auto"/>
        <w:right w:val="none" w:sz="0" w:space="0" w:color="auto"/>
      </w:divBdr>
    </w:div>
    <w:div w:id="324549188">
      <w:bodyDiv w:val="1"/>
      <w:marLeft w:val="0"/>
      <w:marRight w:val="0"/>
      <w:marTop w:val="0"/>
      <w:marBottom w:val="0"/>
      <w:divBdr>
        <w:top w:val="none" w:sz="0" w:space="0" w:color="auto"/>
        <w:left w:val="none" w:sz="0" w:space="0" w:color="auto"/>
        <w:bottom w:val="none" w:sz="0" w:space="0" w:color="auto"/>
        <w:right w:val="none" w:sz="0" w:space="0" w:color="auto"/>
      </w:divBdr>
    </w:div>
    <w:div w:id="328871008">
      <w:bodyDiv w:val="1"/>
      <w:marLeft w:val="0"/>
      <w:marRight w:val="0"/>
      <w:marTop w:val="0"/>
      <w:marBottom w:val="0"/>
      <w:divBdr>
        <w:top w:val="none" w:sz="0" w:space="0" w:color="auto"/>
        <w:left w:val="none" w:sz="0" w:space="0" w:color="auto"/>
        <w:bottom w:val="none" w:sz="0" w:space="0" w:color="auto"/>
        <w:right w:val="none" w:sz="0" w:space="0" w:color="auto"/>
      </w:divBdr>
    </w:div>
    <w:div w:id="336857708">
      <w:bodyDiv w:val="1"/>
      <w:marLeft w:val="0"/>
      <w:marRight w:val="0"/>
      <w:marTop w:val="0"/>
      <w:marBottom w:val="0"/>
      <w:divBdr>
        <w:top w:val="none" w:sz="0" w:space="0" w:color="auto"/>
        <w:left w:val="none" w:sz="0" w:space="0" w:color="auto"/>
        <w:bottom w:val="none" w:sz="0" w:space="0" w:color="auto"/>
        <w:right w:val="none" w:sz="0" w:space="0" w:color="auto"/>
      </w:divBdr>
    </w:div>
    <w:div w:id="343702311">
      <w:bodyDiv w:val="1"/>
      <w:marLeft w:val="0"/>
      <w:marRight w:val="0"/>
      <w:marTop w:val="0"/>
      <w:marBottom w:val="0"/>
      <w:divBdr>
        <w:top w:val="none" w:sz="0" w:space="0" w:color="auto"/>
        <w:left w:val="none" w:sz="0" w:space="0" w:color="auto"/>
        <w:bottom w:val="none" w:sz="0" w:space="0" w:color="auto"/>
        <w:right w:val="none" w:sz="0" w:space="0" w:color="auto"/>
      </w:divBdr>
    </w:div>
    <w:div w:id="346948759">
      <w:bodyDiv w:val="1"/>
      <w:marLeft w:val="0"/>
      <w:marRight w:val="0"/>
      <w:marTop w:val="0"/>
      <w:marBottom w:val="0"/>
      <w:divBdr>
        <w:top w:val="none" w:sz="0" w:space="0" w:color="auto"/>
        <w:left w:val="none" w:sz="0" w:space="0" w:color="auto"/>
        <w:bottom w:val="none" w:sz="0" w:space="0" w:color="auto"/>
        <w:right w:val="none" w:sz="0" w:space="0" w:color="auto"/>
      </w:divBdr>
    </w:div>
    <w:div w:id="355010749">
      <w:bodyDiv w:val="1"/>
      <w:marLeft w:val="0"/>
      <w:marRight w:val="0"/>
      <w:marTop w:val="0"/>
      <w:marBottom w:val="0"/>
      <w:divBdr>
        <w:top w:val="none" w:sz="0" w:space="0" w:color="auto"/>
        <w:left w:val="none" w:sz="0" w:space="0" w:color="auto"/>
        <w:bottom w:val="none" w:sz="0" w:space="0" w:color="auto"/>
        <w:right w:val="none" w:sz="0" w:space="0" w:color="auto"/>
      </w:divBdr>
    </w:div>
    <w:div w:id="399518522">
      <w:bodyDiv w:val="1"/>
      <w:marLeft w:val="0"/>
      <w:marRight w:val="0"/>
      <w:marTop w:val="0"/>
      <w:marBottom w:val="0"/>
      <w:divBdr>
        <w:top w:val="none" w:sz="0" w:space="0" w:color="auto"/>
        <w:left w:val="none" w:sz="0" w:space="0" w:color="auto"/>
        <w:bottom w:val="none" w:sz="0" w:space="0" w:color="auto"/>
        <w:right w:val="none" w:sz="0" w:space="0" w:color="auto"/>
      </w:divBdr>
    </w:div>
    <w:div w:id="402411216">
      <w:bodyDiv w:val="1"/>
      <w:marLeft w:val="0"/>
      <w:marRight w:val="0"/>
      <w:marTop w:val="0"/>
      <w:marBottom w:val="0"/>
      <w:divBdr>
        <w:top w:val="none" w:sz="0" w:space="0" w:color="auto"/>
        <w:left w:val="none" w:sz="0" w:space="0" w:color="auto"/>
        <w:bottom w:val="none" w:sz="0" w:space="0" w:color="auto"/>
        <w:right w:val="none" w:sz="0" w:space="0" w:color="auto"/>
      </w:divBdr>
    </w:div>
    <w:div w:id="404961319">
      <w:bodyDiv w:val="1"/>
      <w:marLeft w:val="0"/>
      <w:marRight w:val="0"/>
      <w:marTop w:val="0"/>
      <w:marBottom w:val="0"/>
      <w:divBdr>
        <w:top w:val="none" w:sz="0" w:space="0" w:color="auto"/>
        <w:left w:val="none" w:sz="0" w:space="0" w:color="auto"/>
        <w:bottom w:val="none" w:sz="0" w:space="0" w:color="auto"/>
        <w:right w:val="none" w:sz="0" w:space="0" w:color="auto"/>
      </w:divBdr>
    </w:div>
    <w:div w:id="440031856">
      <w:bodyDiv w:val="1"/>
      <w:marLeft w:val="0"/>
      <w:marRight w:val="0"/>
      <w:marTop w:val="0"/>
      <w:marBottom w:val="0"/>
      <w:divBdr>
        <w:top w:val="none" w:sz="0" w:space="0" w:color="auto"/>
        <w:left w:val="none" w:sz="0" w:space="0" w:color="auto"/>
        <w:bottom w:val="none" w:sz="0" w:space="0" w:color="auto"/>
        <w:right w:val="none" w:sz="0" w:space="0" w:color="auto"/>
      </w:divBdr>
    </w:div>
    <w:div w:id="445127867">
      <w:bodyDiv w:val="1"/>
      <w:marLeft w:val="0"/>
      <w:marRight w:val="0"/>
      <w:marTop w:val="0"/>
      <w:marBottom w:val="0"/>
      <w:divBdr>
        <w:top w:val="none" w:sz="0" w:space="0" w:color="auto"/>
        <w:left w:val="none" w:sz="0" w:space="0" w:color="auto"/>
        <w:bottom w:val="none" w:sz="0" w:space="0" w:color="auto"/>
        <w:right w:val="none" w:sz="0" w:space="0" w:color="auto"/>
      </w:divBdr>
    </w:div>
    <w:div w:id="455683129">
      <w:bodyDiv w:val="1"/>
      <w:marLeft w:val="0"/>
      <w:marRight w:val="0"/>
      <w:marTop w:val="0"/>
      <w:marBottom w:val="0"/>
      <w:divBdr>
        <w:top w:val="none" w:sz="0" w:space="0" w:color="auto"/>
        <w:left w:val="none" w:sz="0" w:space="0" w:color="auto"/>
        <w:bottom w:val="none" w:sz="0" w:space="0" w:color="auto"/>
        <w:right w:val="none" w:sz="0" w:space="0" w:color="auto"/>
      </w:divBdr>
    </w:div>
    <w:div w:id="494344429">
      <w:bodyDiv w:val="1"/>
      <w:marLeft w:val="0"/>
      <w:marRight w:val="0"/>
      <w:marTop w:val="0"/>
      <w:marBottom w:val="0"/>
      <w:divBdr>
        <w:top w:val="none" w:sz="0" w:space="0" w:color="auto"/>
        <w:left w:val="none" w:sz="0" w:space="0" w:color="auto"/>
        <w:bottom w:val="none" w:sz="0" w:space="0" w:color="auto"/>
        <w:right w:val="none" w:sz="0" w:space="0" w:color="auto"/>
      </w:divBdr>
    </w:div>
    <w:div w:id="502625954">
      <w:bodyDiv w:val="1"/>
      <w:marLeft w:val="0"/>
      <w:marRight w:val="0"/>
      <w:marTop w:val="0"/>
      <w:marBottom w:val="0"/>
      <w:divBdr>
        <w:top w:val="none" w:sz="0" w:space="0" w:color="auto"/>
        <w:left w:val="none" w:sz="0" w:space="0" w:color="auto"/>
        <w:bottom w:val="none" w:sz="0" w:space="0" w:color="auto"/>
        <w:right w:val="none" w:sz="0" w:space="0" w:color="auto"/>
      </w:divBdr>
    </w:div>
    <w:div w:id="507528801">
      <w:bodyDiv w:val="1"/>
      <w:marLeft w:val="0"/>
      <w:marRight w:val="0"/>
      <w:marTop w:val="0"/>
      <w:marBottom w:val="0"/>
      <w:divBdr>
        <w:top w:val="none" w:sz="0" w:space="0" w:color="auto"/>
        <w:left w:val="none" w:sz="0" w:space="0" w:color="auto"/>
        <w:bottom w:val="none" w:sz="0" w:space="0" w:color="auto"/>
        <w:right w:val="none" w:sz="0" w:space="0" w:color="auto"/>
      </w:divBdr>
    </w:div>
    <w:div w:id="510920063">
      <w:bodyDiv w:val="1"/>
      <w:marLeft w:val="0"/>
      <w:marRight w:val="0"/>
      <w:marTop w:val="0"/>
      <w:marBottom w:val="0"/>
      <w:divBdr>
        <w:top w:val="none" w:sz="0" w:space="0" w:color="auto"/>
        <w:left w:val="none" w:sz="0" w:space="0" w:color="auto"/>
        <w:bottom w:val="none" w:sz="0" w:space="0" w:color="auto"/>
        <w:right w:val="none" w:sz="0" w:space="0" w:color="auto"/>
      </w:divBdr>
    </w:div>
    <w:div w:id="512379358">
      <w:bodyDiv w:val="1"/>
      <w:marLeft w:val="0"/>
      <w:marRight w:val="0"/>
      <w:marTop w:val="0"/>
      <w:marBottom w:val="0"/>
      <w:divBdr>
        <w:top w:val="none" w:sz="0" w:space="0" w:color="auto"/>
        <w:left w:val="none" w:sz="0" w:space="0" w:color="auto"/>
        <w:bottom w:val="none" w:sz="0" w:space="0" w:color="auto"/>
        <w:right w:val="none" w:sz="0" w:space="0" w:color="auto"/>
      </w:divBdr>
    </w:div>
    <w:div w:id="518347856">
      <w:bodyDiv w:val="1"/>
      <w:marLeft w:val="0"/>
      <w:marRight w:val="0"/>
      <w:marTop w:val="0"/>
      <w:marBottom w:val="0"/>
      <w:divBdr>
        <w:top w:val="none" w:sz="0" w:space="0" w:color="auto"/>
        <w:left w:val="none" w:sz="0" w:space="0" w:color="auto"/>
        <w:bottom w:val="none" w:sz="0" w:space="0" w:color="auto"/>
        <w:right w:val="none" w:sz="0" w:space="0" w:color="auto"/>
      </w:divBdr>
    </w:div>
    <w:div w:id="529491999">
      <w:bodyDiv w:val="1"/>
      <w:marLeft w:val="0"/>
      <w:marRight w:val="0"/>
      <w:marTop w:val="0"/>
      <w:marBottom w:val="0"/>
      <w:divBdr>
        <w:top w:val="none" w:sz="0" w:space="0" w:color="auto"/>
        <w:left w:val="none" w:sz="0" w:space="0" w:color="auto"/>
        <w:bottom w:val="none" w:sz="0" w:space="0" w:color="auto"/>
        <w:right w:val="none" w:sz="0" w:space="0" w:color="auto"/>
      </w:divBdr>
    </w:div>
    <w:div w:id="530843652">
      <w:bodyDiv w:val="1"/>
      <w:marLeft w:val="0"/>
      <w:marRight w:val="0"/>
      <w:marTop w:val="0"/>
      <w:marBottom w:val="0"/>
      <w:divBdr>
        <w:top w:val="none" w:sz="0" w:space="0" w:color="auto"/>
        <w:left w:val="none" w:sz="0" w:space="0" w:color="auto"/>
        <w:bottom w:val="none" w:sz="0" w:space="0" w:color="auto"/>
        <w:right w:val="none" w:sz="0" w:space="0" w:color="auto"/>
      </w:divBdr>
    </w:div>
    <w:div w:id="530919399">
      <w:bodyDiv w:val="1"/>
      <w:marLeft w:val="0"/>
      <w:marRight w:val="0"/>
      <w:marTop w:val="0"/>
      <w:marBottom w:val="0"/>
      <w:divBdr>
        <w:top w:val="none" w:sz="0" w:space="0" w:color="auto"/>
        <w:left w:val="none" w:sz="0" w:space="0" w:color="auto"/>
        <w:bottom w:val="none" w:sz="0" w:space="0" w:color="auto"/>
        <w:right w:val="none" w:sz="0" w:space="0" w:color="auto"/>
      </w:divBdr>
    </w:div>
    <w:div w:id="545608944">
      <w:bodyDiv w:val="1"/>
      <w:marLeft w:val="0"/>
      <w:marRight w:val="0"/>
      <w:marTop w:val="0"/>
      <w:marBottom w:val="0"/>
      <w:divBdr>
        <w:top w:val="none" w:sz="0" w:space="0" w:color="auto"/>
        <w:left w:val="none" w:sz="0" w:space="0" w:color="auto"/>
        <w:bottom w:val="none" w:sz="0" w:space="0" w:color="auto"/>
        <w:right w:val="none" w:sz="0" w:space="0" w:color="auto"/>
      </w:divBdr>
    </w:div>
    <w:div w:id="546139978">
      <w:bodyDiv w:val="1"/>
      <w:marLeft w:val="0"/>
      <w:marRight w:val="0"/>
      <w:marTop w:val="0"/>
      <w:marBottom w:val="0"/>
      <w:divBdr>
        <w:top w:val="none" w:sz="0" w:space="0" w:color="auto"/>
        <w:left w:val="none" w:sz="0" w:space="0" w:color="auto"/>
        <w:bottom w:val="none" w:sz="0" w:space="0" w:color="auto"/>
        <w:right w:val="none" w:sz="0" w:space="0" w:color="auto"/>
      </w:divBdr>
    </w:div>
    <w:div w:id="571739982">
      <w:bodyDiv w:val="1"/>
      <w:marLeft w:val="0"/>
      <w:marRight w:val="0"/>
      <w:marTop w:val="0"/>
      <w:marBottom w:val="0"/>
      <w:divBdr>
        <w:top w:val="none" w:sz="0" w:space="0" w:color="auto"/>
        <w:left w:val="none" w:sz="0" w:space="0" w:color="auto"/>
        <w:bottom w:val="none" w:sz="0" w:space="0" w:color="auto"/>
        <w:right w:val="none" w:sz="0" w:space="0" w:color="auto"/>
      </w:divBdr>
    </w:div>
    <w:div w:id="579413412">
      <w:bodyDiv w:val="1"/>
      <w:marLeft w:val="0"/>
      <w:marRight w:val="0"/>
      <w:marTop w:val="0"/>
      <w:marBottom w:val="0"/>
      <w:divBdr>
        <w:top w:val="none" w:sz="0" w:space="0" w:color="auto"/>
        <w:left w:val="none" w:sz="0" w:space="0" w:color="auto"/>
        <w:bottom w:val="none" w:sz="0" w:space="0" w:color="auto"/>
        <w:right w:val="none" w:sz="0" w:space="0" w:color="auto"/>
      </w:divBdr>
    </w:div>
    <w:div w:id="600843444">
      <w:bodyDiv w:val="1"/>
      <w:marLeft w:val="0"/>
      <w:marRight w:val="0"/>
      <w:marTop w:val="0"/>
      <w:marBottom w:val="0"/>
      <w:divBdr>
        <w:top w:val="none" w:sz="0" w:space="0" w:color="auto"/>
        <w:left w:val="none" w:sz="0" w:space="0" w:color="auto"/>
        <w:bottom w:val="none" w:sz="0" w:space="0" w:color="auto"/>
        <w:right w:val="none" w:sz="0" w:space="0" w:color="auto"/>
      </w:divBdr>
    </w:div>
    <w:div w:id="606699151">
      <w:bodyDiv w:val="1"/>
      <w:marLeft w:val="0"/>
      <w:marRight w:val="0"/>
      <w:marTop w:val="0"/>
      <w:marBottom w:val="0"/>
      <w:divBdr>
        <w:top w:val="none" w:sz="0" w:space="0" w:color="auto"/>
        <w:left w:val="none" w:sz="0" w:space="0" w:color="auto"/>
        <w:bottom w:val="none" w:sz="0" w:space="0" w:color="auto"/>
        <w:right w:val="none" w:sz="0" w:space="0" w:color="auto"/>
      </w:divBdr>
    </w:div>
    <w:div w:id="636103695">
      <w:bodyDiv w:val="1"/>
      <w:marLeft w:val="0"/>
      <w:marRight w:val="0"/>
      <w:marTop w:val="0"/>
      <w:marBottom w:val="0"/>
      <w:divBdr>
        <w:top w:val="none" w:sz="0" w:space="0" w:color="auto"/>
        <w:left w:val="none" w:sz="0" w:space="0" w:color="auto"/>
        <w:bottom w:val="none" w:sz="0" w:space="0" w:color="auto"/>
        <w:right w:val="none" w:sz="0" w:space="0" w:color="auto"/>
      </w:divBdr>
    </w:div>
    <w:div w:id="656882832">
      <w:bodyDiv w:val="1"/>
      <w:marLeft w:val="0"/>
      <w:marRight w:val="0"/>
      <w:marTop w:val="0"/>
      <w:marBottom w:val="0"/>
      <w:divBdr>
        <w:top w:val="none" w:sz="0" w:space="0" w:color="auto"/>
        <w:left w:val="none" w:sz="0" w:space="0" w:color="auto"/>
        <w:bottom w:val="none" w:sz="0" w:space="0" w:color="auto"/>
        <w:right w:val="none" w:sz="0" w:space="0" w:color="auto"/>
      </w:divBdr>
    </w:div>
    <w:div w:id="682631476">
      <w:bodyDiv w:val="1"/>
      <w:marLeft w:val="0"/>
      <w:marRight w:val="0"/>
      <w:marTop w:val="0"/>
      <w:marBottom w:val="0"/>
      <w:divBdr>
        <w:top w:val="none" w:sz="0" w:space="0" w:color="auto"/>
        <w:left w:val="none" w:sz="0" w:space="0" w:color="auto"/>
        <w:bottom w:val="none" w:sz="0" w:space="0" w:color="auto"/>
        <w:right w:val="none" w:sz="0" w:space="0" w:color="auto"/>
      </w:divBdr>
    </w:div>
    <w:div w:id="692463586">
      <w:bodyDiv w:val="1"/>
      <w:marLeft w:val="0"/>
      <w:marRight w:val="0"/>
      <w:marTop w:val="0"/>
      <w:marBottom w:val="0"/>
      <w:divBdr>
        <w:top w:val="none" w:sz="0" w:space="0" w:color="auto"/>
        <w:left w:val="none" w:sz="0" w:space="0" w:color="auto"/>
        <w:bottom w:val="none" w:sz="0" w:space="0" w:color="auto"/>
        <w:right w:val="none" w:sz="0" w:space="0" w:color="auto"/>
      </w:divBdr>
    </w:div>
    <w:div w:id="718476914">
      <w:bodyDiv w:val="1"/>
      <w:marLeft w:val="0"/>
      <w:marRight w:val="0"/>
      <w:marTop w:val="0"/>
      <w:marBottom w:val="0"/>
      <w:divBdr>
        <w:top w:val="none" w:sz="0" w:space="0" w:color="auto"/>
        <w:left w:val="none" w:sz="0" w:space="0" w:color="auto"/>
        <w:bottom w:val="none" w:sz="0" w:space="0" w:color="auto"/>
        <w:right w:val="none" w:sz="0" w:space="0" w:color="auto"/>
      </w:divBdr>
    </w:div>
    <w:div w:id="735858169">
      <w:bodyDiv w:val="1"/>
      <w:marLeft w:val="0"/>
      <w:marRight w:val="0"/>
      <w:marTop w:val="0"/>
      <w:marBottom w:val="0"/>
      <w:divBdr>
        <w:top w:val="none" w:sz="0" w:space="0" w:color="auto"/>
        <w:left w:val="none" w:sz="0" w:space="0" w:color="auto"/>
        <w:bottom w:val="none" w:sz="0" w:space="0" w:color="auto"/>
        <w:right w:val="none" w:sz="0" w:space="0" w:color="auto"/>
      </w:divBdr>
    </w:div>
    <w:div w:id="787043044">
      <w:bodyDiv w:val="1"/>
      <w:marLeft w:val="0"/>
      <w:marRight w:val="0"/>
      <w:marTop w:val="0"/>
      <w:marBottom w:val="0"/>
      <w:divBdr>
        <w:top w:val="none" w:sz="0" w:space="0" w:color="auto"/>
        <w:left w:val="none" w:sz="0" w:space="0" w:color="auto"/>
        <w:bottom w:val="none" w:sz="0" w:space="0" w:color="auto"/>
        <w:right w:val="none" w:sz="0" w:space="0" w:color="auto"/>
      </w:divBdr>
    </w:div>
    <w:div w:id="801268887">
      <w:bodyDiv w:val="1"/>
      <w:marLeft w:val="0"/>
      <w:marRight w:val="0"/>
      <w:marTop w:val="0"/>
      <w:marBottom w:val="0"/>
      <w:divBdr>
        <w:top w:val="none" w:sz="0" w:space="0" w:color="auto"/>
        <w:left w:val="none" w:sz="0" w:space="0" w:color="auto"/>
        <w:bottom w:val="none" w:sz="0" w:space="0" w:color="auto"/>
        <w:right w:val="none" w:sz="0" w:space="0" w:color="auto"/>
      </w:divBdr>
    </w:div>
    <w:div w:id="813841151">
      <w:bodyDiv w:val="1"/>
      <w:marLeft w:val="0"/>
      <w:marRight w:val="0"/>
      <w:marTop w:val="0"/>
      <w:marBottom w:val="0"/>
      <w:divBdr>
        <w:top w:val="none" w:sz="0" w:space="0" w:color="auto"/>
        <w:left w:val="none" w:sz="0" w:space="0" w:color="auto"/>
        <w:bottom w:val="none" w:sz="0" w:space="0" w:color="auto"/>
        <w:right w:val="none" w:sz="0" w:space="0" w:color="auto"/>
      </w:divBdr>
    </w:div>
    <w:div w:id="848108214">
      <w:bodyDiv w:val="1"/>
      <w:marLeft w:val="0"/>
      <w:marRight w:val="0"/>
      <w:marTop w:val="0"/>
      <w:marBottom w:val="0"/>
      <w:divBdr>
        <w:top w:val="none" w:sz="0" w:space="0" w:color="auto"/>
        <w:left w:val="none" w:sz="0" w:space="0" w:color="auto"/>
        <w:bottom w:val="none" w:sz="0" w:space="0" w:color="auto"/>
        <w:right w:val="none" w:sz="0" w:space="0" w:color="auto"/>
      </w:divBdr>
    </w:div>
    <w:div w:id="856043788">
      <w:bodyDiv w:val="1"/>
      <w:marLeft w:val="0"/>
      <w:marRight w:val="0"/>
      <w:marTop w:val="0"/>
      <w:marBottom w:val="0"/>
      <w:divBdr>
        <w:top w:val="none" w:sz="0" w:space="0" w:color="auto"/>
        <w:left w:val="none" w:sz="0" w:space="0" w:color="auto"/>
        <w:bottom w:val="none" w:sz="0" w:space="0" w:color="auto"/>
        <w:right w:val="none" w:sz="0" w:space="0" w:color="auto"/>
      </w:divBdr>
    </w:div>
    <w:div w:id="860044635">
      <w:bodyDiv w:val="1"/>
      <w:marLeft w:val="0"/>
      <w:marRight w:val="0"/>
      <w:marTop w:val="0"/>
      <w:marBottom w:val="0"/>
      <w:divBdr>
        <w:top w:val="none" w:sz="0" w:space="0" w:color="auto"/>
        <w:left w:val="none" w:sz="0" w:space="0" w:color="auto"/>
        <w:bottom w:val="none" w:sz="0" w:space="0" w:color="auto"/>
        <w:right w:val="none" w:sz="0" w:space="0" w:color="auto"/>
      </w:divBdr>
    </w:div>
    <w:div w:id="863595291">
      <w:bodyDiv w:val="1"/>
      <w:marLeft w:val="0"/>
      <w:marRight w:val="0"/>
      <w:marTop w:val="0"/>
      <w:marBottom w:val="0"/>
      <w:divBdr>
        <w:top w:val="none" w:sz="0" w:space="0" w:color="auto"/>
        <w:left w:val="none" w:sz="0" w:space="0" w:color="auto"/>
        <w:bottom w:val="none" w:sz="0" w:space="0" w:color="auto"/>
        <w:right w:val="none" w:sz="0" w:space="0" w:color="auto"/>
      </w:divBdr>
    </w:div>
    <w:div w:id="881477788">
      <w:bodyDiv w:val="1"/>
      <w:marLeft w:val="0"/>
      <w:marRight w:val="0"/>
      <w:marTop w:val="0"/>
      <w:marBottom w:val="0"/>
      <w:divBdr>
        <w:top w:val="none" w:sz="0" w:space="0" w:color="auto"/>
        <w:left w:val="none" w:sz="0" w:space="0" w:color="auto"/>
        <w:bottom w:val="none" w:sz="0" w:space="0" w:color="auto"/>
        <w:right w:val="none" w:sz="0" w:space="0" w:color="auto"/>
      </w:divBdr>
    </w:div>
    <w:div w:id="913011549">
      <w:bodyDiv w:val="1"/>
      <w:marLeft w:val="0"/>
      <w:marRight w:val="0"/>
      <w:marTop w:val="0"/>
      <w:marBottom w:val="0"/>
      <w:divBdr>
        <w:top w:val="none" w:sz="0" w:space="0" w:color="auto"/>
        <w:left w:val="none" w:sz="0" w:space="0" w:color="auto"/>
        <w:bottom w:val="none" w:sz="0" w:space="0" w:color="auto"/>
        <w:right w:val="none" w:sz="0" w:space="0" w:color="auto"/>
      </w:divBdr>
    </w:div>
    <w:div w:id="920413005">
      <w:bodyDiv w:val="1"/>
      <w:marLeft w:val="0"/>
      <w:marRight w:val="0"/>
      <w:marTop w:val="0"/>
      <w:marBottom w:val="0"/>
      <w:divBdr>
        <w:top w:val="none" w:sz="0" w:space="0" w:color="auto"/>
        <w:left w:val="none" w:sz="0" w:space="0" w:color="auto"/>
        <w:bottom w:val="none" w:sz="0" w:space="0" w:color="auto"/>
        <w:right w:val="none" w:sz="0" w:space="0" w:color="auto"/>
      </w:divBdr>
    </w:div>
    <w:div w:id="928581291">
      <w:bodyDiv w:val="1"/>
      <w:marLeft w:val="0"/>
      <w:marRight w:val="0"/>
      <w:marTop w:val="0"/>
      <w:marBottom w:val="0"/>
      <w:divBdr>
        <w:top w:val="none" w:sz="0" w:space="0" w:color="auto"/>
        <w:left w:val="none" w:sz="0" w:space="0" w:color="auto"/>
        <w:bottom w:val="none" w:sz="0" w:space="0" w:color="auto"/>
        <w:right w:val="none" w:sz="0" w:space="0" w:color="auto"/>
      </w:divBdr>
    </w:div>
    <w:div w:id="954406721">
      <w:bodyDiv w:val="1"/>
      <w:marLeft w:val="0"/>
      <w:marRight w:val="0"/>
      <w:marTop w:val="0"/>
      <w:marBottom w:val="0"/>
      <w:divBdr>
        <w:top w:val="none" w:sz="0" w:space="0" w:color="auto"/>
        <w:left w:val="none" w:sz="0" w:space="0" w:color="auto"/>
        <w:bottom w:val="none" w:sz="0" w:space="0" w:color="auto"/>
        <w:right w:val="none" w:sz="0" w:space="0" w:color="auto"/>
      </w:divBdr>
    </w:div>
    <w:div w:id="959650785">
      <w:bodyDiv w:val="1"/>
      <w:marLeft w:val="0"/>
      <w:marRight w:val="0"/>
      <w:marTop w:val="0"/>
      <w:marBottom w:val="0"/>
      <w:divBdr>
        <w:top w:val="none" w:sz="0" w:space="0" w:color="auto"/>
        <w:left w:val="none" w:sz="0" w:space="0" w:color="auto"/>
        <w:bottom w:val="none" w:sz="0" w:space="0" w:color="auto"/>
        <w:right w:val="none" w:sz="0" w:space="0" w:color="auto"/>
      </w:divBdr>
    </w:div>
    <w:div w:id="964191470">
      <w:bodyDiv w:val="1"/>
      <w:marLeft w:val="0"/>
      <w:marRight w:val="0"/>
      <w:marTop w:val="0"/>
      <w:marBottom w:val="0"/>
      <w:divBdr>
        <w:top w:val="none" w:sz="0" w:space="0" w:color="auto"/>
        <w:left w:val="none" w:sz="0" w:space="0" w:color="auto"/>
        <w:bottom w:val="none" w:sz="0" w:space="0" w:color="auto"/>
        <w:right w:val="none" w:sz="0" w:space="0" w:color="auto"/>
      </w:divBdr>
    </w:div>
    <w:div w:id="971515638">
      <w:bodyDiv w:val="1"/>
      <w:marLeft w:val="0"/>
      <w:marRight w:val="0"/>
      <w:marTop w:val="0"/>
      <w:marBottom w:val="0"/>
      <w:divBdr>
        <w:top w:val="none" w:sz="0" w:space="0" w:color="auto"/>
        <w:left w:val="none" w:sz="0" w:space="0" w:color="auto"/>
        <w:bottom w:val="none" w:sz="0" w:space="0" w:color="auto"/>
        <w:right w:val="none" w:sz="0" w:space="0" w:color="auto"/>
      </w:divBdr>
    </w:div>
    <w:div w:id="987169871">
      <w:bodyDiv w:val="1"/>
      <w:marLeft w:val="0"/>
      <w:marRight w:val="0"/>
      <w:marTop w:val="0"/>
      <w:marBottom w:val="0"/>
      <w:divBdr>
        <w:top w:val="none" w:sz="0" w:space="0" w:color="auto"/>
        <w:left w:val="none" w:sz="0" w:space="0" w:color="auto"/>
        <w:bottom w:val="none" w:sz="0" w:space="0" w:color="auto"/>
        <w:right w:val="none" w:sz="0" w:space="0" w:color="auto"/>
      </w:divBdr>
    </w:div>
    <w:div w:id="995232612">
      <w:bodyDiv w:val="1"/>
      <w:marLeft w:val="0"/>
      <w:marRight w:val="0"/>
      <w:marTop w:val="0"/>
      <w:marBottom w:val="0"/>
      <w:divBdr>
        <w:top w:val="none" w:sz="0" w:space="0" w:color="auto"/>
        <w:left w:val="none" w:sz="0" w:space="0" w:color="auto"/>
        <w:bottom w:val="none" w:sz="0" w:space="0" w:color="auto"/>
        <w:right w:val="none" w:sz="0" w:space="0" w:color="auto"/>
      </w:divBdr>
    </w:div>
    <w:div w:id="997883041">
      <w:bodyDiv w:val="1"/>
      <w:marLeft w:val="0"/>
      <w:marRight w:val="0"/>
      <w:marTop w:val="0"/>
      <w:marBottom w:val="0"/>
      <w:divBdr>
        <w:top w:val="none" w:sz="0" w:space="0" w:color="auto"/>
        <w:left w:val="none" w:sz="0" w:space="0" w:color="auto"/>
        <w:bottom w:val="none" w:sz="0" w:space="0" w:color="auto"/>
        <w:right w:val="none" w:sz="0" w:space="0" w:color="auto"/>
      </w:divBdr>
    </w:div>
    <w:div w:id="1041904390">
      <w:bodyDiv w:val="1"/>
      <w:marLeft w:val="0"/>
      <w:marRight w:val="0"/>
      <w:marTop w:val="0"/>
      <w:marBottom w:val="0"/>
      <w:divBdr>
        <w:top w:val="none" w:sz="0" w:space="0" w:color="auto"/>
        <w:left w:val="none" w:sz="0" w:space="0" w:color="auto"/>
        <w:bottom w:val="none" w:sz="0" w:space="0" w:color="auto"/>
        <w:right w:val="none" w:sz="0" w:space="0" w:color="auto"/>
      </w:divBdr>
    </w:div>
    <w:div w:id="1056665215">
      <w:bodyDiv w:val="1"/>
      <w:marLeft w:val="0"/>
      <w:marRight w:val="0"/>
      <w:marTop w:val="0"/>
      <w:marBottom w:val="0"/>
      <w:divBdr>
        <w:top w:val="none" w:sz="0" w:space="0" w:color="auto"/>
        <w:left w:val="none" w:sz="0" w:space="0" w:color="auto"/>
        <w:bottom w:val="none" w:sz="0" w:space="0" w:color="auto"/>
        <w:right w:val="none" w:sz="0" w:space="0" w:color="auto"/>
      </w:divBdr>
    </w:div>
    <w:div w:id="1058935657">
      <w:bodyDiv w:val="1"/>
      <w:marLeft w:val="0"/>
      <w:marRight w:val="0"/>
      <w:marTop w:val="0"/>
      <w:marBottom w:val="0"/>
      <w:divBdr>
        <w:top w:val="none" w:sz="0" w:space="0" w:color="auto"/>
        <w:left w:val="none" w:sz="0" w:space="0" w:color="auto"/>
        <w:bottom w:val="none" w:sz="0" w:space="0" w:color="auto"/>
        <w:right w:val="none" w:sz="0" w:space="0" w:color="auto"/>
      </w:divBdr>
    </w:div>
    <w:div w:id="1059476251">
      <w:bodyDiv w:val="1"/>
      <w:marLeft w:val="0"/>
      <w:marRight w:val="0"/>
      <w:marTop w:val="0"/>
      <w:marBottom w:val="0"/>
      <w:divBdr>
        <w:top w:val="none" w:sz="0" w:space="0" w:color="auto"/>
        <w:left w:val="none" w:sz="0" w:space="0" w:color="auto"/>
        <w:bottom w:val="none" w:sz="0" w:space="0" w:color="auto"/>
        <w:right w:val="none" w:sz="0" w:space="0" w:color="auto"/>
      </w:divBdr>
    </w:div>
    <w:div w:id="1077094450">
      <w:bodyDiv w:val="1"/>
      <w:marLeft w:val="0"/>
      <w:marRight w:val="0"/>
      <w:marTop w:val="0"/>
      <w:marBottom w:val="0"/>
      <w:divBdr>
        <w:top w:val="none" w:sz="0" w:space="0" w:color="auto"/>
        <w:left w:val="none" w:sz="0" w:space="0" w:color="auto"/>
        <w:bottom w:val="none" w:sz="0" w:space="0" w:color="auto"/>
        <w:right w:val="none" w:sz="0" w:space="0" w:color="auto"/>
      </w:divBdr>
    </w:div>
    <w:div w:id="1117675394">
      <w:bodyDiv w:val="1"/>
      <w:marLeft w:val="0"/>
      <w:marRight w:val="0"/>
      <w:marTop w:val="0"/>
      <w:marBottom w:val="0"/>
      <w:divBdr>
        <w:top w:val="none" w:sz="0" w:space="0" w:color="auto"/>
        <w:left w:val="none" w:sz="0" w:space="0" w:color="auto"/>
        <w:bottom w:val="none" w:sz="0" w:space="0" w:color="auto"/>
        <w:right w:val="none" w:sz="0" w:space="0" w:color="auto"/>
      </w:divBdr>
    </w:div>
    <w:div w:id="1119648489">
      <w:bodyDiv w:val="1"/>
      <w:marLeft w:val="0"/>
      <w:marRight w:val="0"/>
      <w:marTop w:val="0"/>
      <w:marBottom w:val="0"/>
      <w:divBdr>
        <w:top w:val="none" w:sz="0" w:space="0" w:color="auto"/>
        <w:left w:val="none" w:sz="0" w:space="0" w:color="auto"/>
        <w:bottom w:val="none" w:sz="0" w:space="0" w:color="auto"/>
        <w:right w:val="none" w:sz="0" w:space="0" w:color="auto"/>
      </w:divBdr>
    </w:div>
    <w:div w:id="1147672433">
      <w:bodyDiv w:val="1"/>
      <w:marLeft w:val="0"/>
      <w:marRight w:val="0"/>
      <w:marTop w:val="0"/>
      <w:marBottom w:val="0"/>
      <w:divBdr>
        <w:top w:val="none" w:sz="0" w:space="0" w:color="auto"/>
        <w:left w:val="none" w:sz="0" w:space="0" w:color="auto"/>
        <w:bottom w:val="none" w:sz="0" w:space="0" w:color="auto"/>
        <w:right w:val="none" w:sz="0" w:space="0" w:color="auto"/>
      </w:divBdr>
    </w:div>
    <w:div w:id="1173641634">
      <w:bodyDiv w:val="1"/>
      <w:marLeft w:val="0"/>
      <w:marRight w:val="0"/>
      <w:marTop w:val="0"/>
      <w:marBottom w:val="0"/>
      <w:divBdr>
        <w:top w:val="none" w:sz="0" w:space="0" w:color="auto"/>
        <w:left w:val="none" w:sz="0" w:space="0" w:color="auto"/>
        <w:bottom w:val="none" w:sz="0" w:space="0" w:color="auto"/>
        <w:right w:val="none" w:sz="0" w:space="0" w:color="auto"/>
      </w:divBdr>
    </w:div>
    <w:div w:id="1192913009">
      <w:bodyDiv w:val="1"/>
      <w:marLeft w:val="0"/>
      <w:marRight w:val="0"/>
      <w:marTop w:val="0"/>
      <w:marBottom w:val="0"/>
      <w:divBdr>
        <w:top w:val="none" w:sz="0" w:space="0" w:color="auto"/>
        <w:left w:val="none" w:sz="0" w:space="0" w:color="auto"/>
        <w:bottom w:val="none" w:sz="0" w:space="0" w:color="auto"/>
        <w:right w:val="none" w:sz="0" w:space="0" w:color="auto"/>
      </w:divBdr>
    </w:div>
    <w:div w:id="1197423657">
      <w:bodyDiv w:val="1"/>
      <w:marLeft w:val="0"/>
      <w:marRight w:val="0"/>
      <w:marTop w:val="0"/>
      <w:marBottom w:val="0"/>
      <w:divBdr>
        <w:top w:val="none" w:sz="0" w:space="0" w:color="auto"/>
        <w:left w:val="none" w:sz="0" w:space="0" w:color="auto"/>
        <w:bottom w:val="none" w:sz="0" w:space="0" w:color="auto"/>
        <w:right w:val="none" w:sz="0" w:space="0" w:color="auto"/>
      </w:divBdr>
    </w:div>
    <w:div w:id="1198816339">
      <w:bodyDiv w:val="1"/>
      <w:marLeft w:val="0"/>
      <w:marRight w:val="0"/>
      <w:marTop w:val="0"/>
      <w:marBottom w:val="0"/>
      <w:divBdr>
        <w:top w:val="none" w:sz="0" w:space="0" w:color="auto"/>
        <w:left w:val="none" w:sz="0" w:space="0" w:color="auto"/>
        <w:bottom w:val="none" w:sz="0" w:space="0" w:color="auto"/>
        <w:right w:val="none" w:sz="0" w:space="0" w:color="auto"/>
      </w:divBdr>
    </w:div>
    <w:div w:id="1233656814">
      <w:bodyDiv w:val="1"/>
      <w:marLeft w:val="0"/>
      <w:marRight w:val="0"/>
      <w:marTop w:val="0"/>
      <w:marBottom w:val="0"/>
      <w:divBdr>
        <w:top w:val="none" w:sz="0" w:space="0" w:color="auto"/>
        <w:left w:val="none" w:sz="0" w:space="0" w:color="auto"/>
        <w:bottom w:val="none" w:sz="0" w:space="0" w:color="auto"/>
        <w:right w:val="none" w:sz="0" w:space="0" w:color="auto"/>
      </w:divBdr>
    </w:div>
    <w:div w:id="1239942843">
      <w:bodyDiv w:val="1"/>
      <w:marLeft w:val="0"/>
      <w:marRight w:val="0"/>
      <w:marTop w:val="0"/>
      <w:marBottom w:val="0"/>
      <w:divBdr>
        <w:top w:val="none" w:sz="0" w:space="0" w:color="auto"/>
        <w:left w:val="none" w:sz="0" w:space="0" w:color="auto"/>
        <w:bottom w:val="none" w:sz="0" w:space="0" w:color="auto"/>
        <w:right w:val="none" w:sz="0" w:space="0" w:color="auto"/>
      </w:divBdr>
    </w:div>
    <w:div w:id="1271279129">
      <w:bodyDiv w:val="1"/>
      <w:marLeft w:val="0"/>
      <w:marRight w:val="0"/>
      <w:marTop w:val="0"/>
      <w:marBottom w:val="0"/>
      <w:divBdr>
        <w:top w:val="none" w:sz="0" w:space="0" w:color="auto"/>
        <w:left w:val="none" w:sz="0" w:space="0" w:color="auto"/>
        <w:bottom w:val="none" w:sz="0" w:space="0" w:color="auto"/>
        <w:right w:val="none" w:sz="0" w:space="0" w:color="auto"/>
      </w:divBdr>
    </w:div>
    <w:div w:id="1276523950">
      <w:bodyDiv w:val="1"/>
      <w:marLeft w:val="0"/>
      <w:marRight w:val="0"/>
      <w:marTop w:val="0"/>
      <w:marBottom w:val="0"/>
      <w:divBdr>
        <w:top w:val="none" w:sz="0" w:space="0" w:color="auto"/>
        <w:left w:val="none" w:sz="0" w:space="0" w:color="auto"/>
        <w:bottom w:val="none" w:sz="0" w:space="0" w:color="auto"/>
        <w:right w:val="none" w:sz="0" w:space="0" w:color="auto"/>
      </w:divBdr>
    </w:div>
    <w:div w:id="1278834404">
      <w:bodyDiv w:val="1"/>
      <w:marLeft w:val="0"/>
      <w:marRight w:val="0"/>
      <w:marTop w:val="0"/>
      <w:marBottom w:val="0"/>
      <w:divBdr>
        <w:top w:val="none" w:sz="0" w:space="0" w:color="auto"/>
        <w:left w:val="none" w:sz="0" w:space="0" w:color="auto"/>
        <w:bottom w:val="none" w:sz="0" w:space="0" w:color="auto"/>
        <w:right w:val="none" w:sz="0" w:space="0" w:color="auto"/>
      </w:divBdr>
    </w:div>
    <w:div w:id="1292247490">
      <w:bodyDiv w:val="1"/>
      <w:marLeft w:val="0"/>
      <w:marRight w:val="0"/>
      <w:marTop w:val="0"/>
      <w:marBottom w:val="0"/>
      <w:divBdr>
        <w:top w:val="none" w:sz="0" w:space="0" w:color="auto"/>
        <w:left w:val="none" w:sz="0" w:space="0" w:color="auto"/>
        <w:bottom w:val="none" w:sz="0" w:space="0" w:color="auto"/>
        <w:right w:val="none" w:sz="0" w:space="0" w:color="auto"/>
      </w:divBdr>
    </w:div>
    <w:div w:id="1293488147">
      <w:bodyDiv w:val="1"/>
      <w:marLeft w:val="0"/>
      <w:marRight w:val="0"/>
      <w:marTop w:val="0"/>
      <w:marBottom w:val="0"/>
      <w:divBdr>
        <w:top w:val="none" w:sz="0" w:space="0" w:color="auto"/>
        <w:left w:val="none" w:sz="0" w:space="0" w:color="auto"/>
        <w:bottom w:val="none" w:sz="0" w:space="0" w:color="auto"/>
        <w:right w:val="none" w:sz="0" w:space="0" w:color="auto"/>
      </w:divBdr>
    </w:div>
    <w:div w:id="1312977484">
      <w:bodyDiv w:val="1"/>
      <w:marLeft w:val="0"/>
      <w:marRight w:val="0"/>
      <w:marTop w:val="0"/>
      <w:marBottom w:val="0"/>
      <w:divBdr>
        <w:top w:val="none" w:sz="0" w:space="0" w:color="auto"/>
        <w:left w:val="none" w:sz="0" w:space="0" w:color="auto"/>
        <w:bottom w:val="none" w:sz="0" w:space="0" w:color="auto"/>
        <w:right w:val="none" w:sz="0" w:space="0" w:color="auto"/>
      </w:divBdr>
    </w:div>
    <w:div w:id="1319335464">
      <w:bodyDiv w:val="1"/>
      <w:marLeft w:val="0"/>
      <w:marRight w:val="0"/>
      <w:marTop w:val="0"/>
      <w:marBottom w:val="0"/>
      <w:divBdr>
        <w:top w:val="none" w:sz="0" w:space="0" w:color="auto"/>
        <w:left w:val="none" w:sz="0" w:space="0" w:color="auto"/>
        <w:bottom w:val="none" w:sz="0" w:space="0" w:color="auto"/>
        <w:right w:val="none" w:sz="0" w:space="0" w:color="auto"/>
      </w:divBdr>
    </w:div>
    <w:div w:id="1323003802">
      <w:bodyDiv w:val="1"/>
      <w:marLeft w:val="0"/>
      <w:marRight w:val="0"/>
      <w:marTop w:val="0"/>
      <w:marBottom w:val="0"/>
      <w:divBdr>
        <w:top w:val="none" w:sz="0" w:space="0" w:color="auto"/>
        <w:left w:val="none" w:sz="0" w:space="0" w:color="auto"/>
        <w:bottom w:val="none" w:sz="0" w:space="0" w:color="auto"/>
        <w:right w:val="none" w:sz="0" w:space="0" w:color="auto"/>
      </w:divBdr>
    </w:div>
    <w:div w:id="1332290732">
      <w:bodyDiv w:val="1"/>
      <w:marLeft w:val="0"/>
      <w:marRight w:val="0"/>
      <w:marTop w:val="0"/>
      <w:marBottom w:val="0"/>
      <w:divBdr>
        <w:top w:val="none" w:sz="0" w:space="0" w:color="auto"/>
        <w:left w:val="none" w:sz="0" w:space="0" w:color="auto"/>
        <w:bottom w:val="none" w:sz="0" w:space="0" w:color="auto"/>
        <w:right w:val="none" w:sz="0" w:space="0" w:color="auto"/>
      </w:divBdr>
    </w:div>
    <w:div w:id="1335378718">
      <w:bodyDiv w:val="1"/>
      <w:marLeft w:val="0"/>
      <w:marRight w:val="0"/>
      <w:marTop w:val="0"/>
      <w:marBottom w:val="0"/>
      <w:divBdr>
        <w:top w:val="none" w:sz="0" w:space="0" w:color="auto"/>
        <w:left w:val="none" w:sz="0" w:space="0" w:color="auto"/>
        <w:bottom w:val="none" w:sz="0" w:space="0" w:color="auto"/>
        <w:right w:val="none" w:sz="0" w:space="0" w:color="auto"/>
      </w:divBdr>
    </w:div>
    <w:div w:id="1335693907">
      <w:bodyDiv w:val="1"/>
      <w:marLeft w:val="0"/>
      <w:marRight w:val="0"/>
      <w:marTop w:val="0"/>
      <w:marBottom w:val="0"/>
      <w:divBdr>
        <w:top w:val="none" w:sz="0" w:space="0" w:color="auto"/>
        <w:left w:val="none" w:sz="0" w:space="0" w:color="auto"/>
        <w:bottom w:val="none" w:sz="0" w:space="0" w:color="auto"/>
        <w:right w:val="none" w:sz="0" w:space="0" w:color="auto"/>
      </w:divBdr>
    </w:div>
    <w:div w:id="1400202797">
      <w:bodyDiv w:val="1"/>
      <w:marLeft w:val="0"/>
      <w:marRight w:val="0"/>
      <w:marTop w:val="0"/>
      <w:marBottom w:val="0"/>
      <w:divBdr>
        <w:top w:val="none" w:sz="0" w:space="0" w:color="auto"/>
        <w:left w:val="none" w:sz="0" w:space="0" w:color="auto"/>
        <w:bottom w:val="none" w:sz="0" w:space="0" w:color="auto"/>
        <w:right w:val="none" w:sz="0" w:space="0" w:color="auto"/>
      </w:divBdr>
    </w:div>
    <w:div w:id="1440369608">
      <w:bodyDiv w:val="1"/>
      <w:marLeft w:val="0"/>
      <w:marRight w:val="0"/>
      <w:marTop w:val="0"/>
      <w:marBottom w:val="0"/>
      <w:divBdr>
        <w:top w:val="none" w:sz="0" w:space="0" w:color="auto"/>
        <w:left w:val="none" w:sz="0" w:space="0" w:color="auto"/>
        <w:bottom w:val="none" w:sz="0" w:space="0" w:color="auto"/>
        <w:right w:val="none" w:sz="0" w:space="0" w:color="auto"/>
      </w:divBdr>
    </w:div>
    <w:div w:id="1449274417">
      <w:bodyDiv w:val="1"/>
      <w:marLeft w:val="0"/>
      <w:marRight w:val="0"/>
      <w:marTop w:val="0"/>
      <w:marBottom w:val="0"/>
      <w:divBdr>
        <w:top w:val="none" w:sz="0" w:space="0" w:color="auto"/>
        <w:left w:val="none" w:sz="0" w:space="0" w:color="auto"/>
        <w:bottom w:val="none" w:sz="0" w:space="0" w:color="auto"/>
        <w:right w:val="none" w:sz="0" w:space="0" w:color="auto"/>
      </w:divBdr>
    </w:div>
    <w:div w:id="1479766853">
      <w:bodyDiv w:val="1"/>
      <w:marLeft w:val="0"/>
      <w:marRight w:val="0"/>
      <w:marTop w:val="0"/>
      <w:marBottom w:val="0"/>
      <w:divBdr>
        <w:top w:val="none" w:sz="0" w:space="0" w:color="auto"/>
        <w:left w:val="none" w:sz="0" w:space="0" w:color="auto"/>
        <w:bottom w:val="none" w:sz="0" w:space="0" w:color="auto"/>
        <w:right w:val="none" w:sz="0" w:space="0" w:color="auto"/>
      </w:divBdr>
    </w:div>
    <w:div w:id="1490369889">
      <w:bodyDiv w:val="1"/>
      <w:marLeft w:val="0"/>
      <w:marRight w:val="0"/>
      <w:marTop w:val="0"/>
      <w:marBottom w:val="0"/>
      <w:divBdr>
        <w:top w:val="none" w:sz="0" w:space="0" w:color="auto"/>
        <w:left w:val="none" w:sz="0" w:space="0" w:color="auto"/>
        <w:bottom w:val="none" w:sz="0" w:space="0" w:color="auto"/>
        <w:right w:val="none" w:sz="0" w:space="0" w:color="auto"/>
      </w:divBdr>
    </w:div>
    <w:div w:id="1503887290">
      <w:bodyDiv w:val="1"/>
      <w:marLeft w:val="0"/>
      <w:marRight w:val="0"/>
      <w:marTop w:val="0"/>
      <w:marBottom w:val="0"/>
      <w:divBdr>
        <w:top w:val="none" w:sz="0" w:space="0" w:color="auto"/>
        <w:left w:val="none" w:sz="0" w:space="0" w:color="auto"/>
        <w:bottom w:val="none" w:sz="0" w:space="0" w:color="auto"/>
        <w:right w:val="none" w:sz="0" w:space="0" w:color="auto"/>
      </w:divBdr>
    </w:div>
    <w:div w:id="1534685203">
      <w:bodyDiv w:val="1"/>
      <w:marLeft w:val="0"/>
      <w:marRight w:val="0"/>
      <w:marTop w:val="0"/>
      <w:marBottom w:val="0"/>
      <w:divBdr>
        <w:top w:val="none" w:sz="0" w:space="0" w:color="auto"/>
        <w:left w:val="none" w:sz="0" w:space="0" w:color="auto"/>
        <w:bottom w:val="none" w:sz="0" w:space="0" w:color="auto"/>
        <w:right w:val="none" w:sz="0" w:space="0" w:color="auto"/>
      </w:divBdr>
    </w:div>
    <w:div w:id="1551190665">
      <w:bodyDiv w:val="1"/>
      <w:marLeft w:val="0"/>
      <w:marRight w:val="0"/>
      <w:marTop w:val="0"/>
      <w:marBottom w:val="0"/>
      <w:divBdr>
        <w:top w:val="none" w:sz="0" w:space="0" w:color="auto"/>
        <w:left w:val="none" w:sz="0" w:space="0" w:color="auto"/>
        <w:bottom w:val="none" w:sz="0" w:space="0" w:color="auto"/>
        <w:right w:val="none" w:sz="0" w:space="0" w:color="auto"/>
      </w:divBdr>
    </w:div>
    <w:div w:id="1555778326">
      <w:bodyDiv w:val="1"/>
      <w:marLeft w:val="0"/>
      <w:marRight w:val="0"/>
      <w:marTop w:val="0"/>
      <w:marBottom w:val="0"/>
      <w:divBdr>
        <w:top w:val="none" w:sz="0" w:space="0" w:color="auto"/>
        <w:left w:val="none" w:sz="0" w:space="0" w:color="auto"/>
        <w:bottom w:val="none" w:sz="0" w:space="0" w:color="auto"/>
        <w:right w:val="none" w:sz="0" w:space="0" w:color="auto"/>
      </w:divBdr>
    </w:div>
    <w:div w:id="1557200956">
      <w:bodyDiv w:val="1"/>
      <w:marLeft w:val="0"/>
      <w:marRight w:val="0"/>
      <w:marTop w:val="0"/>
      <w:marBottom w:val="0"/>
      <w:divBdr>
        <w:top w:val="none" w:sz="0" w:space="0" w:color="auto"/>
        <w:left w:val="none" w:sz="0" w:space="0" w:color="auto"/>
        <w:bottom w:val="none" w:sz="0" w:space="0" w:color="auto"/>
        <w:right w:val="none" w:sz="0" w:space="0" w:color="auto"/>
      </w:divBdr>
    </w:div>
    <w:div w:id="1571230445">
      <w:bodyDiv w:val="1"/>
      <w:marLeft w:val="0"/>
      <w:marRight w:val="0"/>
      <w:marTop w:val="0"/>
      <w:marBottom w:val="0"/>
      <w:divBdr>
        <w:top w:val="none" w:sz="0" w:space="0" w:color="auto"/>
        <w:left w:val="none" w:sz="0" w:space="0" w:color="auto"/>
        <w:bottom w:val="none" w:sz="0" w:space="0" w:color="auto"/>
        <w:right w:val="none" w:sz="0" w:space="0" w:color="auto"/>
      </w:divBdr>
    </w:div>
    <w:div w:id="1587299647">
      <w:bodyDiv w:val="1"/>
      <w:marLeft w:val="0"/>
      <w:marRight w:val="0"/>
      <w:marTop w:val="0"/>
      <w:marBottom w:val="0"/>
      <w:divBdr>
        <w:top w:val="none" w:sz="0" w:space="0" w:color="auto"/>
        <w:left w:val="none" w:sz="0" w:space="0" w:color="auto"/>
        <w:bottom w:val="none" w:sz="0" w:space="0" w:color="auto"/>
        <w:right w:val="none" w:sz="0" w:space="0" w:color="auto"/>
      </w:divBdr>
    </w:div>
    <w:div w:id="1608612518">
      <w:bodyDiv w:val="1"/>
      <w:marLeft w:val="0"/>
      <w:marRight w:val="0"/>
      <w:marTop w:val="0"/>
      <w:marBottom w:val="0"/>
      <w:divBdr>
        <w:top w:val="none" w:sz="0" w:space="0" w:color="auto"/>
        <w:left w:val="none" w:sz="0" w:space="0" w:color="auto"/>
        <w:bottom w:val="none" w:sz="0" w:space="0" w:color="auto"/>
        <w:right w:val="none" w:sz="0" w:space="0" w:color="auto"/>
      </w:divBdr>
    </w:div>
    <w:div w:id="1648784213">
      <w:bodyDiv w:val="1"/>
      <w:marLeft w:val="0"/>
      <w:marRight w:val="0"/>
      <w:marTop w:val="0"/>
      <w:marBottom w:val="0"/>
      <w:divBdr>
        <w:top w:val="none" w:sz="0" w:space="0" w:color="auto"/>
        <w:left w:val="none" w:sz="0" w:space="0" w:color="auto"/>
        <w:bottom w:val="none" w:sz="0" w:space="0" w:color="auto"/>
        <w:right w:val="none" w:sz="0" w:space="0" w:color="auto"/>
      </w:divBdr>
    </w:div>
    <w:div w:id="1651901373">
      <w:bodyDiv w:val="1"/>
      <w:marLeft w:val="0"/>
      <w:marRight w:val="0"/>
      <w:marTop w:val="0"/>
      <w:marBottom w:val="0"/>
      <w:divBdr>
        <w:top w:val="none" w:sz="0" w:space="0" w:color="auto"/>
        <w:left w:val="none" w:sz="0" w:space="0" w:color="auto"/>
        <w:bottom w:val="none" w:sz="0" w:space="0" w:color="auto"/>
        <w:right w:val="none" w:sz="0" w:space="0" w:color="auto"/>
      </w:divBdr>
    </w:div>
    <w:div w:id="1656301361">
      <w:bodyDiv w:val="1"/>
      <w:marLeft w:val="0"/>
      <w:marRight w:val="0"/>
      <w:marTop w:val="0"/>
      <w:marBottom w:val="0"/>
      <w:divBdr>
        <w:top w:val="none" w:sz="0" w:space="0" w:color="auto"/>
        <w:left w:val="none" w:sz="0" w:space="0" w:color="auto"/>
        <w:bottom w:val="none" w:sz="0" w:space="0" w:color="auto"/>
        <w:right w:val="none" w:sz="0" w:space="0" w:color="auto"/>
      </w:divBdr>
    </w:div>
    <w:div w:id="1705515626">
      <w:bodyDiv w:val="1"/>
      <w:marLeft w:val="0"/>
      <w:marRight w:val="0"/>
      <w:marTop w:val="0"/>
      <w:marBottom w:val="0"/>
      <w:divBdr>
        <w:top w:val="none" w:sz="0" w:space="0" w:color="auto"/>
        <w:left w:val="none" w:sz="0" w:space="0" w:color="auto"/>
        <w:bottom w:val="none" w:sz="0" w:space="0" w:color="auto"/>
        <w:right w:val="none" w:sz="0" w:space="0" w:color="auto"/>
      </w:divBdr>
    </w:div>
    <w:div w:id="1721127964">
      <w:bodyDiv w:val="1"/>
      <w:marLeft w:val="0"/>
      <w:marRight w:val="0"/>
      <w:marTop w:val="0"/>
      <w:marBottom w:val="0"/>
      <w:divBdr>
        <w:top w:val="none" w:sz="0" w:space="0" w:color="auto"/>
        <w:left w:val="none" w:sz="0" w:space="0" w:color="auto"/>
        <w:bottom w:val="none" w:sz="0" w:space="0" w:color="auto"/>
        <w:right w:val="none" w:sz="0" w:space="0" w:color="auto"/>
      </w:divBdr>
    </w:div>
    <w:div w:id="1733691996">
      <w:bodyDiv w:val="1"/>
      <w:marLeft w:val="0"/>
      <w:marRight w:val="0"/>
      <w:marTop w:val="0"/>
      <w:marBottom w:val="0"/>
      <w:divBdr>
        <w:top w:val="none" w:sz="0" w:space="0" w:color="auto"/>
        <w:left w:val="none" w:sz="0" w:space="0" w:color="auto"/>
        <w:bottom w:val="none" w:sz="0" w:space="0" w:color="auto"/>
        <w:right w:val="none" w:sz="0" w:space="0" w:color="auto"/>
      </w:divBdr>
    </w:div>
    <w:div w:id="1738090526">
      <w:bodyDiv w:val="1"/>
      <w:marLeft w:val="0"/>
      <w:marRight w:val="0"/>
      <w:marTop w:val="0"/>
      <w:marBottom w:val="0"/>
      <w:divBdr>
        <w:top w:val="none" w:sz="0" w:space="0" w:color="auto"/>
        <w:left w:val="none" w:sz="0" w:space="0" w:color="auto"/>
        <w:bottom w:val="none" w:sz="0" w:space="0" w:color="auto"/>
        <w:right w:val="none" w:sz="0" w:space="0" w:color="auto"/>
      </w:divBdr>
    </w:div>
    <w:div w:id="1738211744">
      <w:bodyDiv w:val="1"/>
      <w:marLeft w:val="0"/>
      <w:marRight w:val="0"/>
      <w:marTop w:val="0"/>
      <w:marBottom w:val="0"/>
      <w:divBdr>
        <w:top w:val="none" w:sz="0" w:space="0" w:color="auto"/>
        <w:left w:val="none" w:sz="0" w:space="0" w:color="auto"/>
        <w:bottom w:val="none" w:sz="0" w:space="0" w:color="auto"/>
        <w:right w:val="none" w:sz="0" w:space="0" w:color="auto"/>
      </w:divBdr>
    </w:div>
    <w:div w:id="1755711602">
      <w:bodyDiv w:val="1"/>
      <w:marLeft w:val="0"/>
      <w:marRight w:val="0"/>
      <w:marTop w:val="0"/>
      <w:marBottom w:val="0"/>
      <w:divBdr>
        <w:top w:val="none" w:sz="0" w:space="0" w:color="auto"/>
        <w:left w:val="none" w:sz="0" w:space="0" w:color="auto"/>
        <w:bottom w:val="none" w:sz="0" w:space="0" w:color="auto"/>
        <w:right w:val="none" w:sz="0" w:space="0" w:color="auto"/>
      </w:divBdr>
    </w:div>
    <w:div w:id="1757432871">
      <w:bodyDiv w:val="1"/>
      <w:marLeft w:val="0"/>
      <w:marRight w:val="0"/>
      <w:marTop w:val="0"/>
      <w:marBottom w:val="0"/>
      <w:divBdr>
        <w:top w:val="none" w:sz="0" w:space="0" w:color="auto"/>
        <w:left w:val="none" w:sz="0" w:space="0" w:color="auto"/>
        <w:bottom w:val="none" w:sz="0" w:space="0" w:color="auto"/>
        <w:right w:val="none" w:sz="0" w:space="0" w:color="auto"/>
      </w:divBdr>
    </w:div>
    <w:div w:id="1772385987">
      <w:bodyDiv w:val="1"/>
      <w:marLeft w:val="0"/>
      <w:marRight w:val="0"/>
      <w:marTop w:val="0"/>
      <w:marBottom w:val="0"/>
      <w:divBdr>
        <w:top w:val="none" w:sz="0" w:space="0" w:color="auto"/>
        <w:left w:val="none" w:sz="0" w:space="0" w:color="auto"/>
        <w:bottom w:val="none" w:sz="0" w:space="0" w:color="auto"/>
        <w:right w:val="none" w:sz="0" w:space="0" w:color="auto"/>
      </w:divBdr>
    </w:div>
    <w:div w:id="1787118292">
      <w:bodyDiv w:val="1"/>
      <w:marLeft w:val="0"/>
      <w:marRight w:val="0"/>
      <w:marTop w:val="0"/>
      <w:marBottom w:val="0"/>
      <w:divBdr>
        <w:top w:val="none" w:sz="0" w:space="0" w:color="auto"/>
        <w:left w:val="none" w:sz="0" w:space="0" w:color="auto"/>
        <w:bottom w:val="none" w:sz="0" w:space="0" w:color="auto"/>
        <w:right w:val="none" w:sz="0" w:space="0" w:color="auto"/>
      </w:divBdr>
    </w:div>
    <w:div w:id="1793745537">
      <w:bodyDiv w:val="1"/>
      <w:marLeft w:val="0"/>
      <w:marRight w:val="0"/>
      <w:marTop w:val="0"/>
      <w:marBottom w:val="0"/>
      <w:divBdr>
        <w:top w:val="none" w:sz="0" w:space="0" w:color="auto"/>
        <w:left w:val="none" w:sz="0" w:space="0" w:color="auto"/>
        <w:bottom w:val="none" w:sz="0" w:space="0" w:color="auto"/>
        <w:right w:val="none" w:sz="0" w:space="0" w:color="auto"/>
      </w:divBdr>
    </w:div>
    <w:div w:id="1870147612">
      <w:bodyDiv w:val="1"/>
      <w:marLeft w:val="0"/>
      <w:marRight w:val="0"/>
      <w:marTop w:val="0"/>
      <w:marBottom w:val="0"/>
      <w:divBdr>
        <w:top w:val="none" w:sz="0" w:space="0" w:color="auto"/>
        <w:left w:val="none" w:sz="0" w:space="0" w:color="auto"/>
        <w:bottom w:val="none" w:sz="0" w:space="0" w:color="auto"/>
        <w:right w:val="none" w:sz="0" w:space="0" w:color="auto"/>
      </w:divBdr>
    </w:div>
    <w:div w:id="1879317062">
      <w:bodyDiv w:val="1"/>
      <w:marLeft w:val="0"/>
      <w:marRight w:val="0"/>
      <w:marTop w:val="0"/>
      <w:marBottom w:val="0"/>
      <w:divBdr>
        <w:top w:val="none" w:sz="0" w:space="0" w:color="auto"/>
        <w:left w:val="none" w:sz="0" w:space="0" w:color="auto"/>
        <w:bottom w:val="none" w:sz="0" w:space="0" w:color="auto"/>
        <w:right w:val="none" w:sz="0" w:space="0" w:color="auto"/>
      </w:divBdr>
    </w:div>
    <w:div w:id="1899781164">
      <w:bodyDiv w:val="1"/>
      <w:marLeft w:val="0"/>
      <w:marRight w:val="0"/>
      <w:marTop w:val="0"/>
      <w:marBottom w:val="0"/>
      <w:divBdr>
        <w:top w:val="none" w:sz="0" w:space="0" w:color="auto"/>
        <w:left w:val="none" w:sz="0" w:space="0" w:color="auto"/>
        <w:bottom w:val="none" w:sz="0" w:space="0" w:color="auto"/>
        <w:right w:val="none" w:sz="0" w:space="0" w:color="auto"/>
      </w:divBdr>
    </w:div>
    <w:div w:id="1949241158">
      <w:bodyDiv w:val="1"/>
      <w:marLeft w:val="0"/>
      <w:marRight w:val="0"/>
      <w:marTop w:val="0"/>
      <w:marBottom w:val="0"/>
      <w:divBdr>
        <w:top w:val="none" w:sz="0" w:space="0" w:color="auto"/>
        <w:left w:val="none" w:sz="0" w:space="0" w:color="auto"/>
        <w:bottom w:val="none" w:sz="0" w:space="0" w:color="auto"/>
        <w:right w:val="none" w:sz="0" w:space="0" w:color="auto"/>
      </w:divBdr>
    </w:div>
    <w:div w:id="1970746876">
      <w:bodyDiv w:val="1"/>
      <w:marLeft w:val="0"/>
      <w:marRight w:val="0"/>
      <w:marTop w:val="0"/>
      <w:marBottom w:val="0"/>
      <w:divBdr>
        <w:top w:val="none" w:sz="0" w:space="0" w:color="auto"/>
        <w:left w:val="none" w:sz="0" w:space="0" w:color="auto"/>
        <w:bottom w:val="none" w:sz="0" w:space="0" w:color="auto"/>
        <w:right w:val="none" w:sz="0" w:space="0" w:color="auto"/>
      </w:divBdr>
    </w:div>
    <w:div w:id="1986470046">
      <w:bodyDiv w:val="1"/>
      <w:marLeft w:val="0"/>
      <w:marRight w:val="0"/>
      <w:marTop w:val="0"/>
      <w:marBottom w:val="0"/>
      <w:divBdr>
        <w:top w:val="none" w:sz="0" w:space="0" w:color="auto"/>
        <w:left w:val="none" w:sz="0" w:space="0" w:color="auto"/>
        <w:bottom w:val="none" w:sz="0" w:space="0" w:color="auto"/>
        <w:right w:val="none" w:sz="0" w:space="0" w:color="auto"/>
      </w:divBdr>
    </w:div>
    <w:div w:id="2029329520">
      <w:bodyDiv w:val="1"/>
      <w:marLeft w:val="0"/>
      <w:marRight w:val="0"/>
      <w:marTop w:val="0"/>
      <w:marBottom w:val="0"/>
      <w:divBdr>
        <w:top w:val="none" w:sz="0" w:space="0" w:color="auto"/>
        <w:left w:val="none" w:sz="0" w:space="0" w:color="auto"/>
        <w:bottom w:val="none" w:sz="0" w:space="0" w:color="auto"/>
        <w:right w:val="none" w:sz="0" w:space="0" w:color="auto"/>
      </w:divBdr>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
    <w:div w:id="2065644154">
      <w:bodyDiv w:val="1"/>
      <w:marLeft w:val="0"/>
      <w:marRight w:val="0"/>
      <w:marTop w:val="0"/>
      <w:marBottom w:val="0"/>
      <w:divBdr>
        <w:top w:val="none" w:sz="0" w:space="0" w:color="auto"/>
        <w:left w:val="none" w:sz="0" w:space="0" w:color="auto"/>
        <w:bottom w:val="none" w:sz="0" w:space="0" w:color="auto"/>
        <w:right w:val="none" w:sz="0" w:space="0" w:color="auto"/>
      </w:divBdr>
    </w:div>
    <w:div w:id="2087992039">
      <w:bodyDiv w:val="1"/>
      <w:marLeft w:val="0"/>
      <w:marRight w:val="0"/>
      <w:marTop w:val="0"/>
      <w:marBottom w:val="0"/>
      <w:divBdr>
        <w:top w:val="none" w:sz="0" w:space="0" w:color="auto"/>
        <w:left w:val="none" w:sz="0" w:space="0" w:color="auto"/>
        <w:bottom w:val="none" w:sz="0" w:space="0" w:color="auto"/>
        <w:right w:val="none" w:sz="0" w:space="0" w:color="auto"/>
      </w:divBdr>
    </w:div>
    <w:div w:id="2095855394">
      <w:bodyDiv w:val="1"/>
      <w:marLeft w:val="0"/>
      <w:marRight w:val="0"/>
      <w:marTop w:val="0"/>
      <w:marBottom w:val="0"/>
      <w:divBdr>
        <w:top w:val="none" w:sz="0" w:space="0" w:color="auto"/>
        <w:left w:val="none" w:sz="0" w:space="0" w:color="auto"/>
        <w:bottom w:val="none" w:sz="0" w:space="0" w:color="auto"/>
        <w:right w:val="none" w:sz="0" w:space="0" w:color="auto"/>
      </w:divBdr>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
    <w:div w:id="2142922772">
      <w:bodyDiv w:val="1"/>
      <w:marLeft w:val="0"/>
      <w:marRight w:val="0"/>
      <w:marTop w:val="0"/>
      <w:marBottom w:val="0"/>
      <w:divBdr>
        <w:top w:val="none" w:sz="0" w:space="0" w:color="auto"/>
        <w:left w:val="none" w:sz="0" w:space="0" w:color="auto"/>
        <w:bottom w:val="none" w:sz="0" w:space="0" w:color="auto"/>
        <w:right w:val="none" w:sz="0" w:space="0" w:color="auto"/>
      </w:divBdr>
    </w:div>
    <w:div w:id="21439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ons.belastingdienst.nl/onderwerpen/bijzonder-uitstel-coron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utoriteitpersoonsgegevens.nl/themas/basis-avg/avg-algemeen/verantwoordingsplich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financien.nl/belastingplan-2026" TargetMode="External"/><Relationship Id="rId2" Type="http://schemas.openxmlformats.org/officeDocument/2006/relationships/hyperlink" Target="https://www.rijksoverheid.nl/onderwerpen/belastingplan/documenten/rapporten/2025/09/16/overzicht-uitvoerbaarheid" TargetMode="External"/><Relationship Id="rId1" Type="http://schemas.openxmlformats.org/officeDocument/2006/relationships/hyperlink" Target="https://www.rijksoverheid.nl/documenten/rapporten/2023/09/14/departementaal-programmaplan-informatie-op-orde-2021-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12122</ap:Words>
  <ap:Characters>66675</ap:Characters>
  <ap:DocSecurity>0</ap:DocSecurity>
  <ap:Lines>555</ap:Lines>
  <ap:Paragraphs>157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2025-11-13T10:31:00.0000000Z</lastPrinted>
  <dcterms:created xsi:type="dcterms:W3CDTF">2025-11-13T10:31:00.0000000Z</dcterms:created>
  <dcterms:modified xsi:type="dcterms:W3CDTF">2025-11-13T10:32:00.0000000Z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0x010100DF1D8B481E9D2349AF99EE7E24F6D494</vt:lpwstr>
  </property>
  <property fmtid="{D5CDD505-2E9C-101B-9397-08002B2CF9AE}" pid="3" name="MSIP_Label_e00462cb-1b47-485e-830d-87ca0cc9766d_Enabled">
    <vt:lpwstr>true</vt:lpwstr>
  </property>
  <property fmtid="{D5CDD505-2E9C-101B-9397-08002B2CF9AE}" pid="4" name="MSIP_Label_e00462cb-1b47-485e-830d-87ca0cc9766d_SetDate">
    <vt:lpwstr>2025-09-01T10:24:56Z</vt:lpwstr>
  </property>
  <property fmtid="{D5CDD505-2E9C-101B-9397-08002B2CF9AE}" pid="5" name="MSIP_Label_e00462cb-1b47-485e-830d-87ca0cc9766d_Method">
    <vt:lpwstr>Standard</vt:lpwstr>
  </property>
  <property fmtid="{D5CDD505-2E9C-101B-9397-08002B2CF9AE}" pid="6" name="MSIP_Label_e00462cb-1b47-485e-830d-87ca0cc9766d_Name">
    <vt:lpwstr>Rijksoverheid (DGBEL)</vt:lpwstr>
  </property>
  <property fmtid="{D5CDD505-2E9C-101B-9397-08002B2CF9AE}" pid="7" name="MSIP_Label_e00462cb-1b47-485e-830d-87ca0cc9766d_SiteId">
    <vt:lpwstr>84712536-f524-40a0-913b-5d25ba502732</vt:lpwstr>
  </property>
  <property fmtid="{D5CDD505-2E9C-101B-9397-08002B2CF9AE}" pid="8" name="MSIP_Label_e00462cb-1b47-485e-830d-87ca0cc9766d_ActionId">
    <vt:lpwstr>cc996e64-b149-4ac5-95a6-32ac136e746a</vt:lpwstr>
  </property>
  <property fmtid="{D5CDD505-2E9C-101B-9397-08002B2CF9AE}" pid="9" name="MSIP_Label_e00462cb-1b47-485e-830d-87ca0cc9766d_ContentBits">
    <vt:lpwstr>0</vt:lpwstr>
  </property>
</Properties>
</file>