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3C6E" w:rsidP="00BC1A9D" w:rsidRDefault="00B56199" w14:paraId="6DC880AD" w14:textId="77777777">
      <w:pPr>
        <w:suppressAutoHyphens/>
      </w:pPr>
      <w:r>
        <w:t>Geachte Voorzitter,</w:t>
      </w:r>
    </w:p>
    <w:p w:rsidR="00B43C6E" w:rsidP="00BC1A9D" w:rsidRDefault="00B43C6E" w14:paraId="3FFD572C" w14:textId="77777777">
      <w:pPr>
        <w:suppressAutoHyphens/>
      </w:pPr>
    </w:p>
    <w:p w:rsidR="00B56199" w:rsidP="00BC1A9D" w:rsidRDefault="00B56199" w14:paraId="39AA0318" w14:textId="77777777">
      <w:pPr>
        <w:suppressAutoHyphens/>
      </w:pPr>
      <w:r w:rsidRPr="00F957D3">
        <w:t xml:space="preserve">Hierbij bied ik u het verslag van de </w:t>
      </w:r>
      <w:r>
        <w:t>in</w:t>
      </w:r>
      <w:r w:rsidRPr="00F957D3">
        <w:t xml:space="preserve">formele EU Gezondheidsraad van </w:t>
      </w:r>
      <w:r>
        <w:t xml:space="preserve">16 september </w:t>
      </w:r>
      <w:r w:rsidRPr="00F957D3">
        <w:t>2025 aan.</w:t>
      </w:r>
    </w:p>
    <w:p w:rsidR="00BC1A9D" w:rsidP="00BC1A9D" w:rsidRDefault="00BC1A9D" w14:paraId="70961EC0" w14:textId="77777777">
      <w:pPr>
        <w:suppressAutoHyphens/>
        <w:spacing w:line="240" w:lineRule="auto"/>
      </w:pPr>
    </w:p>
    <w:p w:rsidR="00BC1A9D" w:rsidP="00BC1A9D" w:rsidRDefault="00BC1A9D" w14:paraId="51BA54F2" w14:textId="2534AB23">
      <w:pPr>
        <w:suppressAutoHyphens/>
        <w:spacing w:line="240" w:lineRule="auto"/>
      </w:pPr>
      <w:r>
        <w:t>Hoogachtend,</w:t>
      </w:r>
    </w:p>
    <w:p w:rsidR="00BC1A9D" w:rsidP="00BC1A9D" w:rsidRDefault="00BC1A9D" w14:paraId="7459AE7D" w14:textId="77777777">
      <w:pPr>
        <w:suppressAutoHyphens/>
        <w:spacing w:line="240" w:lineRule="auto"/>
      </w:pPr>
    </w:p>
    <w:p w:rsidR="00BC1A9D" w:rsidP="00BC1A9D" w:rsidRDefault="00BC1A9D" w14:paraId="2F87E4CD" w14:textId="77777777">
      <w:pPr>
        <w:suppressAutoHyphens/>
        <w:spacing w:line="240" w:lineRule="auto"/>
      </w:pPr>
      <w:r>
        <w:t>de minister van Volksgezondheid,</w:t>
      </w:r>
    </w:p>
    <w:p w:rsidR="00BC1A9D" w:rsidP="00BC1A9D" w:rsidRDefault="00BC1A9D" w14:paraId="0B615BD3" w14:textId="77777777">
      <w:pPr>
        <w:suppressAutoHyphens/>
        <w:spacing w:line="240" w:lineRule="auto"/>
      </w:pPr>
      <w:r>
        <w:t>Welzijn en Sport,</w:t>
      </w:r>
    </w:p>
    <w:p w:rsidR="00BC1A9D" w:rsidP="00BC1A9D" w:rsidRDefault="00BC1A9D" w14:paraId="310C6ED7" w14:textId="77777777">
      <w:pPr>
        <w:suppressAutoHyphens/>
        <w:spacing w:line="240" w:lineRule="auto"/>
      </w:pPr>
    </w:p>
    <w:p w:rsidR="00BC1A9D" w:rsidP="00BC1A9D" w:rsidRDefault="00BC1A9D" w14:paraId="450508FE" w14:textId="77777777">
      <w:pPr>
        <w:suppressAutoHyphens/>
        <w:spacing w:line="240" w:lineRule="auto"/>
      </w:pPr>
    </w:p>
    <w:p w:rsidR="00BC1A9D" w:rsidP="00BC1A9D" w:rsidRDefault="00BC1A9D" w14:paraId="6D36DEC6" w14:textId="77777777">
      <w:pPr>
        <w:suppressAutoHyphens/>
        <w:spacing w:line="240" w:lineRule="auto"/>
      </w:pPr>
    </w:p>
    <w:p w:rsidR="00BC1A9D" w:rsidP="00BC1A9D" w:rsidRDefault="00BC1A9D" w14:paraId="6D0D3E59" w14:textId="77777777">
      <w:pPr>
        <w:suppressAutoHyphens/>
        <w:spacing w:line="240" w:lineRule="auto"/>
      </w:pPr>
    </w:p>
    <w:p w:rsidR="00BC1A9D" w:rsidP="00BC1A9D" w:rsidRDefault="00BC1A9D" w14:paraId="301DD63E" w14:textId="77777777">
      <w:pPr>
        <w:suppressAutoHyphens/>
        <w:spacing w:line="240" w:lineRule="auto"/>
      </w:pPr>
    </w:p>
    <w:p w:rsidR="00BC1A9D" w:rsidP="00BC1A9D" w:rsidRDefault="00BC1A9D" w14:paraId="03B0D062" w14:textId="77777777">
      <w:pPr>
        <w:suppressAutoHyphens/>
        <w:spacing w:line="240" w:lineRule="auto"/>
      </w:pPr>
    </w:p>
    <w:p w:rsidR="00B56199" w:rsidP="00BC1A9D" w:rsidRDefault="00BC1A9D" w14:paraId="394063F3" w14:textId="3136FA7F">
      <w:pPr>
        <w:suppressAutoHyphens/>
        <w:spacing w:line="240" w:lineRule="auto"/>
      </w:pPr>
      <w:r>
        <w:t>Jan Anthonie Bruijn</w:t>
      </w:r>
      <w:r w:rsidR="00B56199">
        <w:br w:type="page"/>
      </w:r>
    </w:p>
    <w:p w:rsidR="00BC1A9D" w:rsidP="00BC1A9D" w:rsidRDefault="00BC1A9D" w14:paraId="2D8EF544" w14:textId="77777777">
      <w:pPr>
        <w:suppressAutoHyphens/>
        <w:spacing w:line="240" w:lineRule="auto"/>
        <w:rPr>
          <w:b/>
          <w:bCs/>
          <w:noProof/>
        </w:rPr>
      </w:pPr>
    </w:p>
    <w:p w:rsidR="00BC1A9D" w:rsidP="00BC1A9D" w:rsidRDefault="00BC1A9D" w14:paraId="76CB7FCE" w14:textId="77777777">
      <w:pPr>
        <w:suppressAutoHyphens/>
        <w:spacing w:line="240" w:lineRule="auto"/>
        <w:rPr>
          <w:b/>
          <w:bCs/>
          <w:noProof/>
        </w:rPr>
      </w:pPr>
    </w:p>
    <w:p w:rsidRPr="00FF3158" w:rsidR="00B56199" w:rsidP="00BC1A9D" w:rsidRDefault="00B56199" w14:paraId="4D99E94E" w14:textId="6063FC1B">
      <w:pPr>
        <w:suppressAutoHyphens/>
        <w:spacing w:line="240" w:lineRule="auto"/>
        <w:rPr>
          <w:b/>
          <w:bCs/>
          <w:noProof/>
        </w:rPr>
      </w:pPr>
      <w:r w:rsidRPr="00FF3158">
        <w:rPr>
          <w:b/>
          <w:bCs/>
          <w:noProof/>
        </w:rPr>
        <w:t xml:space="preserve">Verslag EU Gezondheidsraad, </w:t>
      </w:r>
      <w:r>
        <w:rPr>
          <w:b/>
          <w:bCs/>
          <w:noProof/>
        </w:rPr>
        <w:t>20</w:t>
      </w:r>
      <w:r w:rsidRPr="00FF3158">
        <w:rPr>
          <w:b/>
          <w:bCs/>
          <w:noProof/>
        </w:rPr>
        <w:t xml:space="preserve"> </w:t>
      </w:r>
      <w:r>
        <w:rPr>
          <w:b/>
          <w:bCs/>
          <w:noProof/>
        </w:rPr>
        <w:t>juni</w:t>
      </w:r>
      <w:r w:rsidRPr="00FF3158">
        <w:rPr>
          <w:b/>
          <w:bCs/>
          <w:noProof/>
        </w:rPr>
        <w:t xml:space="preserve"> 2025</w:t>
      </w:r>
    </w:p>
    <w:p w:rsidR="00B56199" w:rsidP="00BC1A9D" w:rsidRDefault="00B56199" w14:paraId="2498389E" w14:textId="77777777">
      <w:pPr>
        <w:suppressAutoHyphens/>
        <w:spacing w:line="240" w:lineRule="auto"/>
        <w:rPr>
          <w:noProof/>
        </w:rPr>
      </w:pPr>
    </w:p>
    <w:p w:rsidR="00B56199" w:rsidP="00BC1A9D" w:rsidRDefault="00B56199" w14:paraId="7EC0D2B9" w14:textId="77777777">
      <w:pPr>
        <w:suppressAutoHyphens/>
        <w:spacing w:line="240" w:lineRule="auto"/>
        <w:rPr>
          <w:noProof/>
        </w:rPr>
      </w:pPr>
      <w:r>
        <w:rPr>
          <w:noProof/>
        </w:rPr>
        <w:t xml:space="preserve">Op 16 september 2025 vond in Kopenhagen de informele EU Gezondheidsraad plaats onder Deens voorzitterschap van de Raad van de Europese Unie. Op de agenda stonden twee gedachtewisselingen en een werklunch. De eerste gedachtewisseling betrof de </w:t>
      </w:r>
      <w:r w:rsidRPr="0051289D">
        <w:rPr>
          <w:i/>
          <w:iCs/>
          <w:noProof/>
        </w:rPr>
        <w:t>Life Science &amp; Health</w:t>
      </w:r>
      <w:r>
        <w:rPr>
          <w:noProof/>
        </w:rPr>
        <w:t xml:space="preserve"> strategie en specifiek klinische meerlandenproeven. De tweede gedachtewisseling ging over de weerbaarheid van  toeleveringsketens van geneesmiddelen. In de werklunch wisselde men van gedachten over antimicrobiële resistentie (AMR).</w:t>
      </w:r>
    </w:p>
    <w:p w:rsidR="00B56199" w:rsidP="00BC1A9D" w:rsidRDefault="00B56199" w14:paraId="4660EE6E" w14:textId="77777777">
      <w:pPr>
        <w:suppressAutoHyphens/>
        <w:spacing w:line="240" w:lineRule="auto"/>
        <w:rPr>
          <w:noProof/>
        </w:rPr>
      </w:pPr>
      <w:r>
        <w:rPr>
          <w:noProof/>
        </w:rPr>
        <w:t>Hierbij informeer ik uw Kamer over het verloop van deze informele Raad.</w:t>
      </w:r>
    </w:p>
    <w:p w:rsidR="00B56199" w:rsidP="00BC1A9D" w:rsidRDefault="00B56199" w14:paraId="0FA7C91B" w14:textId="77777777">
      <w:pPr>
        <w:suppressAutoHyphens/>
        <w:spacing w:line="240" w:lineRule="auto"/>
        <w:rPr>
          <w:noProof/>
        </w:rPr>
      </w:pPr>
    </w:p>
    <w:p w:rsidRPr="00521906" w:rsidR="00B56199" w:rsidP="00BC1A9D" w:rsidRDefault="00B56199" w14:paraId="32DACDCD" w14:textId="77777777">
      <w:pPr>
        <w:suppressAutoHyphens/>
        <w:spacing w:line="240" w:lineRule="auto"/>
        <w:rPr>
          <w:b/>
          <w:bCs/>
          <w:i/>
          <w:iCs/>
          <w:noProof/>
        </w:rPr>
      </w:pPr>
      <w:r w:rsidRPr="00521906">
        <w:rPr>
          <w:b/>
          <w:bCs/>
          <w:i/>
          <w:iCs/>
          <w:noProof/>
        </w:rPr>
        <w:t>Gedachtewisseling Life Science &amp; Health – Klinische meerlandenproeven</w:t>
      </w:r>
    </w:p>
    <w:p w:rsidRPr="0051289D" w:rsidR="00B56199" w:rsidP="00BC1A9D" w:rsidRDefault="00B56199" w14:paraId="0F1605C5" w14:textId="14F7EFDA">
      <w:pPr>
        <w:suppressAutoHyphens/>
        <w:spacing w:line="240" w:lineRule="auto"/>
        <w:rPr>
          <w:noProof/>
        </w:rPr>
      </w:pPr>
      <w:r w:rsidRPr="0051289D">
        <w:rPr>
          <w:noProof/>
        </w:rPr>
        <w:t xml:space="preserve">Tijdens </w:t>
      </w:r>
      <w:r>
        <w:rPr>
          <w:noProof/>
        </w:rPr>
        <w:t>dit beleidsdebat s</w:t>
      </w:r>
      <w:r w:rsidRPr="0051289D">
        <w:rPr>
          <w:noProof/>
        </w:rPr>
        <w:t>t</w:t>
      </w:r>
      <w:r>
        <w:rPr>
          <w:noProof/>
        </w:rPr>
        <w:t>ond</w:t>
      </w:r>
      <w:r w:rsidRPr="0051289D">
        <w:rPr>
          <w:noProof/>
        </w:rPr>
        <w:t xml:space="preserve"> het versterken van klinisch onderzoek centraal, met bijzondere aandacht voor meerlandenproeven (</w:t>
      </w:r>
      <w:r w:rsidRPr="0051289D">
        <w:rPr>
          <w:i/>
          <w:iCs/>
          <w:noProof/>
        </w:rPr>
        <w:t>multi-country clinical trials)</w:t>
      </w:r>
      <w:r w:rsidRPr="0051289D">
        <w:rPr>
          <w:noProof/>
        </w:rPr>
        <w:t xml:space="preserve">. </w:t>
      </w:r>
      <w:r w:rsidR="00CA4AC4">
        <w:rPr>
          <w:noProof/>
        </w:rPr>
        <w:br/>
      </w:r>
      <w:r w:rsidRPr="0051289D">
        <w:rPr>
          <w:noProof/>
        </w:rPr>
        <w:t>De discussie richt</w:t>
      </w:r>
      <w:r>
        <w:rPr>
          <w:noProof/>
        </w:rPr>
        <w:t>te</w:t>
      </w:r>
      <w:r w:rsidRPr="0051289D">
        <w:rPr>
          <w:noProof/>
        </w:rPr>
        <w:t xml:space="preserve"> zich op de vraag hoe patiënt</w:t>
      </w:r>
      <w:r w:rsidR="00CA4AC4">
        <w:rPr>
          <w:noProof/>
        </w:rPr>
        <w:t>-</w:t>
      </w:r>
      <w:r w:rsidRPr="0051289D">
        <w:rPr>
          <w:noProof/>
        </w:rPr>
        <w:t xml:space="preserve">uitkomsten verbeterd kunnen worden door grensoverschrijdend onderzoek en hoe wederzijds vertrouwen en harmonisatie van beoordelingsprocedures tussen </w:t>
      </w:r>
      <w:r>
        <w:rPr>
          <w:noProof/>
        </w:rPr>
        <w:t>EU-lidstaten</w:t>
      </w:r>
      <w:r w:rsidR="00CA4AC4">
        <w:rPr>
          <w:noProof/>
        </w:rPr>
        <w:t>,</w:t>
      </w:r>
      <w:r w:rsidRPr="0051289D">
        <w:rPr>
          <w:noProof/>
        </w:rPr>
        <w:t xml:space="preserve"> vorm kunnen krijgen. Dit bouw</w:t>
      </w:r>
      <w:r>
        <w:rPr>
          <w:noProof/>
        </w:rPr>
        <w:t>de voort</w:t>
      </w:r>
      <w:r w:rsidRPr="0051289D">
        <w:rPr>
          <w:noProof/>
        </w:rPr>
        <w:t xml:space="preserve"> op</w:t>
      </w:r>
      <w:r>
        <w:rPr>
          <w:noProof/>
        </w:rPr>
        <w:t xml:space="preserve"> de</w:t>
      </w:r>
      <w:r w:rsidRPr="0051289D">
        <w:rPr>
          <w:noProof/>
        </w:rPr>
        <w:t xml:space="preserve"> recente publicatie van de </w:t>
      </w:r>
      <w:r w:rsidRPr="0051289D">
        <w:rPr>
          <w:i/>
          <w:iCs/>
          <w:noProof/>
        </w:rPr>
        <w:t>Life Sciences &amp; Health</w:t>
      </w:r>
      <w:r w:rsidRPr="0051289D">
        <w:rPr>
          <w:noProof/>
        </w:rPr>
        <w:t xml:space="preserve"> strategie van </w:t>
      </w:r>
      <w:r>
        <w:rPr>
          <w:noProof/>
        </w:rPr>
        <w:t>de Commissie welke in september 2025 met de Kamer gedeeld is.</w:t>
      </w:r>
    </w:p>
    <w:p w:rsidRPr="0051289D" w:rsidR="00B56199" w:rsidP="00BC1A9D" w:rsidRDefault="00B56199" w14:paraId="5AE8174E" w14:textId="0DE6A43B">
      <w:pPr>
        <w:suppressAutoHyphens/>
        <w:spacing w:line="240" w:lineRule="auto"/>
        <w:rPr>
          <w:noProof/>
        </w:rPr>
      </w:pPr>
      <w:r>
        <w:rPr>
          <w:noProof/>
        </w:rPr>
        <w:t xml:space="preserve">Het belang van meerlandenproeven werd unaniem uitgesproken waarbij kleine EU-lidstaten nadruk legden op de noodzaak om toegang tot geneesmiddelen te krijgen. Daarnaast was er een brede oproep tot het stroomlijnen en harmoniseren van ethische commissies van afzondelijke EU-lidstaten. </w:t>
      </w:r>
      <w:r w:rsidR="00CA4AC4">
        <w:rPr>
          <w:noProof/>
        </w:rPr>
        <w:br/>
      </w:r>
      <w:r>
        <w:rPr>
          <w:noProof/>
        </w:rPr>
        <w:t xml:space="preserve">Nederland gaf aan het door de Commissie gesignaleerde probleen van het dalend aantal klinische studies in de EU te herkennen, waarbij een </w:t>
      </w:r>
      <w:r w:rsidR="00CF6F33">
        <w:rPr>
          <w:noProof/>
        </w:rPr>
        <w:t>verscheidenheid</w:t>
      </w:r>
      <w:r>
        <w:rPr>
          <w:noProof/>
        </w:rPr>
        <w:t xml:space="preserve"> aan regelgeving als reden is genoemd. Nederland benadrukte ook dat het versterken van de implementatie van de </w:t>
      </w:r>
      <w:r w:rsidRPr="005C1297">
        <w:rPr>
          <w:noProof/>
        </w:rPr>
        <w:t>Verordening klinisch onderzoek</w:t>
      </w:r>
      <w:r>
        <w:rPr>
          <w:noProof/>
        </w:rPr>
        <w:t xml:space="preserve"> (</w:t>
      </w:r>
      <w:r>
        <w:rPr>
          <w:i/>
          <w:iCs/>
          <w:noProof/>
        </w:rPr>
        <w:t>Clinical Trials Regulation</w:t>
      </w:r>
      <w:r w:rsidRPr="00552067">
        <w:rPr>
          <w:noProof/>
        </w:rPr>
        <w:t>)</w:t>
      </w:r>
      <w:r>
        <w:rPr>
          <w:noProof/>
        </w:rPr>
        <w:t xml:space="preserve">, waaronder het </w:t>
      </w:r>
      <w:r w:rsidRPr="00552067">
        <w:rPr>
          <w:i/>
          <w:iCs/>
          <w:noProof/>
        </w:rPr>
        <w:t>Clinical Trial Information System</w:t>
      </w:r>
      <w:r>
        <w:rPr>
          <w:noProof/>
        </w:rPr>
        <w:t xml:space="preserve"> (CTIS), kan bijdragen aan het concurrentievermogen van de EU. </w:t>
      </w:r>
    </w:p>
    <w:p w:rsidR="00B56199" w:rsidP="00BC1A9D" w:rsidRDefault="00B56199" w14:paraId="14D2E2C8" w14:textId="77777777">
      <w:pPr>
        <w:suppressAutoHyphens/>
        <w:spacing w:line="240" w:lineRule="auto"/>
        <w:rPr>
          <w:noProof/>
        </w:rPr>
      </w:pPr>
    </w:p>
    <w:p w:rsidR="00B56199" w:rsidP="00BC1A9D" w:rsidRDefault="00B56199" w14:paraId="7952C528" w14:textId="77777777">
      <w:pPr>
        <w:suppressAutoHyphens/>
        <w:spacing w:line="240" w:lineRule="auto"/>
        <w:rPr>
          <w:noProof/>
        </w:rPr>
      </w:pPr>
    </w:p>
    <w:p w:rsidRPr="00521906" w:rsidR="00B56199" w:rsidP="00BC1A9D" w:rsidRDefault="00B56199" w14:paraId="776279B4" w14:textId="77777777">
      <w:pPr>
        <w:suppressAutoHyphens/>
        <w:spacing w:line="240" w:lineRule="auto"/>
        <w:rPr>
          <w:b/>
          <w:bCs/>
          <w:i/>
          <w:iCs/>
          <w:noProof/>
        </w:rPr>
      </w:pPr>
      <w:r w:rsidRPr="00521906">
        <w:rPr>
          <w:b/>
          <w:bCs/>
          <w:i/>
          <w:iCs/>
          <w:noProof/>
        </w:rPr>
        <w:t>Gedachtewisseling over de weerbaarheid van toelev</w:t>
      </w:r>
      <w:r>
        <w:rPr>
          <w:b/>
          <w:bCs/>
          <w:i/>
          <w:iCs/>
          <w:noProof/>
        </w:rPr>
        <w:t>e</w:t>
      </w:r>
      <w:r w:rsidRPr="00521906">
        <w:rPr>
          <w:b/>
          <w:bCs/>
          <w:i/>
          <w:iCs/>
          <w:noProof/>
        </w:rPr>
        <w:t xml:space="preserve">ringsketens van geneesmiddelen. </w:t>
      </w:r>
    </w:p>
    <w:p w:rsidR="00B56199" w:rsidP="00BC1A9D" w:rsidRDefault="00B56199" w14:paraId="17E3D711" w14:textId="77777777">
      <w:pPr>
        <w:suppressAutoHyphens/>
        <w:spacing w:line="240" w:lineRule="auto"/>
        <w:rPr>
          <w:noProof/>
        </w:rPr>
      </w:pPr>
      <w:r>
        <w:rPr>
          <w:noProof/>
        </w:rPr>
        <w:t>Het Deense voorzitterschap</w:t>
      </w:r>
      <w:r w:rsidRPr="0072000D">
        <w:rPr>
          <w:noProof/>
        </w:rPr>
        <w:t xml:space="preserve"> </w:t>
      </w:r>
      <w:r>
        <w:rPr>
          <w:noProof/>
        </w:rPr>
        <w:t xml:space="preserve">organiseerde </w:t>
      </w:r>
      <w:r w:rsidRPr="0072000D">
        <w:rPr>
          <w:noProof/>
        </w:rPr>
        <w:t>twee ‘</w:t>
      </w:r>
      <w:r w:rsidRPr="0072000D">
        <w:rPr>
          <w:i/>
          <w:iCs/>
          <w:noProof/>
        </w:rPr>
        <w:t>break-out-rooms</w:t>
      </w:r>
      <w:r w:rsidRPr="0072000D">
        <w:rPr>
          <w:noProof/>
        </w:rPr>
        <w:t>’ voor het bespreken van twee thema’s binnen de weerbaarheid van toeleveringsketen</w:t>
      </w:r>
      <w:r>
        <w:rPr>
          <w:noProof/>
        </w:rPr>
        <w:t>s</w:t>
      </w:r>
      <w:r w:rsidRPr="0072000D">
        <w:rPr>
          <w:noProof/>
        </w:rPr>
        <w:t xml:space="preserve"> van geneesmiddelen: </w:t>
      </w:r>
      <w:r>
        <w:rPr>
          <w:noProof/>
        </w:rPr>
        <w:t>(1) data-deling en coördinatie van geneesmiddelenvooraden</w:t>
      </w:r>
      <w:r w:rsidRPr="0072000D">
        <w:rPr>
          <w:noProof/>
        </w:rPr>
        <w:t xml:space="preserve"> en </w:t>
      </w:r>
      <w:r>
        <w:rPr>
          <w:noProof/>
        </w:rPr>
        <w:t xml:space="preserve">(2) </w:t>
      </w:r>
      <w:r w:rsidRPr="0072000D">
        <w:rPr>
          <w:noProof/>
        </w:rPr>
        <w:t xml:space="preserve">gezamenlijke </w:t>
      </w:r>
      <w:r>
        <w:rPr>
          <w:noProof/>
        </w:rPr>
        <w:t>inkoop van geneesmiddelen</w:t>
      </w:r>
      <w:r w:rsidRPr="0072000D">
        <w:rPr>
          <w:noProof/>
        </w:rPr>
        <w:t xml:space="preserve">. </w:t>
      </w:r>
    </w:p>
    <w:p w:rsidRPr="0072000D" w:rsidR="00B56199" w:rsidP="00BC1A9D" w:rsidRDefault="00B56199" w14:paraId="1ABE7794" w14:textId="77777777">
      <w:pPr>
        <w:suppressAutoHyphens/>
        <w:spacing w:line="240" w:lineRule="auto"/>
        <w:rPr>
          <w:noProof/>
        </w:rPr>
      </w:pPr>
    </w:p>
    <w:p w:rsidR="00CA4AC4" w:rsidP="00BC1A9D" w:rsidRDefault="00B56199" w14:paraId="02373843" w14:textId="57A3EBF3">
      <w:pPr>
        <w:suppressAutoHyphens/>
        <w:spacing w:line="240" w:lineRule="auto"/>
        <w:rPr>
          <w:noProof/>
        </w:rPr>
      </w:pPr>
      <w:r w:rsidRPr="0072000D">
        <w:rPr>
          <w:noProof/>
        </w:rPr>
        <w:t xml:space="preserve">In </w:t>
      </w:r>
      <w:r>
        <w:rPr>
          <w:noProof/>
        </w:rPr>
        <w:t xml:space="preserve">de </w:t>
      </w:r>
      <w:r w:rsidRPr="0072000D">
        <w:rPr>
          <w:i/>
          <w:iCs/>
          <w:noProof/>
        </w:rPr>
        <w:t>break-out</w:t>
      </w:r>
      <w:r w:rsidRPr="0072000D">
        <w:rPr>
          <w:noProof/>
        </w:rPr>
        <w:t xml:space="preserve"> </w:t>
      </w:r>
      <w:r>
        <w:rPr>
          <w:noProof/>
        </w:rPr>
        <w:t xml:space="preserve">sessie over </w:t>
      </w:r>
      <w:r w:rsidRPr="0072000D">
        <w:rPr>
          <w:noProof/>
        </w:rPr>
        <w:t>gegevensuitwisseling g</w:t>
      </w:r>
      <w:r>
        <w:rPr>
          <w:noProof/>
        </w:rPr>
        <w:t>a</w:t>
      </w:r>
      <w:r w:rsidRPr="0072000D">
        <w:rPr>
          <w:noProof/>
        </w:rPr>
        <w:t xml:space="preserve">ven </w:t>
      </w:r>
      <w:r>
        <w:rPr>
          <w:noProof/>
        </w:rPr>
        <w:t xml:space="preserve">lidstaten </w:t>
      </w:r>
      <w:r w:rsidRPr="0072000D">
        <w:rPr>
          <w:noProof/>
        </w:rPr>
        <w:t>aan</w:t>
      </w:r>
      <w:r>
        <w:rPr>
          <w:noProof/>
        </w:rPr>
        <w:t xml:space="preserve"> </w:t>
      </w:r>
      <w:r w:rsidRPr="0072000D">
        <w:rPr>
          <w:noProof/>
        </w:rPr>
        <w:t xml:space="preserve">het belang </w:t>
      </w:r>
      <w:r w:rsidR="00CF6F33">
        <w:rPr>
          <w:noProof/>
        </w:rPr>
        <w:t>hiervan</w:t>
      </w:r>
      <w:r>
        <w:rPr>
          <w:noProof/>
        </w:rPr>
        <w:t xml:space="preserve"> in </w:t>
      </w:r>
      <w:r w:rsidRPr="0072000D">
        <w:rPr>
          <w:noProof/>
        </w:rPr>
        <w:t xml:space="preserve">te zien, maar </w:t>
      </w:r>
      <w:r>
        <w:rPr>
          <w:noProof/>
        </w:rPr>
        <w:t xml:space="preserve">dat </w:t>
      </w:r>
      <w:r w:rsidRPr="0072000D">
        <w:rPr>
          <w:noProof/>
        </w:rPr>
        <w:t xml:space="preserve">er nog veel uitdagingen zijn om dit mogelijk te maken. Er zijn wisselende definities, </w:t>
      </w:r>
      <w:r>
        <w:rPr>
          <w:noProof/>
        </w:rPr>
        <w:t>lidstaten</w:t>
      </w:r>
      <w:r w:rsidRPr="0072000D">
        <w:rPr>
          <w:noProof/>
        </w:rPr>
        <w:t xml:space="preserve"> hebben voorraden voor</w:t>
      </w:r>
      <w:r w:rsidR="00CA4AC4">
        <w:rPr>
          <w:noProof/>
        </w:rPr>
        <w:t xml:space="preserve"> </w:t>
      </w:r>
      <w:r w:rsidRPr="0072000D">
        <w:rPr>
          <w:noProof/>
        </w:rPr>
        <w:t>verschillende producten en voor verschillende situaties en ook nog bij verschillende partijen</w:t>
      </w:r>
      <w:r>
        <w:rPr>
          <w:noProof/>
        </w:rPr>
        <w:t>, zowel privaat als publiek</w:t>
      </w:r>
      <w:r w:rsidRPr="0072000D">
        <w:rPr>
          <w:noProof/>
        </w:rPr>
        <w:t xml:space="preserve">. </w:t>
      </w:r>
    </w:p>
    <w:p w:rsidR="00CA4AC4" w:rsidP="00BC1A9D" w:rsidRDefault="00B56199" w14:paraId="1B554E6E" w14:textId="77777777">
      <w:pPr>
        <w:suppressAutoHyphens/>
        <w:spacing w:line="240" w:lineRule="auto"/>
        <w:rPr>
          <w:noProof/>
        </w:rPr>
      </w:pPr>
      <w:r>
        <w:rPr>
          <w:noProof/>
        </w:rPr>
        <w:t>Lidstaten</w:t>
      </w:r>
      <w:r w:rsidRPr="0072000D">
        <w:rPr>
          <w:noProof/>
        </w:rPr>
        <w:t xml:space="preserve"> hebben ook verschillende zorgsystemen</w:t>
      </w:r>
      <w:r>
        <w:rPr>
          <w:noProof/>
        </w:rPr>
        <w:t xml:space="preserve"> en</w:t>
      </w:r>
      <w:r w:rsidRPr="0072000D">
        <w:rPr>
          <w:noProof/>
        </w:rPr>
        <w:t xml:space="preserve"> het is uitdagend om deze systemen aan elkaar te koppelen. Sommige </w:t>
      </w:r>
      <w:r>
        <w:rPr>
          <w:noProof/>
        </w:rPr>
        <w:t>lidstaten, waaronder Nederland,</w:t>
      </w:r>
      <w:r w:rsidRPr="0072000D">
        <w:rPr>
          <w:noProof/>
        </w:rPr>
        <w:t xml:space="preserve"> geven aan dat het moeilijk is om deze gegevens te delen omdat ze van commerciële bedrijven zijn en daarmee bedrijfsvertrouwelijk. </w:t>
      </w:r>
    </w:p>
    <w:p w:rsidR="00B56199" w:rsidP="00BC1A9D" w:rsidRDefault="00B56199" w14:paraId="17FE186C" w14:textId="1B761020">
      <w:pPr>
        <w:suppressAutoHyphens/>
        <w:spacing w:line="240" w:lineRule="auto"/>
        <w:rPr>
          <w:noProof/>
        </w:rPr>
      </w:pPr>
      <w:r w:rsidRPr="0072000D">
        <w:rPr>
          <w:noProof/>
        </w:rPr>
        <w:t xml:space="preserve">Andere </w:t>
      </w:r>
      <w:r>
        <w:rPr>
          <w:noProof/>
        </w:rPr>
        <w:t>lidstaten</w:t>
      </w:r>
      <w:r w:rsidRPr="0072000D">
        <w:rPr>
          <w:noProof/>
        </w:rPr>
        <w:t xml:space="preserve"> geven aan ook uit geopolitieke overwegingen deze data niet te willen delen.</w:t>
      </w:r>
      <w:r>
        <w:rPr>
          <w:noProof/>
        </w:rPr>
        <w:t xml:space="preserve"> </w:t>
      </w:r>
    </w:p>
    <w:p w:rsidRPr="0072000D" w:rsidR="00B56199" w:rsidP="00BC1A9D" w:rsidRDefault="00B56199" w14:paraId="09FBAECB" w14:textId="77777777">
      <w:pPr>
        <w:suppressAutoHyphens/>
        <w:spacing w:line="240" w:lineRule="auto"/>
        <w:rPr>
          <w:noProof/>
        </w:rPr>
      </w:pPr>
    </w:p>
    <w:p w:rsidRPr="0072000D" w:rsidR="00B56199" w:rsidP="00BC1A9D" w:rsidRDefault="00B56199" w14:paraId="176D6722" w14:textId="77777777">
      <w:pPr>
        <w:suppressAutoHyphens/>
        <w:spacing w:line="240" w:lineRule="auto"/>
        <w:rPr>
          <w:noProof/>
        </w:rPr>
      </w:pPr>
      <w:r w:rsidRPr="0072000D">
        <w:rPr>
          <w:noProof/>
        </w:rPr>
        <w:t xml:space="preserve">In </w:t>
      </w:r>
      <w:r>
        <w:rPr>
          <w:noProof/>
        </w:rPr>
        <w:t xml:space="preserve">de </w:t>
      </w:r>
      <w:r w:rsidRPr="0072000D">
        <w:rPr>
          <w:i/>
          <w:iCs/>
          <w:noProof/>
        </w:rPr>
        <w:t>break-out</w:t>
      </w:r>
      <w:r w:rsidRPr="0072000D">
        <w:rPr>
          <w:noProof/>
        </w:rPr>
        <w:t xml:space="preserve"> </w:t>
      </w:r>
      <w:r>
        <w:rPr>
          <w:noProof/>
        </w:rPr>
        <w:t xml:space="preserve">sessie over </w:t>
      </w:r>
      <w:r w:rsidRPr="0072000D">
        <w:rPr>
          <w:noProof/>
        </w:rPr>
        <w:t xml:space="preserve">aanbesteden van geneesmiddelen </w:t>
      </w:r>
      <w:r>
        <w:rPr>
          <w:noProof/>
        </w:rPr>
        <w:t>geven de</w:t>
      </w:r>
      <w:r w:rsidRPr="0072000D">
        <w:rPr>
          <w:noProof/>
        </w:rPr>
        <w:t xml:space="preserve"> meeste </w:t>
      </w:r>
      <w:r>
        <w:rPr>
          <w:noProof/>
        </w:rPr>
        <w:t>lidstaten aan</w:t>
      </w:r>
      <w:r w:rsidRPr="0072000D">
        <w:rPr>
          <w:noProof/>
        </w:rPr>
        <w:t xml:space="preserve"> wel mogelijkheden </w:t>
      </w:r>
      <w:r>
        <w:rPr>
          <w:noProof/>
        </w:rPr>
        <w:t xml:space="preserve">te zien </w:t>
      </w:r>
      <w:r w:rsidRPr="0072000D">
        <w:rPr>
          <w:noProof/>
        </w:rPr>
        <w:t>voor gezamenlijk aanbesteden. Er wordt aandacht gevraagd voor de mogelijkheid van marktverstoring. Een regionale benadering kan interessant zijn. Daarnaast zou gezamenlijke aanbesteden wel op vrijwillige basis moeten plaatsvinden.</w:t>
      </w:r>
      <w:r>
        <w:rPr>
          <w:noProof/>
        </w:rPr>
        <w:t xml:space="preserve"> Dit is in lijn met het Nederlandse standpunt. </w:t>
      </w:r>
    </w:p>
    <w:p w:rsidR="00B56199" w:rsidP="00BC1A9D" w:rsidRDefault="00B56199" w14:paraId="5B1A3E78" w14:textId="77777777">
      <w:pPr>
        <w:suppressAutoHyphens/>
        <w:spacing w:line="240" w:lineRule="auto"/>
        <w:rPr>
          <w:noProof/>
        </w:rPr>
      </w:pPr>
    </w:p>
    <w:p w:rsidR="00B56199" w:rsidP="00BC1A9D" w:rsidRDefault="00B56199" w14:paraId="18DB6780" w14:textId="77777777">
      <w:pPr>
        <w:suppressAutoHyphens/>
        <w:spacing w:line="240" w:lineRule="auto"/>
        <w:rPr>
          <w:b/>
          <w:bCs/>
          <w:i/>
          <w:iCs/>
          <w:noProof/>
        </w:rPr>
      </w:pPr>
    </w:p>
    <w:p w:rsidR="00B56199" w:rsidP="00BC1A9D" w:rsidRDefault="00B56199" w14:paraId="341E4E2D" w14:textId="77777777">
      <w:pPr>
        <w:suppressAutoHyphens/>
        <w:spacing w:line="240" w:lineRule="auto"/>
        <w:rPr>
          <w:b/>
          <w:bCs/>
          <w:i/>
          <w:iCs/>
          <w:noProof/>
        </w:rPr>
      </w:pPr>
    </w:p>
    <w:p w:rsidR="00B56199" w:rsidP="00BC1A9D" w:rsidRDefault="00B56199" w14:paraId="09A9E26D" w14:textId="77777777">
      <w:pPr>
        <w:suppressAutoHyphens/>
        <w:spacing w:line="240" w:lineRule="auto"/>
        <w:rPr>
          <w:b/>
          <w:bCs/>
          <w:i/>
          <w:iCs/>
          <w:noProof/>
        </w:rPr>
      </w:pPr>
    </w:p>
    <w:p w:rsidRPr="00521906" w:rsidR="00B56199" w:rsidP="00BC1A9D" w:rsidRDefault="00B56199" w14:paraId="55602D6A" w14:textId="77777777">
      <w:pPr>
        <w:suppressAutoHyphens/>
        <w:spacing w:line="240" w:lineRule="auto"/>
        <w:rPr>
          <w:b/>
          <w:bCs/>
          <w:i/>
          <w:iCs/>
          <w:noProof/>
        </w:rPr>
      </w:pPr>
      <w:r>
        <w:rPr>
          <w:b/>
          <w:bCs/>
          <w:i/>
          <w:iCs/>
          <w:noProof/>
        </w:rPr>
        <w:t>Lunchdebat</w:t>
      </w:r>
      <w:r w:rsidRPr="00521906">
        <w:rPr>
          <w:b/>
          <w:bCs/>
          <w:i/>
          <w:iCs/>
          <w:noProof/>
        </w:rPr>
        <w:t xml:space="preserve"> antimicrobiële resistentie (AMR)</w:t>
      </w:r>
    </w:p>
    <w:p w:rsidR="00B56199" w:rsidP="00BC1A9D" w:rsidRDefault="00B56199" w14:paraId="65BB0FBA" w14:textId="77777777">
      <w:pPr>
        <w:suppressAutoHyphens/>
        <w:spacing w:line="240" w:lineRule="auto"/>
        <w:rPr>
          <w:noProof/>
        </w:rPr>
      </w:pPr>
    </w:p>
    <w:p w:rsidR="00B56199" w:rsidP="00BC1A9D" w:rsidRDefault="00B56199" w14:paraId="545732B4" w14:textId="7935A6C8">
      <w:pPr>
        <w:suppressAutoHyphens/>
        <w:spacing w:line="240" w:lineRule="auto"/>
        <w:rPr>
          <w:noProof/>
        </w:rPr>
      </w:pPr>
      <w:r>
        <w:rPr>
          <w:noProof/>
        </w:rPr>
        <w:t xml:space="preserve">Op AMR toonden de lidstaten zich eensgezind in het benoemen van AMR als een prioriteit, de belangrijke rol van </w:t>
      </w:r>
      <w:r w:rsidRPr="00521906">
        <w:rPr>
          <w:i/>
          <w:iCs/>
          <w:noProof/>
        </w:rPr>
        <w:t>one-health</w:t>
      </w:r>
      <w:r>
        <w:rPr>
          <w:noProof/>
        </w:rPr>
        <w:t xml:space="preserve"> om hier grip op te krijgen en het ontwikkelen, vernieuwen en uitvoeren van Nationale Actieplannnen (NAP’s) als belangrijke instrumenten. De Nederlandse bijdrage onderschrijft dit en ziet een ondersteunende rol voor de </w:t>
      </w:r>
      <w:r w:rsidRPr="0051289D">
        <w:rPr>
          <w:noProof/>
        </w:rPr>
        <w:t>Europese ruimte voor gezondheidsgegevens (EHDS)</w:t>
      </w:r>
      <w:r>
        <w:rPr>
          <w:noProof/>
        </w:rPr>
        <w:t xml:space="preserve">. </w:t>
      </w:r>
    </w:p>
    <w:p w:rsidR="00B56199" w:rsidP="00BC1A9D" w:rsidRDefault="00B56199" w14:paraId="3040FEF4" w14:textId="77777777">
      <w:pPr>
        <w:suppressAutoHyphens/>
      </w:pPr>
    </w:p>
    <w:p w:rsidR="00B56199" w:rsidP="00BC1A9D" w:rsidRDefault="00B56199" w14:paraId="2249E6E3" w14:textId="77777777">
      <w:pPr>
        <w:suppressAutoHyphens/>
      </w:pPr>
    </w:p>
    <w:sectPr w:rsidR="00B5619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9C6C" w14:textId="77777777" w:rsidR="00FC78D6" w:rsidRDefault="00FC78D6">
      <w:pPr>
        <w:spacing w:line="240" w:lineRule="auto"/>
      </w:pPr>
      <w:r>
        <w:separator/>
      </w:r>
    </w:p>
  </w:endnote>
  <w:endnote w:type="continuationSeparator" w:id="0">
    <w:p w14:paraId="141501EF" w14:textId="77777777" w:rsidR="00FC78D6" w:rsidRDefault="00FC7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B9B8" w14:textId="77777777" w:rsidR="00B43C6E" w:rsidRDefault="00B43C6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3250" w14:textId="77777777" w:rsidR="00FC78D6" w:rsidRDefault="00FC78D6">
      <w:pPr>
        <w:spacing w:line="240" w:lineRule="auto"/>
      </w:pPr>
      <w:r>
        <w:separator/>
      </w:r>
    </w:p>
  </w:footnote>
  <w:footnote w:type="continuationSeparator" w:id="0">
    <w:p w14:paraId="548DFE7A" w14:textId="77777777" w:rsidR="00FC78D6" w:rsidRDefault="00FC78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A703" w14:textId="77777777" w:rsidR="00B43C6E" w:rsidRDefault="00B56199">
    <w:r>
      <w:rPr>
        <w:noProof/>
      </w:rPr>
      <mc:AlternateContent>
        <mc:Choice Requires="wps">
          <w:drawing>
            <wp:anchor distT="0" distB="0" distL="0" distR="0" simplePos="0" relativeHeight="251652608" behindDoc="0" locked="1" layoutInCell="1" allowOverlap="1" wp14:anchorId="6FEA8994" wp14:editId="13ACE8A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858B20" w14:textId="77777777" w:rsidR="00B43C6E" w:rsidRDefault="00B56199">
                          <w:pPr>
                            <w:pStyle w:val="Referentiegegevens"/>
                          </w:pPr>
                          <w:r>
                            <w:t>Directie Internationale Zaken</w:t>
                          </w:r>
                        </w:p>
                        <w:p w14:paraId="1D46E0D5" w14:textId="77777777" w:rsidR="00B43C6E" w:rsidRDefault="00B43C6E">
                          <w:pPr>
                            <w:pStyle w:val="WitregelW1"/>
                          </w:pPr>
                        </w:p>
                        <w:p w14:paraId="432C08F8" w14:textId="77777777" w:rsidR="00B43C6E" w:rsidRDefault="00B56199">
                          <w:pPr>
                            <w:pStyle w:val="Referentiegegevensbold"/>
                          </w:pPr>
                          <w:r>
                            <w:t>Onze referentie</w:t>
                          </w:r>
                        </w:p>
                        <w:p w14:paraId="02E56160" w14:textId="77777777" w:rsidR="00FF6101" w:rsidRDefault="00FF6101" w:rsidP="00FF6101">
                          <w:pPr>
                            <w:pStyle w:val="Huisstijl-Referentiegegevens"/>
                          </w:pPr>
                          <w:r>
                            <w:t>4274770-1090991-IZ</w:t>
                          </w:r>
                        </w:p>
                        <w:p w14:paraId="0B60F7C6" w14:textId="7D23DEE7" w:rsidR="00B43C6E" w:rsidRDefault="00B56199">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6FEA899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858B20" w14:textId="77777777" w:rsidR="00B43C6E" w:rsidRDefault="00B56199">
                    <w:pPr>
                      <w:pStyle w:val="Referentiegegevens"/>
                    </w:pPr>
                    <w:r>
                      <w:t>Directie Internationale Zaken</w:t>
                    </w:r>
                  </w:p>
                  <w:p w14:paraId="1D46E0D5" w14:textId="77777777" w:rsidR="00B43C6E" w:rsidRDefault="00B43C6E">
                    <w:pPr>
                      <w:pStyle w:val="WitregelW1"/>
                    </w:pPr>
                  </w:p>
                  <w:p w14:paraId="432C08F8" w14:textId="77777777" w:rsidR="00B43C6E" w:rsidRDefault="00B56199">
                    <w:pPr>
                      <w:pStyle w:val="Referentiegegevensbold"/>
                    </w:pPr>
                    <w:r>
                      <w:t>Onze referentie</w:t>
                    </w:r>
                  </w:p>
                  <w:p w14:paraId="02E56160" w14:textId="77777777" w:rsidR="00FF6101" w:rsidRDefault="00FF6101" w:rsidP="00FF6101">
                    <w:pPr>
                      <w:pStyle w:val="Huisstijl-Referentiegegevens"/>
                    </w:pPr>
                    <w:r>
                      <w:t>4274770-1090991-IZ</w:t>
                    </w:r>
                  </w:p>
                  <w:p w14:paraId="0B60F7C6" w14:textId="7D23DEE7" w:rsidR="00B43C6E" w:rsidRDefault="00B56199">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B6537AF" wp14:editId="251634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E39941" w14:textId="77777777" w:rsidR="00B56199" w:rsidRDefault="00B56199"/>
                      </w:txbxContent>
                    </wps:txbx>
                    <wps:bodyPr vert="horz" wrap="square" lIns="0" tIns="0" rIns="0" bIns="0" anchor="t" anchorCtr="0"/>
                  </wps:wsp>
                </a:graphicData>
              </a:graphic>
            </wp:anchor>
          </w:drawing>
        </mc:Choice>
        <mc:Fallback>
          <w:pict>
            <v:shape w14:anchorId="6B6537A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4E39941" w14:textId="77777777" w:rsidR="00B56199" w:rsidRDefault="00B5619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FEAE85A" wp14:editId="51E0AA7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07021E" w14:textId="082B5ED2" w:rsidR="00B43C6E" w:rsidRDefault="00B5619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FEAE85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E07021E" w14:textId="082B5ED2" w:rsidR="00B43C6E" w:rsidRDefault="00B5619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BF33" w14:textId="77777777" w:rsidR="00B43C6E" w:rsidRDefault="00B56199">
    <w:pPr>
      <w:spacing w:after="6377" w:line="14" w:lineRule="exact"/>
    </w:pPr>
    <w:r>
      <w:rPr>
        <w:noProof/>
      </w:rPr>
      <mc:AlternateContent>
        <mc:Choice Requires="wps">
          <w:drawing>
            <wp:anchor distT="0" distB="0" distL="0" distR="0" simplePos="0" relativeHeight="251655680" behindDoc="0" locked="1" layoutInCell="1" allowOverlap="1" wp14:anchorId="32F7CAE1" wp14:editId="672EF00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409915" w14:textId="77777777" w:rsidR="00BC1A9D" w:rsidRDefault="00B56199">
                          <w:r>
                            <w:t>De Voorzitter van de Tweede Kamer</w:t>
                          </w:r>
                        </w:p>
                        <w:p w14:paraId="05F8BADD" w14:textId="5C3D7466" w:rsidR="00B43C6E" w:rsidRDefault="00B56199">
                          <w:r>
                            <w:t>der Staten-Generaal</w:t>
                          </w:r>
                        </w:p>
                        <w:p w14:paraId="32256CC1" w14:textId="77777777" w:rsidR="00B43C6E" w:rsidRDefault="00B56199">
                          <w:r>
                            <w:t xml:space="preserve">Postbus 20018 </w:t>
                          </w:r>
                        </w:p>
                        <w:p w14:paraId="60C9F1FE" w14:textId="77777777" w:rsidR="00B43C6E" w:rsidRDefault="00B56199">
                          <w:r>
                            <w:t>2500 EA  DEN HAAG</w:t>
                          </w:r>
                        </w:p>
                      </w:txbxContent>
                    </wps:txbx>
                    <wps:bodyPr vert="horz" wrap="square" lIns="0" tIns="0" rIns="0" bIns="0" anchor="t" anchorCtr="0"/>
                  </wps:wsp>
                </a:graphicData>
              </a:graphic>
            </wp:anchor>
          </w:drawing>
        </mc:Choice>
        <mc:Fallback>
          <w:pict>
            <v:shapetype w14:anchorId="32F7CAE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F409915" w14:textId="77777777" w:rsidR="00BC1A9D" w:rsidRDefault="00B56199">
                    <w:r>
                      <w:t>De Voorzitter van de Tweede Kamer</w:t>
                    </w:r>
                  </w:p>
                  <w:p w14:paraId="05F8BADD" w14:textId="5C3D7466" w:rsidR="00B43C6E" w:rsidRDefault="00B56199">
                    <w:r>
                      <w:t>der Staten-Generaal</w:t>
                    </w:r>
                  </w:p>
                  <w:p w14:paraId="32256CC1" w14:textId="77777777" w:rsidR="00B43C6E" w:rsidRDefault="00B56199">
                    <w:r>
                      <w:t xml:space="preserve">Postbus 20018 </w:t>
                    </w:r>
                  </w:p>
                  <w:p w14:paraId="60C9F1FE" w14:textId="77777777" w:rsidR="00B43C6E" w:rsidRDefault="00B5619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EBC2C85" wp14:editId="64049F3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3C6E" w14:paraId="00B5E162" w14:textId="77777777">
                            <w:trPr>
                              <w:trHeight w:val="240"/>
                            </w:trPr>
                            <w:tc>
                              <w:tcPr>
                                <w:tcW w:w="1140" w:type="dxa"/>
                              </w:tcPr>
                              <w:p w14:paraId="70571EBD" w14:textId="77777777" w:rsidR="00B43C6E" w:rsidRDefault="00B56199">
                                <w:r>
                                  <w:t>Datum</w:t>
                                </w:r>
                              </w:p>
                            </w:tc>
                            <w:tc>
                              <w:tcPr>
                                <w:tcW w:w="5918" w:type="dxa"/>
                              </w:tcPr>
                              <w:p w14:paraId="59432A2D" w14:textId="43B36633" w:rsidR="00B43C6E" w:rsidRDefault="00CF6F33">
                                <w:r>
                                  <w:t>13 november 2025</w:t>
                                </w:r>
                              </w:p>
                            </w:tc>
                          </w:tr>
                          <w:tr w:rsidR="00B43C6E" w14:paraId="3E5E1D78" w14:textId="77777777">
                            <w:trPr>
                              <w:trHeight w:val="240"/>
                            </w:trPr>
                            <w:tc>
                              <w:tcPr>
                                <w:tcW w:w="1140" w:type="dxa"/>
                              </w:tcPr>
                              <w:p w14:paraId="5C9428B1" w14:textId="77777777" w:rsidR="00B43C6E" w:rsidRDefault="00B56199">
                                <w:r>
                                  <w:t>Betreft</w:t>
                                </w:r>
                              </w:p>
                            </w:tc>
                            <w:tc>
                              <w:tcPr>
                                <w:tcW w:w="5918" w:type="dxa"/>
                              </w:tcPr>
                              <w:p w14:paraId="3AEA0211" w14:textId="77777777" w:rsidR="00B43C6E" w:rsidRDefault="00B56199">
                                <w:r>
                                  <w:t>Verslag informele EU Gezondheidsraad 16 september 2025</w:t>
                                </w:r>
                              </w:p>
                            </w:tc>
                          </w:tr>
                        </w:tbl>
                        <w:p w14:paraId="3B9D4F86" w14:textId="77777777" w:rsidR="00B56199" w:rsidRDefault="00B56199"/>
                      </w:txbxContent>
                    </wps:txbx>
                    <wps:bodyPr vert="horz" wrap="square" lIns="0" tIns="0" rIns="0" bIns="0" anchor="t" anchorCtr="0"/>
                  </wps:wsp>
                </a:graphicData>
              </a:graphic>
            </wp:anchor>
          </w:drawing>
        </mc:Choice>
        <mc:Fallback>
          <w:pict>
            <v:shape w14:anchorId="0EBC2C8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3C6E" w14:paraId="00B5E162" w14:textId="77777777">
                      <w:trPr>
                        <w:trHeight w:val="240"/>
                      </w:trPr>
                      <w:tc>
                        <w:tcPr>
                          <w:tcW w:w="1140" w:type="dxa"/>
                        </w:tcPr>
                        <w:p w14:paraId="70571EBD" w14:textId="77777777" w:rsidR="00B43C6E" w:rsidRDefault="00B56199">
                          <w:r>
                            <w:t>Datum</w:t>
                          </w:r>
                        </w:p>
                      </w:tc>
                      <w:tc>
                        <w:tcPr>
                          <w:tcW w:w="5918" w:type="dxa"/>
                        </w:tcPr>
                        <w:p w14:paraId="59432A2D" w14:textId="43B36633" w:rsidR="00B43C6E" w:rsidRDefault="00CF6F33">
                          <w:r>
                            <w:t>13 november 2025</w:t>
                          </w:r>
                        </w:p>
                      </w:tc>
                    </w:tr>
                    <w:tr w:rsidR="00B43C6E" w14:paraId="3E5E1D78" w14:textId="77777777">
                      <w:trPr>
                        <w:trHeight w:val="240"/>
                      </w:trPr>
                      <w:tc>
                        <w:tcPr>
                          <w:tcW w:w="1140" w:type="dxa"/>
                        </w:tcPr>
                        <w:p w14:paraId="5C9428B1" w14:textId="77777777" w:rsidR="00B43C6E" w:rsidRDefault="00B56199">
                          <w:r>
                            <w:t>Betreft</w:t>
                          </w:r>
                        </w:p>
                      </w:tc>
                      <w:tc>
                        <w:tcPr>
                          <w:tcW w:w="5918" w:type="dxa"/>
                        </w:tcPr>
                        <w:p w14:paraId="3AEA0211" w14:textId="77777777" w:rsidR="00B43C6E" w:rsidRDefault="00B56199">
                          <w:r>
                            <w:t>Verslag informele EU Gezondheidsraad 16 september 2025</w:t>
                          </w:r>
                        </w:p>
                      </w:tc>
                    </w:tr>
                  </w:tbl>
                  <w:p w14:paraId="3B9D4F86" w14:textId="77777777" w:rsidR="00B56199" w:rsidRDefault="00B5619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05CE3F7" wp14:editId="26A22C2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3054C9" w14:textId="77777777" w:rsidR="00B43C6E" w:rsidRDefault="00B56199">
                          <w:pPr>
                            <w:pStyle w:val="Referentiegegevens"/>
                          </w:pPr>
                          <w:r>
                            <w:t>Directie Internationale Zaken</w:t>
                          </w:r>
                        </w:p>
                        <w:p w14:paraId="6B31736A" w14:textId="77777777" w:rsidR="00B43C6E" w:rsidRDefault="00B43C6E">
                          <w:pPr>
                            <w:pStyle w:val="WitregelW1"/>
                          </w:pPr>
                        </w:p>
                        <w:p w14:paraId="6325A5E3" w14:textId="77777777" w:rsidR="00B43C6E" w:rsidRDefault="00B56199">
                          <w:pPr>
                            <w:pStyle w:val="Referentiegegevens"/>
                          </w:pPr>
                          <w:r>
                            <w:t>Parnassusplein 5</w:t>
                          </w:r>
                        </w:p>
                        <w:p w14:paraId="3659E363" w14:textId="77777777" w:rsidR="00B43C6E" w:rsidRDefault="00B56199">
                          <w:pPr>
                            <w:pStyle w:val="Referentiegegevens"/>
                          </w:pPr>
                          <w:r>
                            <w:t>2511 VX  Den Haag</w:t>
                          </w:r>
                        </w:p>
                        <w:p w14:paraId="3175125A" w14:textId="77777777" w:rsidR="00B43C6E" w:rsidRPr="00B56199" w:rsidRDefault="00B56199">
                          <w:pPr>
                            <w:pStyle w:val="Referentiegegevens"/>
                            <w:rPr>
                              <w:lang w:val="de-DE"/>
                            </w:rPr>
                          </w:pPr>
                          <w:r w:rsidRPr="00B56199">
                            <w:rPr>
                              <w:lang w:val="de-DE"/>
                            </w:rPr>
                            <w:t>Postbus 20350</w:t>
                          </w:r>
                        </w:p>
                        <w:p w14:paraId="734DC1D0" w14:textId="77777777" w:rsidR="00B43C6E" w:rsidRPr="00B56199" w:rsidRDefault="00B56199">
                          <w:pPr>
                            <w:pStyle w:val="Referentiegegevens"/>
                            <w:rPr>
                              <w:lang w:val="de-DE"/>
                            </w:rPr>
                          </w:pPr>
                          <w:r w:rsidRPr="00B56199">
                            <w:rPr>
                              <w:lang w:val="de-DE"/>
                            </w:rPr>
                            <w:t>2500 EJ  Den Haag</w:t>
                          </w:r>
                        </w:p>
                        <w:p w14:paraId="09112E78" w14:textId="77777777" w:rsidR="00B43C6E" w:rsidRPr="00B56199" w:rsidRDefault="00B56199">
                          <w:pPr>
                            <w:pStyle w:val="Referentiegegevens"/>
                            <w:rPr>
                              <w:lang w:val="de-DE"/>
                            </w:rPr>
                          </w:pPr>
                          <w:r w:rsidRPr="00B56199">
                            <w:rPr>
                              <w:lang w:val="de-DE"/>
                            </w:rPr>
                            <w:t>www.rijksoverheid.nl</w:t>
                          </w:r>
                        </w:p>
                        <w:p w14:paraId="73306644" w14:textId="77777777" w:rsidR="00B43C6E" w:rsidRPr="00B56199" w:rsidRDefault="00B43C6E">
                          <w:pPr>
                            <w:pStyle w:val="WitregelW2"/>
                            <w:rPr>
                              <w:lang w:val="de-DE"/>
                            </w:rPr>
                          </w:pPr>
                        </w:p>
                        <w:p w14:paraId="22D03325" w14:textId="77777777" w:rsidR="00B43C6E" w:rsidRDefault="00B56199">
                          <w:pPr>
                            <w:pStyle w:val="Referentiegegevensbold"/>
                          </w:pPr>
                          <w:r>
                            <w:t>Onze referentie</w:t>
                          </w:r>
                        </w:p>
                        <w:p w14:paraId="504CBC68" w14:textId="37CD7C49" w:rsidR="00FF6101" w:rsidRDefault="00FF6101" w:rsidP="00FF6101">
                          <w:pPr>
                            <w:pStyle w:val="Huisstijl-Referentiegegevens"/>
                          </w:pPr>
                          <w:r>
                            <w:t>4274770-1090991-IZ</w:t>
                          </w:r>
                        </w:p>
                        <w:p w14:paraId="7E7C6888" w14:textId="77777777" w:rsidR="00BC1A9D" w:rsidRDefault="00BC1A9D" w:rsidP="00FF6101">
                          <w:pPr>
                            <w:pStyle w:val="Huisstijl-Referentiegegevens"/>
                          </w:pPr>
                        </w:p>
                        <w:p w14:paraId="0547D404" w14:textId="77777777" w:rsidR="00BC1A9D" w:rsidRPr="00BC1A9D" w:rsidRDefault="00BC1A9D" w:rsidP="00BC1A9D">
                          <w:pPr>
                            <w:pStyle w:val="Huisstijl-Referentiegegevens"/>
                            <w:rPr>
                              <w:b/>
                              <w:bCs/>
                            </w:rPr>
                          </w:pPr>
                          <w:r w:rsidRPr="00BC1A9D">
                            <w:rPr>
                              <w:b/>
                              <w:bCs/>
                            </w:rPr>
                            <w:t>Bijlage(n)</w:t>
                          </w:r>
                        </w:p>
                        <w:p w14:paraId="3A9DCA40" w14:textId="2F9D482A" w:rsidR="00BC1A9D" w:rsidRDefault="00BC1A9D" w:rsidP="00BC1A9D">
                          <w:pPr>
                            <w:pStyle w:val="Huisstijl-Referentiegegevens"/>
                          </w:pPr>
                          <w:r>
                            <w:t>1</w:t>
                          </w:r>
                        </w:p>
                        <w:p w14:paraId="2846D069" w14:textId="67913115" w:rsidR="00B43C6E" w:rsidRDefault="00B56199">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205CE3F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A3054C9" w14:textId="77777777" w:rsidR="00B43C6E" w:rsidRDefault="00B56199">
                    <w:pPr>
                      <w:pStyle w:val="Referentiegegevens"/>
                    </w:pPr>
                    <w:r>
                      <w:t>Directie Internationale Zaken</w:t>
                    </w:r>
                  </w:p>
                  <w:p w14:paraId="6B31736A" w14:textId="77777777" w:rsidR="00B43C6E" w:rsidRDefault="00B43C6E">
                    <w:pPr>
                      <w:pStyle w:val="WitregelW1"/>
                    </w:pPr>
                  </w:p>
                  <w:p w14:paraId="6325A5E3" w14:textId="77777777" w:rsidR="00B43C6E" w:rsidRDefault="00B56199">
                    <w:pPr>
                      <w:pStyle w:val="Referentiegegevens"/>
                    </w:pPr>
                    <w:r>
                      <w:t>Parnassusplein 5</w:t>
                    </w:r>
                  </w:p>
                  <w:p w14:paraId="3659E363" w14:textId="77777777" w:rsidR="00B43C6E" w:rsidRDefault="00B56199">
                    <w:pPr>
                      <w:pStyle w:val="Referentiegegevens"/>
                    </w:pPr>
                    <w:r>
                      <w:t>2511 VX  Den Haag</w:t>
                    </w:r>
                  </w:p>
                  <w:p w14:paraId="3175125A" w14:textId="77777777" w:rsidR="00B43C6E" w:rsidRPr="00B56199" w:rsidRDefault="00B56199">
                    <w:pPr>
                      <w:pStyle w:val="Referentiegegevens"/>
                      <w:rPr>
                        <w:lang w:val="de-DE"/>
                      </w:rPr>
                    </w:pPr>
                    <w:r w:rsidRPr="00B56199">
                      <w:rPr>
                        <w:lang w:val="de-DE"/>
                      </w:rPr>
                      <w:t>Postbus 20350</w:t>
                    </w:r>
                  </w:p>
                  <w:p w14:paraId="734DC1D0" w14:textId="77777777" w:rsidR="00B43C6E" w:rsidRPr="00B56199" w:rsidRDefault="00B56199">
                    <w:pPr>
                      <w:pStyle w:val="Referentiegegevens"/>
                      <w:rPr>
                        <w:lang w:val="de-DE"/>
                      </w:rPr>
                    </w:pPr>
                    <w:r w:rsidRPr="00B56199">
                      <w:rPr>
                        <w:lang w:val="de-DE"/>
                      </w:rPr>
                      <w:t>2500 EJ  Den Haag</w:t>
                    </w:r>
                  </w:p>
                  <w:p w14:paraId="09112E78" w14:textId="77777777" w:rsidR="00B43C6E" w:rsidRPr="00B56199" w:rsidRDefault="00B56199">
                    <w:pPr>
                      <w:pStyle w:val="Referentiegegevens"/>
                      <w:rPr>
                        <w:lang w:val="de-DE"/>
                      </w:rPr>
                    </w:pPr>
                    <w:r w:rsidRPr="00B56199">
                      <w:rPr>
                        <w:lang w:val="de-DE"/>
                      </w:rPr>
                      <w:t>www.rijksoverheid.nl</w:t>
                    </w:r>
                  </w:p>
                  <w:p w14:paraId="73306644" w14:textId="77777777" w:rsidR="00B43C6E" w:rsidRPr="00B56199" w:rsidRDefault="00B43C6E">
                    <w:pPr>
                      <w:pStyle w:val="WitregelW2"/>
                      <w:rPr>
                        <w:lang w:val="de-DE"/>
                      </w:rPr>
                    </w:pPr>
                  </w:p>
                  <w:p w14:paraId="22D03325" w14:textId="77777777" w:rsidR="00B43C6E" w:rsidRDefault="00B56199">
                    <w:pPr>
                      <w:pStyle w:val="Referentiegegevensbold"/>
                    </w:pPr>
                    <w:r>
                      <w:t>Onze referentie</w:t>
                    </w:r>
                  </w:p>
                  <w:p w14:paraId="504CBC68" w14:textId="37CD7C49" w:rsidR="00FF6101" w:rsidRDefault="00FF6101" w:rsidP="00FF6101">
                    <w:pPr>
                      <w:pStyle w:val="Huisstijl-Referentiegegevens"/>
                    </w:pPr>
                    <w:r>
                      <w:t>4274770-1090991-IZ</w:t>
                    </w:r>
                  </w:p>
                  <w:p w14:paraId="7E7C6888" w14:textId="77777777" w:rsidR="00BC1A9D" w:rsidRDefault="00BC1A9D" w:rsidP="00FF6101">
                    <w:pPr>
                      <w:pStyle w:val="Huisstijl-Referentiegegevens"/>
                    </w:pPr>
                  </w:p>
                  <w:p w14:paraId="0547D404" w14:textId="77777777" w:rsidR="00BC1A9D" w:rsidRPr="00BC1A9D" w:rsidRDefault="00BC1A9D" w:rsidP="00BC1A9D">
                    <w:pPr>
                      <w:pStyle w:val="Huisstijl-Referentiegegevens"/>
                      <w:rPr>
                        <w:b/>
                        <w:bCs/>
                      </w:rPr>
                    </w:pPr>
                    <w:r w:rsidRPr="00BC1A9D">
                      <w:rPr>
                        <w:b/>
                        <w:bCs/>
                      </w:rPr>
                      <w:t>Bijlage(n)</w:t>
                    </w:r>
                  </w:p>
                  <w:p w14:paraId="3A9DCA40" w14:textId="2F9D482A" w:rsidR="00BC1A9D" w:rsidRDefault="00BC1A9D" w:rsidP="00BC1A9D">
                    <w:pPr>
                      <w:pStyle w:val="Huisstijl-Referentiegegevens"/>
                    </w:pPr>
                    <w:r>
                      <w:t>1</w:t>
                    </w:r>
                  </w:p>
                  <w:p w14:paraId="2846D069" w14:textId="67913115" w:rsidR="00B43C6E" w:rsidRDefault="00B56199">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85DC6B" wp14:editId="4865CA7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5B5A14" w14:textId="77777777" w:rsidR="00B56199" w:rsidRDefault="00B56199"/>
                      </w:txbxContent>
                    </wps:txbx>
                    <wps:bodyPr vert="horz" wrap="square" lIns="0" tIns="0" rIns="0" bIns="0" anchor="t" anchorCtr="0"/>
                  </wps:wsp>
                </a:graphicData>
              </a:graphic>
            </wp:anchor>
          </w:drawing>
        </mc:Choice>
        <mc:Fallback>
          <w:pict>
            <v:shape w14:anchorId="3685DC6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5B5A14" w14:textId="77777777" w:rsidR="00B56199" w:rsidRDefault="00B5619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414152A" wp14:editId="117CA40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933836" w14:textId="77777777" w:rsidR="00B43C6E" w:rsidRDefault="00B5619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414152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6933836" w14:textId="77777777" w:rsidR="00B43C6E" w:rsidRDefault="00B5619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5AC9998" wp14:editId="798D573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FB61D3" w14:textId="4C1D5AAA" w:rsidR="00B43C6E" w:rsidRDefault="00B43C6E">
                          <w:pPr>
                            <w:spacing w:line="240" w:lineRule="auto"/>
                          </w:pPr>
                        </w:p>
                      </w:txbxContent>
                    </wps:txbx>
                    <wps:bodyPr vert="horz" wrap="square" lIns="0" tIns="0" rIns="0" bIns="0" anchor="t" anchorCtr="0"/>
                  </wps:wsp>
                </a:graphicData>
              </a:graphic>
            </wp:anchor>
          </w:drawing>
        </mc:Choice>
        <mc:Fallback>
          <w:pict>
            <v:shape w14:anchorId="75AC999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FB61D3" w14:textId="4C1D5AAA" w:rsidR="00B43C6E" w:rsidRDefault="00B43C6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5915FB" wp14:editId="7AAD0F0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0C30EB" w14:textId="77777777" w:rsidR="00B43C6E" w:rsidRDefault="00B56199">
                          <w:pPr>
                            <w:spacing w:line="240" w:lineRule="auto"/>
                          </w:pPr>
                          <w:r>
                            <w:rPr>
                              <w:noProof/>
                            </w:rPr>
                            <w:drawing>
                              <wp:inline distT="0" distB="0" distL="0" distR="0" wp14:anchorId="3FCAAA6B" wp14:editId="5CF8AB27">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5915F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00C30EB" w14:textId="77777777" w:rsidR="00B43C6E" w:rsidRDefault="00B56199">
                    <w:pPr>
                      <w:spacing w:line="240" w:lineRule="auto"/>
                    </w:pPr>
                    <w:r>
                      <w:rPr>
                        <w:noProof/>
                      </w:rPr>
                      <w:drawing>
                        <wp:inline distT="0" distB="0" distL="0" distR="0" wp14:anchorId="3FCAAA6B" wp14:editId="5CF8AB27">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267F5F" wp14:editId="4BF134D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97AE62" w14:textId="77777777" w:rsidR="00B43C6E" w:rsidRDefault="00B56199">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C267F5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397AE62" w14:textId="77777777" w:rsidR="00B43C6E" w:rsidRDefault="00B56199">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E2C366"/>
    <w:multiLevelType w:val="multilevel"/>
    <w:tmpl w:val="702200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F860DB"/>
    <w:multiLevelType w:val="multilevel"/>
    <w:tmpl w:val="2EE430A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14F7135"/>
    <w:multiLevelType w:val="multilevel"/>
    <w:tmpl w:val="79D258D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B9C6977"/>
    <w:multiLevelType w:val="multilevel"/>
    <w:tmpl w:val="247549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56370FC"/>
    <w:multiLevelType w:val="multilevel"/>
    <w:tmpl w:val="AE979D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56989484">
    <w:abstractNumId w:val="1"/>
  </w:num>
  <w:num w:numId="2" w16cid:durableId="475993320">
    <w:abstractNumId w:val="2"/>
  </w:num>
  <w:num w:numId="3" w16cid:durableId="336007594">
    <w:abstractNumId w:val="4"/>
  </w:num>
  <w:num w:numId="4" w16cid:durableId="1688560533">
    <w:abstractNumId w:val="0"/>
  </w:num>
  <w:num w:numId="5" w16cid:durableId="1062370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99"/>
    <w:rsid w:val="000446CB"/>
    <w:rsid w:val="0008686A"/>
    <w:rsid w:val="00420344"/>
    <w:rsid w:val="004D306E"/>
    <w:rsid w:val="004F7B90"/>
    <w:rsid w:val="005432A8"/>
    <w:rsid w:val="005E26C4"/>
    <w:rsid w:val="00723E9A"/>
    <w:rsid w:val="0082507E"/>
    <w:rsid w:val="00951BA6"/>
    <w:rsid w:val="00B43C6E"/>
    <w:rsid w:val="00B56199"/>
    <w:rsid w:val="00BC1A9D"/>
    <w:rsid w:val="00C02DFA"/>
    <w:rsid w:val="00C32C03"/>
    <w:rsid w:val="00C43F74"/>
    <w:rsid w:val="00CA4AC4"/>
    <w:rsid w:val="00CF6F33"/>
    <w:rsid w:val="00D83487"/>
    <w:rsid w:val="00DB20E1"/>
    <w:rsid w:val="00F00965"/>
    <w:rsid w:val="00FC78D6"/>
    <w:rsid w:val="00FF6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9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6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6101"/>
    <w:rPr>
      <w:rFonts w:ascii="Verdana" w:hAnsi="Verdana"/>
      <w:color w:val="000000"/>
      <w:sz w:val="18"/>
      <w:szCs w:val="18"/>
    </w:rPr>
  </w:style>
  <w:style w:type="paragraph" w:styleId="Voettekst">
    <w:name w:val="footer"/>
    <w:basedOn w:val="Standaard"/>
    <w:link w:val="VoettekstChar"/>
    <w:uiPriority w:val="99"/>
    <w:unhideWhenUsed/>
    <w:rsid w:val="00FF61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6101"/>
    <w:rPr>
      <w:rFonts w:ascii="Verdana" w:hAnsi="Verdana"/>
      <w:color w:val="000000"/>
      <w:sz w:val="18"/>
      <w:szCs w:val="18"/>
    </w:rPr>
  </w:style>
  <w:style w:type="paragraph" w:customStyle="1" w:styleId="Huisstijl-Referentiegegevens">
    <w:name w:val="Huisstijl - Referentiegegevens"/>
    <w:basedOn w:val="Standaard"/>
    <w:rsid w:val="00FF6101"/>
    <w:pPr>
      <w:widowControl w:val="0"/>
      <w:suppressAutoHyphens/>
      <w:spacing w:line="180" w:lineRule="exact"/>
    </w:pPr>
    <w:rPr>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626</ap:Words>
  <ap:Characters>3444</ap:Characters>
  <ap:DocSecurity>0</ap:DocSecurity>
  <ap:Lines>28</ap:Lines>
  <ap:Paragraphs>8</ap:Paragraphs>
  <ap:ScaleCrop>false</ap:ScaleCrop>
  <ap:LinksUpToDate>false</ap:LinksUpToDate>
  <ap:CharactersWithSpaces>4062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2025-11-13T16:17:00.0000000Z</dcterms:created>
  <dcterms:modified xsi:type="dcterms:W3CDTF">2025-11-13T16:17:00.0000000Z</dcterms:modified>
  <dc:description>------------------------</dc:description>
  <dc:subject/>
  <keywords/>
  <version/>
  <category/>
</coreProperties>
</file>