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3B4752" w14:paraId="6196D410" w14:textId="77777777">
        <w:trPr>
          <w:cantSplit/>
        </w:trPr>
        <w:tc>
          <w:tcPr>
            <w:tcW w:w="9212" w:type="dxa"/>
            <w:gridSpan w:val="2"/>
          </w:tcPr>
          <w:p w:rsidR="003B4752" w:rsidRDefault="003B4752" w14:paraId="6C7BB9E1" w14:textId="77777777">
            <w:pPr>
              <w:tabs>
                <w:tab w:val="left" w:pos="-1440"/>
                <w:tab w:val="left" w:pos="-720"/>
              </w:tabs>
              <w:suppressAutoHyphens/>
            </w:pPr>
          </w:p>
        </w:tc>
      </w:tr>
      <w:tr w:rsidR="003B4752" w14:paraId="5BC30F44" w14:textId="77777777">
        <w:trPr>
          <w:cantSplit/>
        </w:trPr>
        <w:tc>
          <w:tcPr>
            <w:tcW w:w="9212" w:type="dxa"/>
            <w:gridSpan w:val="2"/>
          </w:tcPr>
          <w:p w:rsidR="003B4752" w:rsidRDefault="003B4752" w14:paraId="7252563B" w14:textId="77777777">
            <w:pPr>
              <w:tabs>
                <w:tab w:val="left" w:pos="-1440"/>
                <w:tab w:val="left" w:pos="-720"/>
              </w:tabs>
              <w:suppressAutoHyphens/>
              <w:rPr>
                <w:b/>
              </w:rPr>
            </w:pPr>
          </w:p>
        </w:tc>
      </w:tr>
      <w:tr w:rsidR="009833D1" w14:paraId="47733254" w14:textId="77777777">
        <w:tc>
          <w:tcPr>
            <w:tcW w:w="2622" w:type="dxa"/>
          </w:tcPr>
          <w:p w:rsidR="009833D1" w:rsidRDefault="00D47998" w14:paraId="652D8B07" w14:textId="4D696CD3">
            <w:pPr>
              <w:widowControl w:val="0"/>
              <w:rPr>
                <w:b/>
              </w:rPr>
            </w:pPr>
            <w:r>
              <w:rPr>
                <w:b/>
              </w:rPr>
              <w:t>36 125</w:t>
            </w:r>
          </w:p>
        </w:tc>
        <w:tc>
          <w:tcPr>
            <w:tcW w:w="6590" w:type="dxa"/>
          </w:tcPr>
          <w:p w:rsidRPr="00D47998" w:rsidR="009833D1" w:rsidP="00D47998" w:rsidRDefault="00D47998" w14:paraId="1F3B77E4" w14:textId="0F0AD6EB">
            <w:pPr>
              <w:rPr>
                <w:b/>
                <w:bCs/>
                <w:szCs w:val="24"/>
              </w:rPr>
            </w:pPr>
            <w:r w:rsidRPr="00D47998">
              <w:rPr>
                <w:b/>
                <w:bCs/>
                <w:szCs w:val="24"/>
              </w:rPr>
              <w:t>Voorstel van wet van het lid Sneller tot wijziging van de Wet op de rechterlijke organisatie in verband met het laten vervallen van de bijzondere aanwijzingsbevoegdheid van de minister met betrekking tot de uitoefening van de taken en bevoegdheden van het openbaar ministerie (Wet verval bijzondere aanwijzingsbevoegdheid openbaar ministerie)</w:t>
            </w:r>
          </w:p>
        </w:tc>
      </w:tr>
      <w:tr w:rsidR="003B4752" w14:paraId="780C4DD8" w14:textId="77777777">
        <w:tc>
          <w:tcPr>
            <w:tcW w:w="2622" w:type="dxa"/>
          </w:tcPr>
          <w:p w:rsidR="003B4752" w:rsidRDefault="003B4752" w14:paraId="295EABD1" w14:textId="77777777">
            <w:pPr>
              <w:tabs>
                <w:tab w:val="left" w:pos="284"/>
              </w:tabs>
              <w:rPr>
                <w:b/>
              </w:rPr>
            </w:pPr>
          </w:p>
        </w:tc>
        <w:tc>
          <w:tcPr>
            <w:tcW w:w="6590" w:type="dxa"/>
          </w:tcPr>
          <w:p w:rsidR="003B4752" w:rsidRDefault="003B4752" w14:paraId="2FF22899" w14:textId="77777777">
            <w:pPr>
              <w:tabs>
                <w:tab w:val="left" w:pos="284"/>
              </w:tabs>
              <w:rPr>
                <w:b/>
              </w:rPr>
            </w:pPr>
          </w:p>
        </w:tc>
      </w:tr>
      <w:tr w:rsidR="003B4752" w14:paraId="3CEA5903" w14:textId="77777777">
        <w:tc>
          <w:tcPr>
            <w:tcW w:w="2622" w:type="dxa"/>
          </w:tcPr>
          <w:p w:rsidR="003B4752" w:rsidRDefault="003B4752" w14:paraId="0B1356A0" w14:textId="6223C706">
            <w:pPr>
              <w:tabs>
                <w:tab w:val="left" w:pos="284"/>
              </w:tabs>
              <w:rPr>
                <w:b/>
              </w:rPr>
            </w:pPr>
            <w:r>
              <w:rPr>
                <w:b/>
              </w:rPr>
              <w:t xml:space="preserve">Nr. </w:t>
            </w:r>
            <w:r w:rsidR="00271543">
              <w:rPr>
                <w:b/>
              </w:rPr>
              <w:t>11</w:t>
            </w:r>
          </w:p>
        </w:tc>
        <w:tc>
          <w:tcPr>
            <w:tcW w:w="6590" w:type="dxa"/>
          </w:tcPr>
          <w:p w:rsidR="003B4752" w:rsidRDefault="003B4752" w14:paraId="7FEEF50A" w14:textId="77777777">
            <w:pPr>
              <w:tabs>
                <w:tab w:val="left" w:pos="284"/>
              </w:tabs>
              <w:rPr>
                <w:b/>
              </w:rPr>
            </w:pPr>
            <w:r>
              <w:rPr>
                <w:b/>
              </w:rPr>
              <w:t>NOTA VAN WIJZIGING</w:t>
            </w:r>
          </w:p>
          <w:p w:rsidR="003B4752" w:rsidP="009833D1" w:rsidRDefault="003B4752" w14:paraId="0D3B7453" w14:textId="5CB1776F">
            <w:pPr>
              <w:tabs>
                <w:tab w:val="left" w:pos="284"/>
              </w:tabs>
            </w:pPr>
            <w:r>
              <w:t xml:space="preserve">Ontvangen </w:t>
            </w:r>
            <w:r w:rsidR="007D0C32">
              <w:t>14 november 2025</w:t>
            </w:r>
          </w:p>
        </w:tc>
      </w:tr>
    </w:tbl>
    <w:p w:rsidR="00D47998" w:rsidP="00D47998" w:rsidRDefault="00D47998" w14:paraId="45E8C564" w14:textId="77777777">
      <w:pPr>
        <w:tabs>
          <w:tab w:val="left" w:pos="284"/>
        </w:tabs>
        <w:rPr>
          <w:bCs/>
        </w:rPr>
      </w:pPr>
    </w:p>
    <w:p w:rsidRPr="00D47998" w:rsidR="00D47998" w:rsidP="00D47998" w:rsidRDefault="00D47998" w14:paraId="3C4DBE9F" w14:textId="0DE9703A">
      <w:pPr>
        <w:tabs>
          <w:tab w:val="left" w:pos="284"/>
        </w:tabs>
        <w:rPr>
          <w:bCs/>
        </w:rPr>
      </w:pPr>
      <w:r>
        <w:rPr>
          <w:bCs/>
        </w:rPr>
        <w:tab/>
      </w:r>
      <w:r w:rsidRPr="00D47998">
        <w:rPr>
          <w:bCs/>
        </w:rPr>
        <w:t>Het voorstel van wet wordt als volgt gewijzigd:</w:t>
      </w:r>
    </w:p>
    <w:p w:rsidRPr="00D47998" w:rsidR="00D47998" w:rsidP="00D47998" w:rsidRDefault="00D47998" w14:paraId="0D96A78A" w14:textId="77777777">
      <w:pPr>
        <w:tabs>
          <w:tab w:val="left" w:pos="284"/>
        </w:tabs>
        <w:rPr>
          <w:bCs/>
        </w:rPr>
      </w:pPr>
      <w:r w:rsidRPr="00D47998">
        <w:t xml:space="preserve"> </w:t>
      </w:r>
    </w:p>
    <w:p w:rsidRPr="00D47998" w:rsidR="00D47998" w:rsidP="00D47998" w:rsidRDefault="00D47998" w14:paraId="67A62170" w14:textId="4F8322A2">
      <w:pPr>
        <w:tabs>
          <w:tab w:val="left" w:pos="284"/>
        </w:tabs>
        <w:rPr>
          <w:bCs/>
        </w:rPr>
      </w:pPr>
      <w:r>
        <w:rPr>
          <w:bCs/>
        </w:rPr>
        <w:tab/>
      </w:r>
      <w:r w:rsidRPr="00D47998">
        <w:rPr>
          <w:bCs/>
        </w:rPr>
        <w:t>Artikel I, onderdeel C, komt te luiden:</w:t>
      </w:r>
    </w:p>
    <w:p w:rsidRPr="00D47998" w:rsidR="00D47998" w:rsidP="00D47998" w:rsidRDefault="00D47998" w14:paraId="6B5DAA64" w14:textId="77777777">
      <w:pPr>
        <w:tabs>
          <w:tab w:val="left" w:pos="284"/>
        </w:tabs>
        <w:rPr>
          <w:bCs/>
        </w:rPr>
      </w:pPr>
    </w:p>
    <w:p w:rsidRPr="00D47998" w:rsidR="00D47998" w:rsidP="00D47998" w:rsidRDefault="00D47998" w14:paraId="035E9CF7" w14:textId="77777777">
      <w:pPr>
        <w:tabs>
          <w:tab w:val="left" w:pos="284"/>
        </w:tabs>
        <w:rPr>
          <w:bCs/>
        </w:rPr>
      </w:pPr>
      <w:r w:rsidRPr="00D47998">
        <w:rPr>
          <w:bCs/>
        </w:rPr>
        <w:t>C</w:t>
      </w:r>
    </w:p>
    <w:p w:rsidRPr="00D47998" w:rsidR="00D47998" w:rsidP="00D47998" w:rsidRDefault="00D47998" w14:paraId="5FB87317" w14:textId="77777777">
      <w:pPr>
        <w:tabs>
          <w:tab w:val="left" w:pos="284"/>
        </w:tabs>
        <w:rPr>
          <w:bCs/>
        </w:rPr>
      </w:pPr>
    </w:p>
    <w:p w:rsidR="00D47998" w:rsidP="00D47998" w:rsidRDefault="00D47998" w14:paraId="2A99C18A" w14:textId="74D47837">
      <w:pPr>
        <w:tabs>
          <w:tab w:val="left" w:pos="284"/>
        </w:tabs>
        <w:rPr>
          <w:bCs/>
        </w:rPr>
      </w:pPr>
      <w:r>
        <w:rPr>
          <w:bCs/>
        </w:rPr>
        <w:tab/>
      </w:r>
      <w:r w:rsidRPr="00D47998">
        <w:rPr>
          <w:bCs/>
        </w:rPr>
        <w:t>Aan artikel 129, eerste lid, wordt een zin toegevoegd, luidende: De inlichtingen zien niet op een concreet geval, tenzij:</w:t>
      </w:r>
    </w:p>
    <w:p w:rsidR="00D47998" w:rsidP="00D47998" w:rsidRDefault="0070616A" w14:paraId="6C20EA32" w14:textId="46B2BAD7">
      <w:pPr>
        <w:tabs>
          <w:tab w:val="left" w:pos="284"/>
        </w:tabs>
        <w:rPr>
          <w:bCs/>
        </w:rPr>
      </w:pPr>
      <w:r>
        <w:rPr>
          <w:bCs/>
        </w:rPr>
        <w:tab/>
      </w:r>
      <w:r w:rsidRPr="00D47998" w:rsidR="00D47998">
        <w:rPr>
          <w:bCs/>
        </w:rPr>
        <w:t>a. uit enig wettelijk voorschrift anders voortvloeit;</w:t>
      </w:r>
    </w:p>
    <w:p w:rsidR="00D47998" w:rsidP="00D47998" w:rsidRDefault="00D47998" w14:paraId="537353C7" w14:textId="3738E888">
      <w:pPr>
        <w:tabs>
          <w:tab w:val="left" w:pos="284"/>
        </w:tabs>
        <w:rPr>
          <w:bCs/>
        </w:rPr>
      </w:pPr>
      <w:r>
        <w:tab/>
      </w:r>
      <w:r w:rsidRPr="00D47998">
        <w:t>b. de inlichtingen betrekking hebben op de opsporing of vervolging van een strafbaar feit ter zake waarvan:</w:t>
      </w:r>
    </w:p>
    <w:p w:rsidR="00D47998" w:rsidP="00D47998" w:rsidRDefault="00D47998" w14:paraId="439A3312" w14:textId="1D3D723D">
      <w:pPr>
        <w:tabs>
          <w:tab w:val="left" w:pos="284"/>
        </w:tabs>
        <w:rPr>
          <w:bCs/>
        </w:rPr>
      </w:pPr>
      <w:r>
        <w:rPr>
          <w:bCs/>
        </w:rPr>
        <w:tab/>
      </w:r>
      <w:r w:rsidRPr="00D47998">
        <w:rPr>
          <w:bCs/>
        </w:rPr>
        <w:t xml:space="preserve">1º. door de officier van justitie een beslissing tot niet vervolging of niet verdere vervolging is genomen; of </w:t>
      </w:r>
    </w:p>
    <w:p w:rsidR="00D47998" w:rsidP="00D47998" w:rsidRDefault="00D47998" w14:paraId="03024513" w14:textId="595456EA">
      <w:pPr>
        <w:tabs>
          <w:tab w:val="left" w:pos="284"/>
        </w:tabs>
        <w:rPr>
          <w:bCs/>
        </w:rPr>
      </w:pPr>
      <w:r>
        <w:rPr>
          <w:bCs/>
        </w:rPr>
        <w:tab/>
      </w:r>
      <w:r w:rsidRPr="00D47998">
        <w:rPr>
          <w:bCs/>
        </w:rPr>
        <w:t>2º. een onherroepelijk geworden strafbeschikking is uitgevaardigd; of</w:t>
      </w:r>
    </w:p>
    <w:p w:rsidRPr="00D47998" w:rsidR="00D47998" w:rsidP="00D47998" w:rsidRDefault="00D47998" w14:paraId="0927E952" w14:textId="13973729">
      <w:pPr>
        <w:tabs>
          <w:tab w:val="left" w:pos="284"/>
        </w:tabs>
        <w:rPr>
          <w:bCs/>
        </w:rPr>
      </w:pPr>
      <w:r>
        <w:rPr>
          <w:bCs/>
        </w:rPr>
        <w:tab/>
      </w:r>
      <w:r w:rsidRPr="00D47998">
        <w:rPr>
          <w:bCs/>
        </w:rPr>
        <w:t>c. de inlichtingen betrekking hebben op een zaak ten aanzien waarvan een in kracht van gewijsde gegane rechterlijke einduitspraak is gedaan.</w:t>
      </w:r>
    </w:p>
    <w:p w:rsidR="009833D1" w:rsidP="00FE223B" w:rsidRDefault="009833D1" w14:paraId="05659F29" w14:textId="77777777">
      <w:pPr>
        <w:tabs>
          <w:tab w:val="left" w:pos="284"/>
        </w:tabs>
      </w:pPr>
    </w:p>
    <w:p w:rsidRPr="00D47998" w:rsidR="00D47998" w:rsidP="00FE223B" w:rsidRDefault="00D47998" w14:paraId="4E1BD55E" w14:textId="289090EF">
      <w:pPr>
        <w:tabs>
          <w:tab w:val="left" w:pos="284"/>
        </w:tabs>
        <w:rPr>
          <w:b/>
          <w:bCs/>
        </w:rPr>
      </w:pPr>
      <w:r w:rsidRPr="00D47998">
        <w:rPr>
          <w:b/>
          <w:bCs/>
        </w:rPr>
        <w:t>Toelichting</w:t>
      </w:r>
    </w:p>
    <w:p w:rsidR="00D47998" w:rsidP="00FE223B" w:rsidRDefault="00D47998" w14:paraId="36FE3328" w14:textId="77777777">
      <w:pPr>
        <w:tabs>
          <w:tab w:val="left" w:pos="284"/>
        </w:tabs>
      </w:pPr>
    </w:p>
    <w:p w:rsidR="004E34AE" w:rsidP="0057236E" w:rsidRDefault="00214A78" w14:paraId="73933A75" w14:textId="4910679B">
      <w:pPr>
        <w:pStyle w:val="Amendement"/>
        <w:rPr>
          <w:rFonts w:ascii="Times New Roman" w:hAnsi="Times New Roman" w:cs="Times New Roman"/>
          <w:b w:val="0"/>
          <w:bCs w:val="0"/>
        </w:rPr>
      </w:pPr>
      <w:r>
        <w:rPr>
          <w:rFonts w:ascii="Times New Roman" w:hAnsi="Times New Roman" w:cs="Times New Roman"/>
          <w:b w:val="0"/>
          <w:bCs w:val="0"/>
        </w:rPr>
        <w:t>Met het wetsvoorstel wordt in</w:t>
      </w:r>
      <w:r w:rsidRPr="0E85CF32" w:rsidR="0057236E">
        <w:rPr>
          <w:rFonts w:ascii="Times New Roman" w:hAnsi="Times New Roman" w:cs="Times New Roman"/>
          <w:b w:val="0"/>
          <w:bCs w:val="0"/>
        </w:rPr>
        <w:t xml:space="preserve"> het eerste lid van artikel 129 </w:t>
      </w:r>
      <w:r w:rsidR="0057236E">
        <w:rPr>
          <w:rFonts w:ascii="Times New Roman" w:hAnsi="Times New Roman" w:cs="Times New Roman"/>
          <w:b w:val="0"/>
          <w:bCs w:val="0"/>
        </w:rPr>
        <w:t>W</w:t>
      </w:r>
      <w:r w:rsidRPr="0E85CF32" w:rsidR="0057236E">
        <w:rPr>
          <w:rFonts w:ascii="Times New Roman" w:hAnsi="Times New Roman" w:cs="Times New Roman"/>
          <w:b w:val="0"/>
          <w:bCs w:val="0"/>
        </w:rPr>
        <w:t>et RO vastgelegd dat het College</w:t>
      </w:r>
      <w:r w:rsidR="0057236E">
        <w:rPr>
          <w:rFonts w:ascii="Times New Roman" w:hAnsi="Times New Roman" w:cs="Times New Roman"/>
          <w:b w:val="0"/>
          <w:bCs w:val="0"/>
        </w:rPr>
        <w:t xml:space="preserve"> van procureurs-generaal</w:t>
      </w:r>
      <w:r w:rsidRPr="0E85CF32" w:rsidR="0057236E">
        <w:rPr>
          <w:rFonts w:ascii="Times New Roman" w:hAnsi="Times New Roman" w:cs="Times New Roman"/>
          <w:b w:val="0"/>
          <w:bCs w:val="0"/>
        </w:rPr>
        <w:t xml:space="preserve"> geen inlichtingen meer </w:t>
      </w:r>
      <w:r w:rsidR="0057236E">
        <w:rPr>
          <w:rFonts w:ascii="Times New Roman" w:hAnsi="Times New Roman" w:cs="Times New Roman"/>
          <w:b w:val="0"/>
          <w:bCs w:val="0"/>
        </w:rPr>
        <w:t>hoeft</w:t>
      </w:r>
      <w:r w:rsidRPr="0E85CF32" w:rsidR="0057236E">
        <w:rPr>
          <w:rFonts w:ascii="Times New Roman" w:hAnsi="Times New Roman" w:cs="Times New Roman"/>
          <w:b w:val="0"/>
          <w:bCs w:val="0"/>
        </w:rPr>
        <w:t xml:space="preserve"> te verschaffen</w:t>
      </w:r>
      <w:r w:rsidR="0057236E">
        <w:rPr>
          <w:rFonts w:ascii="Times New Roman" w:hAnsi="Times New Roman" w:cs="Times New Roman"/>
          <w:b w:val="0"/>
          <w:bCs w:val="0"/>
        </w:rPr>
        <w:t xml:space="preserve"> aan de </w:t>
      </w:r>
      <w:r w:rsidRPr="0E85CF32" w:rsidR="0057236E">
        <w:rPr>
          <w:rFonts w:ascii="Times New Roman" w:hAnsi="Times New Roman" w:cs="Times New Roman"/>
          <w:b w:val="0"/>
          <w:bCs w:val="0"/>
        </w:rPr>
        <w:t xml:space="preserve">Minister van Justitie en Veiligheid over concrete </w:t>
      </w:r>
      <w:r w:rsidR="0057236E">
        <w:rPr>
          <w:rFonts w:ascii="Times New Roman" w:hAnsi="Times New Roman" w:cs="Times New Roman"/>
          <w:b w:val="0"/>
          <w:bCs w:val="0"/>
        </w:rPr>
        <w:t>gevallen</w:t>
      </w:r>
      <w:r w:rsidRPr="0E85CF32" w:rsidR="0057236E">
        <w:rPr>
          <w:rFonts w:ascii="Times New Roman" w:hAnsi="Times New Roman" w:cs="Times New Roman"/>
          <w:b w:val="0"/>
          <w:bCs w:val="0"/>
        </w:rPr>
        <w:t>. In sommige gevallen is het echter wenselijk of noodzakelijk dat de Minister en het O</w:t>
      </w:r>
      <w:r w:rsidR="0057236E">
        <w:rPr>
          <w:rFonts w:ascii="Times New Roman" w:hAnsi="Times New Roman" w:cs="Times New Roman"/>
          <w:b w:val="0"/>
          <w:bCs w:val="0"/>
        </w:rPr>
        <w:t xml:space="preserve">penbaar </w:t>
      </w:r>
      <w:r w:rsidRPr="0E85CF32" w:rsidR="0057236E">
        <w:rPr>
          <w:rFonts w:ascii="Times New Roman" w:hAnsi="Times New Roman" w:cs="Times New Roman"/>
          <w:b w:val="0"/>
          <w:bCs w:val="0"/>
        </w:rPr>
        <w:t>M</w:t>
      </w:r>
      <w:r w:rsidR="0057236E">
        <w:rPr>
          <w:rFonts w:ascii="Times New Roman" w:hAnsi="Times New Roman" w:cs="Times New Roman"/>
          <w:b w:val="0"/>
          <w:bCs w:val="0"/>
        </w:rPr>
        <w:t>inisterie</w:t>
      </w:r>
      <w:r w:rsidRPr="0E85CF32" w:rsidR="0057236E">
        <w:rPr>
          <w:rFonts w:ascii="Times New Roman" w:hAnsi="Times New Roman" w:cs="Times New Roman"/>
          <w:b w:val="0"/>
          <w:bCs w:val="0"/>
        </w:rPr>
        <w:t xml:space="preserve"> informatie uitwisselen over </w:t>
      </w:r>
      <w:r w:rsidR="0057236E">
        <w:rPr>
          <w:rFonts w:ascii="Times New Roman" w:hAnsi="Times New Roman" w:cs="Times New Roman"/>
          <w:b w:val="0"/>
          <w:bCs w:val="0"/>
        </w:rPr>
        <w:t xml:space="preserve">lopende </w:t>
      </w:r>
      <w:r w:rsidRPr="0E85CF32" w:rsidR="0057236E">
        <w:rPr>
          <w:rFonts w:ascii="Times New Roman" w:hAnsi="Times New Roman" w:cs="Times New Roman"/>
          <w:b w:val="0"/>
          <w:bCs w:val="0"/>
        </w:rPr>
        <w:t xml:space="preserve">concrete zaken. Deze gevallen worden in dit artikel uitgezonderd. </w:t>
      </w:r>
    </w:p>
    <w:p w:rsidR="004E34AE" w:rsidP="0057236E" w:rsidRDefault="004E34AE" w14:paraId="396B93D7" w14:textId="77777777">
      <w:pPr>
        <w:pStyle w:val="Amendement"/>
        <w:rPr>
          <w:rFonts w:ascii="Times New Roman" w:hAnsi="Times New Roman" w:cs="Times New Roman"/>
          <w:b w:val="0"/>
          <w:bCs w:val="0"/>
        </w:rPr>
      </w:pPr>
    </w:p>
    <w:p w:rsidR="00D47998" w:rsidP="0057236E" w:rsidRDefault="0057236E" w14:paraId="72B9B844" w14:textId="260DBC55">
      <w:pPr>
        <w:pStyle w:val="Amendement"/>
        <w:rPr>
          <w:rFonts w:ascii="Times New Roman" w:hAnsi="Times New Roman" w:cs="Times New Roman"/>
          <w:b w:val="0"/>
          <w:bCs w:val="0"/>
        </w:rPr>
      </w:pPr>
      <w:r w:rsidRPr="0E85CF32">
        <w:rPr>
          <w:rFonts w:ascii="Times New Roman" w:hAnsi="Times New Roman" w:cs="Times New Roman"/>
          <w:b w:val="0"/>
          <w:bCs w:val="0"/>
        </w:rPr>
        <w:t>Vanuit constitutioneel oogpunt moet het mogelijk zijn voor de Minister om democratische verantwoording af te leggen over concrete zaken die onherroepelijk zijn afgedaan. Daarvoor dient het Openbaar Ministerie informatie te verstrekken aan de Minister. Met onderhavige nota van wijziging beoogt de initiatiefnemer onduidelijkheden weg te nemen door in de wettekst te expliciteren dat het Openbaar Ministerie inlichtingen</w:t>
      </w:r>
      <w:r>
        <w:rPr>
          <w:rFonts w:ascii="Times New Roman" w:hAnsi="Times New Roman" w:cs="Times New Roman"/>
          <w:b w:val="0"/>
          <w:bCs w:val="0"/>
        </w:rPr>
        <w:t xml:space="preserve"> </w:t>
      </w:r>
      <w:r w:rsidRPr="0E85CF32">
        <w:rPr>
          <w:rFonts w:ascii="Times New Roman" w:hAnsi="Times New Roman" w:cs="Times New Roman"/>
          <w:b w:val="0"/>
          <w:bCs w:val="0"/>
        </w:rPr>
        <w:t>die zien op een concreet geval dient te verstrekken aan de Minister</w:t>
      </w:r>
      <w:r>
        <w:rPr>
          <w:rFonts w:ascii="Times New Roman" w:hAnsi="Times New Roman" w:cs="Times New Roman"/>
          <w:b w:val="0"/>
          <w:bCs w:val="0"/>
        </w:rPr>
        <w:t>,</w:t>
      </w:r>
      <w:r w:rsidRPr="0E85CF32">
        <w:rPr>
          <w:rFonts w:ascii="Times New Roman" w:hAnsi="Times New Roman" w:cs="Times New Roman"/>
          <w:b w:val="0"/>
          <w:bCs w:val="0"/>
        </w:rPr>
        <w:t xml:space="preserve"> wanneer het </w:t>
      </w:r>
      <w:r>
        <w:rPr>
          <w:rFonts w:ascii="Times New Roman" w:hAnsi="Times New Roman" w:cs="Times New Roman"/>
          <w:b w:val="0"/>
          <w:bCs w:val="0"/>
        </w:rPr>
        <w:t xml:space="preserve">gaat om </w:t>
      </w:r>
      <w:r w:rsidRPr="0E85CF32">
        <w:rPr>
          <w:rFonts w:ascii="Times New Roman" w:hAnsi="Times New Roman" w:cs="Times New Roman"/>
          <w:b w:val="0"/>
          <w:bCs w:val="0"/>
        </w:rPr>
        <w:t xml:space="preserve">inlichtingen </w:t>
      </w:r>
      <w:r>
        <w:rPr>
          <w:rFonts w:ascii="Times New Roman" w:hAnsi="Times New Roman" w:cs="Times New Roman"/>
          <w:b w:val="0"/>
          <w:bCs w:val="0"/>
        </w:rPr>
        <w:t>over</w:t>
      </w:r>
      <w:r w:rsidRPr="0E85CF32">
        <w:rPr>
          <w:rFonts w:ascii="Times New Roman" w:hAnsi="Times New Roman" w:cs="Times New Roman"/>
          <w:b w:val="0"/>
          <w:bCs w:val="0"/>
        </w:rPr>
        <w:t xml:space="preserve"> een zaak die </w:t>
      </w:r>
      <w:r>
        <w:rPr>
          <w:rFonts w:ascii="Times New Roman" w:hAnsi="Times New Roman" w:cs="Times New Roman"/>
          <w:b w:val="0"/>
          <w:bCs w:val="0"/>
        </w:rPr>
        <w:t>onherroepelijk is afgedaan</w:t>
      </w:r>
      <w:r w:rsidRPr="0E85CF32">
        <w:rPr>
          <w:rFonts w:ascii="Times New Roman" w:hAnsi="Times New Roman" w:cs="Times New Roman"/>
          <w:b w:val="0"/>
          <w:bCs w:val="0"/>
        </w:rPr>
        <w:t xml:space="preserve">. De wettekst brengt tot uitdrukking dat dit het geval is wanneer door de officier van justitie een beslissing tot niet vervolging of niet verdere vervolging is genomen, een onherroepelijke strafbeschikking is uitgevaardigd of de inlichtingen betrekking hebben op een zaak ten aanzien waarvan een in kracht van gewijsde gegane rechterlijke einduitspraak is </w:t>
      </w:r>
      <w:r>
        <w:rPr>
          <w:rFonts w:ascii="Times New Roman" w:hAnsi="Times New Roman" w:cs="Times New Roman"/>
          <w:b w:val="0"/>
          <w:bCs w:val="0"/>
        </w:rPr>
        <w:t>gedaan</w:t>
      </w:r>
      <w:r w:rsidRPr="0E85CF32">
        <w:rPr>
          <w:rFonts w:ascii="Times New Roman" w:hAnsi="Times New Roman" w:cs="Times New Roman"/>
          <w:b w:val="0"/>
          <w:bCs w:val="0"/>
        </w:rPr>
        <w:t xml:space="preserve">. Met het vervallen van de plicht voor het Openbaar Ministerie om de Minister te informeren over concrete </w:t>
      </w:r>
      <w:r>
        <w:rPr>
          <w:rFonts w:ascii="Times New Roman" w:hAnsi="Times New Roman" w:cs="Times New Roman"/>
          <w:b w:val="0"/>
          <w:bCs w:val="0"/>
        </w:rPr>
        <w:t xml:space="preserve">lopende </w:t>
      </w:r>
      <w:r w:rsidRPr="0E85CF32">
        <w:rPr>
          <w:rFonts w:ascii="Times New Roman" w:hAnsi="Times New Roman" w:cs="Times New Roman"/>
          <w:b w:val="0"/>
          <w:bCs w:val="0"/>
        </w:rPr>
        <w:t xml:space="preserve">zaken ontstaat geen verbod voor het Openbaar Ministerie om de Minister te informeren wanneer </w:t>
      </w:r>
      <w:r w:rsidR="00645F13">
        <w:rPr>
          <w:rFonts w:ascii="Times New Roman" w:hAnsi="Times New Roman" w:cs="Times New Roman"/>
          <w:b w:val="0"/>
          <w:bCs w:val="0"/>
        </w:rPr>
        <w:t>het</w:t>
      </w:r>
      <w:r w:rsidRPr="0E85CF32" w:rsidR="00645F13">
        <w:rPr>
          <w:rFonts w:ascii="Times New Roman" w:hAnsi="Times New Roman" w:cs="Times New Roman"/>
          <w:b w:val="0"/>
          <w:bCs w:val="0"/>
        </w:rPr>
        <w:t xml:space="preserve"> </w:t>
      </w:r>
      <w:r w:rsidRPr="0E85CF32">
        <w:rPr>
          <w:rFonts w:ascii="Times New Roman" w:hAnsi="Times New Roman" w:cs="Times New Roman"/>
          <w:b w:val="0"/>
          <w:bCs w:val="0"/>
        </w:rPr>
        <w:t>dat zelf wenselijk acht</w:t>
      </w:r>
      <w:r>
        <w:rPr>
          <w:rFonts w:ascii="Times New Roman" w:hAnsi="Times New Roman" w:cs="Times New Roman"/>
          <w:b w:val="0"/>
          <w:bCs w:val="0"/>
        </w:rPr>
        <w:t>.</w:t>
      </w:r>
    </w:p>
    <w:p w:rsidR="0057236E" w:rsidP="0057236E" w:rsidRDefault="0057236E" w14:paraId="70232B2D" w14:textId="77777777">
      <w:pPr>
        <w:pStyle w:val="Amendement"/>
      </w:pPr>
    </w:p>
    <w:p w:rsidR="00D47998" w:rsidP="00FE223B" w:rsidRDefault="00D47998" w14:paraId="5CC179E3" w14:textId="2A2784C9">
      <w:pPr>
        <w:tabs>
          <w:tab w:val="left" w:pos="284"/>
        </w:tabs>
      </w:pPr>
      <w:r>
        <w:t>Sneller</w:t>
      </w:r>
    </w:p>
    <w:sectPr w:rsidR="00D47998">
      <w:footerReference w:type="even" r:id="rId9"/>
      <w:footerReference w:type="default" r:id="rId10"/>
      <w:pgSz w:w="11906" w:h="16838"/>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D3297" w14:textId="77777777" w:rsidR="00D47998" w:rsidRDefault="00D47998">
      <w:r>
        <w:separator/>
      </w:r>
    </w:p>
  </w:endnote>
  <w:endnote w:type="continuationSeparator" w:id="0">
    <w:p w14:paraId="20C63EE2" w14:textId="77777777" w:rsidR="00D47998" w:rsidRDefault="00D47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91F69"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616C74D" w14:textId="77777777" w:rsidR="003B4752" w:rsidRDefault="003B47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15889"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D5FF9">
      <w:rPr>
        <w:rStyle w:val="Paginanummer"/>
        <w:noProof/>
      </w:rPr>
      <w:t>1</w:t>
    </w:r>
    <w:r>
      <w:rPr>
        <w:rStyle w:val="Paginanummer"/>
      </w:rPr>
      <w:fldChar w:fldCharType="end"/>
    </w:r>
  </w:p>
  <w:p w14:paraId="5B7E68AB" w14:textId="77777777"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218CA" w14:textId="77777777" w:rsidR="00D47998" w:rsidRDefault="00D47998">
      <w:r>
        <w:separator/>
      </w:r>
    </w:p>
  </w:footnote>
  <w:footnote w:type="continuationSeparator" w:id="0">
    <w:p w14:paraId="7BF52359" w14:textId="77777777" w:rsidR="00D47998" w:rsidRDefault="00D479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998"/>
    <w:rsid w:val="001C52A9"/>
    <w:rsid w:val="001E2130"/>
    <w:rsid w:val="00214A78"/>
    <w:rsid w:val="00271543"/>
    <w:rsid w:val="003B4752"/>
    <w:rsid w:val="004D5FF9"/>
    <w:rsid w:val="004E34AE"/>
    <w:rsid w:val="00562E17"/>
    <w:rsid w:val="0057236E"/>
    <w:rsid w:val="00627BA5"/>
    <w:rsid w:val="00645F13"/>
    <w:rsid w:val="0070616A"/>
    <w:rsid w:val="00732695"/>
    <w:rsid w:val="007C02C8"/>
    <w:rsid w:val="007D0C32"/>
    <w:rsid w:val="008D513C"/>
    <w:rsid w:val="00937AD3"/>
    <w:rsid w:val="009833D1"/>
    <w:rsid w:val="00B25F03"/>
    <w:rsid w:val="00B95B38"/>
    <w:rsid w:val="00D47998"/>
    <w:rsid w:val="00D92AA4"/>
    <w:rsid w:val="00DD3D38"/>
    <w:rsid w:val="00ED5C1F"/>
    <w:rsid w:val="00FE22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52544C"/>
  <w15:docId w15:val="{A28E6CBD-348D-4B5A-B6B5-B61BB42EE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customStyle="1" w:styleId="Amendement">
    <w:name w:val="Amendement"/>
    <w:rsid w:val="0057236E"/>
    <w:pPr>
      <w:widowControl w:val="0"/>
      <w:tabs>
        <w:tab w:val="left" w:pos="3310"/>
        <w:tab w:val="left" w:pos="3600"/>
      </w:tabs>
      <w:suppressAutoHyphens/>
    </w:pPr>
    <w:rPr>
      <w:rFonts w:ascii="Courier New" w:hAnsi="Courier New" w:cs="Courier New"/>
      <w:b/>
      <w:bCs/>
      <w:sz w:val="24"/>
      <w:szCs w:val="24"/>
    </w:rPr>
  </w:style>
  <w:style w:type="paragraph" w:styleId="Revisie">
    <w:name w:val="Revision"/>
    <w:hidden/>
    <w:uiPriority w:val="99"/>
    <w:semiHidden/>
    <w:rsid w:val="00D92AA4"/>
    <w:rPr>
      <w:sz w:val="24"/>
    </w:rPr>
  </w:style>
  <w:style w:type="character" w:styleId="Verwijzingopmerking">
    <w:name w:val="annotation reference"/>
    <w:basedOn w:val="Standaardalinea-lettertype"/>
    <w:rsid w:val="00B25F03"/>
    <w:rPr>
      <w:sz w:val="16"/>
      <w:szCs w:val="16"/>
    </w:rPr>
  </w:style>
  <w:style w:type="paragraph" w:styleId="Tekstopmerking">
    <w:name w:val="annotation text"/>
    <w:basedOn w:val="Standaard"/>
    <w:link w:val="TekstopmerkingChar"/>
    <w:rsid w:val="00B25F03"/>
    <w:rPr>
      <w:sz w:val="20"/>
    </w:rPr>
  </w:style>
  <w:style w:type="character" w:customStyle="1" w:styleId="TekstopmerkingChar">
    <w:name w:val="Tekst opmerking Char"/>
    <w:basedOn w:val="Standaardalinea-lettertype"/>
    <w:link w:val="Tekstopmerking"/>
    <w:rsid w:val="00B25F03"/>
  </w:style>
  <w:style w:type="paragraph" w:styleId="Onderwerpvanopmerking">
    <w:name w:val="annotation subject"/>
    <w:basedOn w:val="Tekstopmerking"/>
    <w:next w:val="Tekstopmerking"/>
    <w:link w:val="OnderwerpvanopmerkingChar"/>
    <w:rsid w:val="00B25F03"/>
    <w:rPr>
      <w:b/>
      <w:bCs/>
    </w:rPr>
  </w:style>
  <w:style w:type="character" w:customStyle="1" w:styleId="OnderwerpvanopmerkingChar">
    <w:name w:val="Onderwerp van opmerking Char"/>
    <w:basedOn w:val="TekstopmerkingChar"/>
    <w:link w:val="Onderwerpvanopmerking"/>
    <w:rsid w:val="00B25F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1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422</ap:Words>
  <ap:Characters>2325</ap:Characters>
  <ap:DocSecurity>4</ap:DocSecurity>
  <ap:Lines>19</ap:Lines>
  <ap:Paragraphs>5</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2742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1900-12-31T22:00:00.0000000Z</lastPrinted>
  <dcterms:created xsi:type="dcterms:W3CDTF">2025-11-14T12:18:00.0000000Z</dcterms:created>
  <dcterms:modified xsi:type="dcterms:W3CDTF">2025-11-14T12:18:00.0000000Z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