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77FA" w:rsidR="004A07DD" w:rsidP="005077FA" w:rsidRDefault="00FA4979" w14:paraId="5D53361D" w14:textId="07F119E0">
      <w:pPr>
        <w:pStyle w:val="Heading1"/>
        <w:numPr>
          <w:ilvl w:val="0"/>
          <w:numId w:val="0"/>
        </w:numPr>
        <w:rPr>
          <w:rFonts w:ascii="Verdana" w:hAnsi="Verdana"/>
          <w:b/>
          <w:sz w:val="18"/>
          <w:szCs w:val="18"/>
        </w:rPr>
      </w:pPr>
      <w:r w:rsidRPr="005077FA">
        <w:rPr>
          <w:rFonts w:ascii="Verdana" w:hAnsi="Verdana"/>
          <w:b/>
          <w:sz w:val="18"/>
          <w:szCs w:val="18"/>
        </w:rPr>
        <w:t xml:space="preserve">Fiche </w:t>
      </w:r>
      <w:r w:rsidRPr="005077FA" w:rsidR="00B80F31">
        <w:rPr>
          <w:rFonts w:ascii="Verdana" w:hAnsi="Verdana"/>
          <w:b/>
          <w:sz w:val="18"/>
          <w:szCs w:val="18"/>
        </w:rPr>
        <w:t>3</w:t>
      </w:r>
      <w:r w:rsidRPr="005077FA">
        <w:rPr>
          <w:rFonts w:ascii="Verdana" w:hAnsi="Verdana"/>
          <w:b/>
          <w:sz w:val="18"/>
          <w:szCs w:val="18"/>
        </w:rPr>
        <w:t xml:space="preserve">: </w:t>
      </w:r>
      <w:r w:rsidRPr="00D120D3" w:rsidR="00D120D3">
        <w:rPr>
          <w:rFonts w:ascii="Verdana" w:hAnsi="Verdana"/>
          <w:b/>
          <w:sz w:val="18"/>
          <w:szCs w:val="18"/>
        </w:rPr>
        <w:t xml:space="preserve">Strategie voor Gelijkheid van </w:t>
      </w:r>
      <w:proofErr w:type="spellStart"/>
      <w:r w:rsidRPr="00D120D3" w:rsidR="00D120D3">
        <w:rPr>
          <w:rFonts w:ascii="Verdana" w:hAnsi="Verdana"/>
          <w:b/>
          <w:sz w:val="18"/>
          <w:szCs w:val="18"/>
        </w:rPr>
        <w:t>lhbtiq'ers</w:t>
      </w:r>
      <w:proofErr w:type="spellEnd"/>
      <w:r w:rsidRPr="00D120D3" w:rsidR="00D120D3">
        <w:rPr>
          <w:rFonts w:ascii="Verdana" w:hAnsi="Verdana"/>
          <w:b/>
          <w:sz w:val="18"/>
          <w:szCs w:val="18"/>
        </w:rPr>
        <w:t xml:space="preserve"> 2026-2030 </w:t>
      </w:r>
    </w:p>
    <w:p w:rsidRPr="005A1338" w:rsidR="00FA4979" w:rsidP="00FA4979" w:rsidRDefault="00FA4979" w14:paraId="21B1E292" w14:textId="77777777">
      <w:pPr>
        <w:numPr>
          <w:ilvl w:val="0"/>
          <w:numId w:val="2"/>
        </w:numPr>
        <w:spacing w:after="0" w:line="360" w:lineRule="auto"/>
        <w:rPr>
          <w:rFonts w:ascii="Verdana" w:hAnsi="Verdana"/>
          <w:b/>
          <w:sz w:val="18"/>
          <w:szCs w:val="18"/>
        </w:rPr>
      </w:pPr>
      <w:r w:rsidRPr="005A1338">
        <w:rPr>
          <w:rFonts w:ascii="Verdana" w:hAnsi="Verdana"/>
          <w:b/>
          <w:sz w:val="18"/>
          <w:szCs w:val="18"/>
        </w:rPr>
        <w:t>Algemene gegevens</w:t>
      </w:r>
    </w:p>
    <w:p w:rsidRPr="005A1338" w:rsidR="00FA4979" w:rsidP="00FA4979" w:rsidRDefault="00FA4979" w14:paraId="404DC4EB" w14:textId="77777777">
      <w:pPr>
        <w:numPr>
          <w:ilvl w:val="0"/>
          <w:numId w:val="3"/>
        </w:numPr>
        <w:spacing w:after="0" w:line="360" w:lineRule="auto"/>
        <w:rPr>
          <w:rFonts w:ascii="Verdana" w:hAnsi="Verdana"/>
          <w:i/>
          <w:iCs/>
          <w:sz w:val="18"/>
          <w:szCs w:val="18"/>
        </w:rPr>
      </w:pPr>
      <w:r w:rsidRPr="005A1338">
        <w:rPr>
          <w:rFonts w:ascii="Verdana" w:hAnsi="Verdana"/>
          <w:i/>
          <w:iCs/>
          <w:sz w:val="18"/>
          <w:szCs w:val="18"/>
        </w:rPr>
        <w:t>Titel voorstel</w:t>
      </w:r>
    </w:p>
    <w:p w:rsidRPr="0094152E" w:rsidR="0027657E" w:rsidP="0027657E" w:rsidRDefault="004A07DD" w14:paraId="02113FEE" w14:textId="504FBCD9">
      <w:pPr>
        <w:spacing w:after="0" w:line="360" w:lineRule="auto"/>
        <w:rPr>
          <w:rFonts w:ascii="Verdana" w:hAnsi="Verdana"/>
          <w:sz w:val="18"/>
          <w:szCs w:val="18"/>
        </w:rPr>
      </w:pPr>
      <w:r w:rsidRPr="0094152E">
        <w:rPr>
          <w:rFonts w:ascii="Verdana" w:hAnsi="Verdana"/>
          <w:sz w:val="18"/>
          <w:szCs w:val="18"/>
        </w:rPr>
        <w:t xml:space="preserve">Mededeling </w:t>
      </w:r>
      <w:r w:rsidR="006A3470">
        <w:rPr>
          <w:rFonts w:ascii="Verdana" w:hAnsi="Verdana"/>
          <w:sz w:val="18"/>
          <w:szCs w:val="18"/>
        </w:rPr>
        <w:t>v</w:t>
      </w:r>
      <w:r w:rsidRPr="0094152E">
        <w:rPr>
          <w:rFonts w:ascii="Verdana" w:hAnsi="Verdana"/>
          <w:sz w:val="18"/>
          <w:szCs w:val="18"/>
        </w:rPr>
        <w:t xml:space="preserve">an </w:t>
      </w:r>
      <w:r w:rsidR="006A3470">
        <w:rPr>
          <w:rFonts w:ascii="Verdana" w:hAnsi="Verdana"/>
          <w:sz w:val="18"/>
          <w:szCs w:val="18"/>
        </w:rPr>
        <w:t>d</w:t>
      </w:r>
      <w:r w:rsidRPr="0094152E">
        <w:rPr>
          <w:rFonts w:ascii="Verdana" w:hAnsi="Verdana"/>
          <w:sz w:val="18"/>
          <w:szCs w:val="18"/>
        </w:rPr>
        <w:t xml:space="preserve">e Commissie </w:t>
      </w:r>
      <w:r w:rsidR="006A3470">
        <w:rPr>
          <w:rFonts w:ascii="Verdana" w:hAnsi="Verdana"/>
          <w:sz w:val="18"/>
          <w:szCs w:val="18"/>
        </w:rPr>
        <w:t>a</w:t>
      </w:r>
      <w:r w:rsidRPr="0094152E">
        <w:rPr>
          <w:rFonts w:ascii="Verdana" w:hAnsi="Verdana"/>
          <w:sz w:val="18"/>
          <w:szCs w:val="18"/>
        </w:rPr>
        <w:t xml:space="preserve">an </w:t>
      </w:r>
      <w:r w:rsidR="006A3470">
        <w:rPr>
          <w:rFonts w:ascii="Verdana" w:hAnsi="Verdana"/>
          <w:sz w:val="18"/>
          <w:szCs w:val="18"/>
        </w:rPr>
        <w:t>h</w:t>
      </w:r>
      <w:r w:rsidRPr="0094152E">
        <w:rPr>
          <w:rFonts w:ascii="Verdana" w:hAnsi="Verdana"/>
          <w:sz w:val="18"/>
          <w:szCs w:val="18"/>
        </w:rPr>
        <w:t xml:space="preserve">et Europees Parlement, </w:t>
      </w:r>
      <w:r w:rsidR="006A3470">
        <w:rPr>
          <w:rFonts w:ascii="Verdana" w:hAnsi="Verdana"/>
          <w:sz w:val="18"/>
          <w:szCs w:val="18"/>
        </w:rPr>
        <w:t>d</w:t>
      </w:r>
      <w:r w:rsidRPr="0094152E">
        <w:rPr>
          <w:rFonts w:ascii="Verdana" w:hAnsi="Verdana"/>
          <w:sz w:val="18"/>
          <w:szCs w:val="18"/>
        </w:rPr>
        <w:t xml:space="preserve">e Raad, </w:t>
      </w:r>
      <w:r w:rsidR="006A3470">
        <w:rPr>
          <w:rFonts w:ascii="Verdana" w:hAnsi="Verdana"/>
          <w:sz w:val="18"/>
          <w:szCs w:val="18"/>
        </w:rPr>
        <w:t>h</w:t>
      </w:r>
      <w:r w:rsidRPr="0094152E">
        <w:rPr>
          <w:rFonts w:ascii="Verdana" w:hAnsi="Verdana"/>
          <w:sz w:val="18"/>
          <w:szCs w:val="18"/>
        </w:rPr>
        <w:t xml:space="preserve">et Europees Economisch </w:t>
      </w:r>
      <w:r w:rsidR="006A3470">
        <w:rPr>
          <w:rFonts w:ascii="Verdana" w:hAnsi="Verdana"/>
          <w:sz w:val="18"/>
          <w:szCs w:val="18"/>
        </w:rPr>
        <w:t>e</w:t>
      </w:r>
      <w:r w:rsidRPr="0094152E">
        <w:rPr>
          <w:rFonts w:ascii="Verdana" w:hAnsi="Verdana"/>
          <w:sz w:val="18"/>
          <w:szCs w:val="18"/>
        </w:rPr>
        <w:t xml:space="preserve">n Sociaal Comité </w:t>
      </w:r>
      <w:r w:rsidR="006A3470">
        <w:rPr>
          <w:rFonts w:ascii="Verdana" w:hAnsi="Verdana"/>
          <w:sz w:val="18"/>
          <w:szCs w:val="18"/>
        </w:rPr>
        <w:t>e</w:t>
      </w:r>
      <w:r w:rsidRPr="0094152E">
        <w:rPr>
          <w:rFonts w:ascii="Verdana" w:hAnsi="Verdana"/>
          <w:sz w:val="18"/>
          <w:szCs w:val="18"/>
        </w:rPr>
        <w:t xml:space="preserve">n </w:t>
      </w:r>
      <w:r w:rsidR="006A3470">
        <w:rPr>
          <w:rFonts w:ascii="Verdana" w:hAnsi="Verdana"/>
          <w:sz w:val="18"/>
          <w:szCs w:val="18"/>
        </w:rPr>
        <w:t>h</w:t>
      </w:r>
      <w:r w:rsidRPr="0094152E">
        <w:rPr>
          <w:rFonts w:ascii="Verdana" w:hAnsi="Verdana"/>
          <w:sz w:val="18"/>
          <w:szCs w:val="18"/>
        </w:rPr>
        <w:t xml:space="preserve">et Comité </w:t>
      </w:r>
      <w:r w:rsidR="006A3470">
        <w:rPr>
          <w:rFonts w:ascii="Verdana" w:hAnsi="Verdana"/>
          <w:sz w:val="18"/>
          <w:szCs w:val="18"/>
        </w:rPr>
        <w:t>v</w:t>
      </w:r>
      <w:r w:rsidRPr="0094152E">
        <w:rPr>
          <w:rFonts w:ascii="Verdana" w:hAnsi="Verdana"/>
          <w:sz w:val="18"/>
          <w:szCs w:val="18"/>
        </w:rPr>
        <w:t xml:space="preserve">an </w:t>
      </w:r>
      <w:r w:rsidR="006A3470">
        <w:rPr>
          <w:rFonts w:ascii="Verdana" w:hAnsi="Verdana"/>
          <w:sz w:val="18"/>
          <w:szCs w:val="18"/>
        </w:rPr>
        <w:t>d</w:t>
      </w:r>
      <w:r w:rsidRPr="0094152E">
        <w:rPr>
          <w:rFonts w:ascii="Verdana" w:hAnsi="Verdana"/>
          <w:sz w:val="18"/>
          <w:szCs w:val="18"/>
        </w:rPr>
        <w:t>e Regio's</w:t>
      </w:r>
      <w:r w:rsidR="006A3470">
        <w:rPr>
          <w:rFonts w:ascii="Verdana" w:hAnsi="Verdana"/>
          <w:sz w:val="18"/>
          <w:szCs w:val="18"/>
        </w:rPr>
        <w:t>;</w:t>
      </w:r>
      <w:r w:rsidRPr="0094152E">
        <w:rPr>
          <w:rFonts w:ascii="Verdana" w:hAnsi="Verdana"/>
          <w:sz w:val="18"/>
          <w:szCs w:val="18"/>
        </w:rPr>
        <w:t xml:space="preserve"> </w:t>
      </w:r>
      <w:r w:rsidRPr="0094152E" w:rsidR="0094152E">
        <w:rPr>
          <w:rFonts w:ascii="Verdana" w:hAnsi="Verdana"/>
          <w:sz w:val="18"/>
          <w:szCs w:val="18"/>
        </w:rPr>
        <w:t xml:space="preserve">Unie </w:t>
      </w:r>
      <w:r w:rsidR="006A3470">
        <w:rPr>
          <w:rFonts w:ascii="Verdana" w:hAnsi="Verdana"/>
          <w:sz w:val="18"/>
          <w:szCs w:val="18"/>
        </w:rPr>
        <w:t>v</w:t>
      </w:r>
      <w:r w:rsidRPr="0094152E" w:rsidR="0094152E">
        <w:rPr>
          <w:rFonts w:ascii="Verdana" w:hAnsi="Verdana"/>
          <w:sz w:val="18"/>
          <w:szCs w:val="18"/>
        </w:rPr>
        <w:t xml:space="preserve">an Gelijkheid: Strategie </w:t>
      </w:r>
      <w:r w:rsidR="006A3470">
        <w:rPr>
          <w:rFonts w:ascii="Verdana" w:hAnsi="Verdana"/>
          <w:sz w:val="18"/>
          <w:szCs w:val="18"/>
        </w:rPr>
        <w:t>v</w:t>
      </w:r>
      <w:r w:rsidRPr="0094152E" w:rsidR="0094152E">
        <w:rPr>
          <w:rFonts w:ascii="Verdana" w:hAnsi="Verdana"/>
          <w:sz w:val="18"/>
          <w:szCs w:val="18"/>
        </w:rPr>
        <w:t xml:space="preserve">oor Gelijkheid </w:t>
      </w:r>
      <w:r w:rsidR="006A3470">
        <w:rPr>
          <w:rFonts w:ascii="Verdana" w:hAnsi="Verdana"/>
          <w:sz w:val="18"/>
          <w:szCs w:val="18"/>
        </w:rPr>
        <w:t>v</w:t>
      </w:r>
      <w:r w:rsidRPr="0094152E" w:rsidR="0094152E">
        <w:rPr>
          <w:rFonts w:ascii="Verdana" w:hAnsi="Verdana"/>
          <w:sz w:val="18"/>
          <w:szCs w:val="18"/>
        </w:rPr>
        <w:t xml:space="preserve">an </w:t>
      </w:r>
      <w:proofErr w:type="spellStart"/>
      <w:r w:rsidR="006A3470">
        <w:rPr>
          <w:rFonts w:ascii="Verdana" w:hAnsi="Verdana"/>
          <w:sz w:val="18"/>
          <w:szCs w:val="18"/>
        </w:rPr>
        <w:t>l</w:t>
      </w:r>
      <w:r w:rsidRPr="0094152E" w:rsidR="0094152E">
        <w:rPr>
          <w:rFonts w:ascii="Verdana" w:hAnsi="Verdana"/>
          <w:sz w:val="18"/>
          <w:szCs w:val="18"/>
        </w:rPr>
        <w:t>hbtiq'ers</w:t>
      </w:r>
      <w:proofErr w:type="spellEnd"/>
      <w:r w:rsidRPr="0094152E" w:rsidR="0094152E">
        <w:rPr>
          <w:rFonts w:ascii="Verdana" w:hAnsi="Verdana"/>
          <w:sz w:val="18"/>
          <w:szCs w:val="18"/>
        </w:rPr>
        <w:t xml:space="preserve"> 2026-2030</w:t>
      </w:r>
      <w:r w:rsidR="006A3470">
        <w:rPr>
          <w:rFonts w:ascii="Verdana" w:hAnsi="Verdana"/>
          <w:sz w:val="18"/>
          <w:szCs w:val="18"/>
        </w:rPr>
        <w:t xml:space="preserve"> </w:t>
      </w:r>
    </w:p>
    <w:p w:rsidRPr="0094152E" w:rsidR="0094152E" w:rsidP="0027657E" w:rsidRDefault="0094152E" w14:paraId="001C9F24" w14:textId="77777777">
      <w:pPr>
        <w:spacing w:after="0" w:line="360" w:lineRule="auto"/>
        <w:rPr>
          <w:rFonts w:ascii="Verdana" w:hAnsi="Verdana"/>
          <w:sz w:val="18"/>
          <w:szCs w:val="18"/>
        </w:rPr>
      </w:pPr>
    </w:p>
    <w:p w:rsidRPr="005A1338" w:rsidR="00FA4979" w:rsidP="00FA4979" w:rsidRDefault="00FA4979" w14:paraId="028848F6" w14:textId="6ACE3A0A">
      <w:pPr>
        <w:numPr>
          <w:ilvl w:val="0"/>
          <w:numId w:val="3"/>
        </w:numPr>
        <w:spacing w:after="0" w:line="360" w:lineRule="auto"/>
        <w:rPr>
          <w:rFonts w:ascii="Verdana" w:hAnsi="Verdana"/>
          <w:i/>
          <w:iCs/>
          <w:sz w:val="18"/>
          <w:szCs w:val="18"/>
        </w:rPr>
      </w:pPr>
      <w:r w:rsidRPr="005A1338">
        <w:rPr>
          <w:rFonts w:ascii="Verdana" w:hAnsi="Verdana"/>
          <w:i/>
          <w:iCs/>
          <w:sz w:val="18"/>
          <w:szCs w:val="18"/>
        </w:rPr>
        <w:t>Datum ontvangst Commissiedocument</w:t>
      </w:r>
    </w:p>
    <w:p w:rsidRPr="005A1338" w:rsidR="0027657E" w:rsidP="0027657E" w:rsidRDefault="0027657E" w14:paraId="785951C5" w14:textId="214CDF91">
      <w:pPr>
        <w:spacing w:after="0" w:line="360" w:lineRule="auto"/>
        <w:rPr>
          <w:rFonts w:ascii="Verdana" w:hAnsi="Verdana"/>
          <w:sz w:val="18"/>
          <w:szCs w:val="18"/>
        </w:rPr>
      </w:pPr>
      <w:r w:rsidRPr="005A1338">
        <w:rPr>
          <w:rFonts w:ascii="Verdana" w:hAnsi="Verdana"/>
          <w:sz w:val="18"/>
          <w:szCs w:val="18"/>
        </w:rPr>
        <w:t>8 oktober 2025</w:t>
      </w:r>
    </w:p>
    <w:p w:rsidRPr="005A1338" w:rsidR="0027657E" w:rsidP="0027657E" w:rsidRDefault="0027657E" w14:paraId="7978C272" w14:textId="77777777">
      <w:pPr>
        <w:spacing w:after="0" w:line="360" w:lineRule="auto"/>
        <w:rPr>
          <w:rFonts w:ascii="Verdana" w:hAnsi="Verdana"/>
          <w:sz w:val="18"/>
          <w:szCs w:val="18"/>
        </w:rPr>
      </w:pPr>
    </w:p>
    <w:p w:rsidRPr="005A1338" w:rsidR="00FA4979" w:rsidP="00FA4979" w:rsidRDefault="00FA4979" w14:paraId="4163B3D3" w14:textId="77777777">
      <w:pPr>
        <w:numPr>
          <w:ilvl w:val="0"/>
          <w:numId w:val="3"/>
        </w:numPr>
        <w:spacing w:after="0" w:line="360" w:lineRule="auto"/>
        <w:rPr>
          <w:rFonts w:ascii="Verdana" w:hAnsi="Verdana"/>
          <w:i/>
          <w:iCs/>
          <w:sz w:val="18"/>
          <w:szCs w:val="18"/>
        </w:rPr>
      </w:pPr>
      <w:r w:rsidRPr="005A1338">
        <w:rPr>
          <w:rFonts w:ascii="Verdana" w:hAnsi="Verdana"/>
          <w:i/>
          <w:iCs/>
          <w:sz w:val="18"/>
          <w:szCs w:val="18"/>
        </w:rPr>
        <w:t>Nr. Commissiedocument</w:t>
      </w:r>
    </w:p>
    <w:p w:rsidRPr="005A1338" w:rsidR="0027657E" w:rsidP="0027657E" w:rsidRDefault="0027657E" w14:paraId="2FC1E303" w14:textId="35BD22D2">
      <w:pPr>
        <w:spacing w:after="0" w:line="360" w:lineRule="auto"/>
        <w:rPr>
          <w:rFonts w:ascii="Verdana" w:hAnsi="Verdana"/>
          <w:sz w:val="18"/>
          <w:szCs w:val="18"/>
        </w:rPr>
      </w:pPr>
      <w:r w:rsidRPr="005A1338">
        <w:rPr>
          <w:rFonts w:ascii="Verdana" w:hAnsi="Verdana"/>
          <w:sz w:val="18"/>
          <w:szCs w:val="18"/>
        </w:rPr>
        <w:t xml:space="preserve">COM(2025) 725 </w:t>
      </w:r>
    </w:p>
    <w:p w:rsidRPr="005A1338" w:rsidR="0027657E" w:rsidP="0027657E" w:rsidRDefault="0027657E" w14:paraId="168CE1BF" w14:textId="77777777">
      <w:pPr>
        <w:spacing w:after="0" w:line="360" w:lineRule="auto"/>
        <w:rPr>
          <w:rFonts w:ascii="Verdana" w:hAnsi="Verdana"/>
          <w:sz w:val="18"/>
          <w:szCs w:val="18"/>
        </w:rPr>
      </w:pPr>
    </w:p>
    <w:p w:rsidRPr="005A1338" w:rsidR="00FA4979" w:rsidP="00FA4979" w:rsidRDefault="00FA4979" w14:paraId="28F670CF" w14:textId="77777777">
      <w:pPr>
        <w:numPr>
          <w:ilvl w:val="0"/>
          <w:numId w:val="3"/>
        </w:numPr>
        <w:spacing w:after="0" w:line="360" w:lineRule="auto"/>
        <w:rPr>
          <w:rFonts w:ascii="Verdana" w:hAnsi="Verdana"/>
          <w:i/>
          <w:iCs/>
          <w:sz w:val="18"/>
          <w:szCs w:val="18"/>
        </w:rPr>
      </w:pPr>
      <w:r w:rsidRPr="005A1338">
        <w:rPr>
          <w:rFonts w:ascii="Verdana" w:hAnsi="Verdana"/>
          <w:i/>
          <w:iCs/>
          <w:sz w:val="18"/>
          <w:szCs w:val="18"/>
        </w:rPr>
        <w:t>EUR-Lex</w:t>
      </w:r>
    </w:p>
    <w:p w:rsidRPr="00CD2C56" w:rsidR="0027657E" w:rsidP="0027657E" w:rsidRDefault="004A07DD" w14:paraId="3E75D0BB" w14:textId="08D69A03">
      <w:pPr>
        <w:spacing w:after="0" w:line="360" w:lineRule="auto"/>
        <w:rPr>
          <w:rFonts w:ascii="Verdana" w:hAnsi="Verdana"/>
          <w:i/>
          <w:iCs/>
          <w:sz w:val="18"/>
          <w:szCs w:val="18"/>
          <w:lang w:val="fr-FR"/>
        </w:rPr>
      </w:pPr>
      <w:hyperlink w:history="1" r:id="rId12">
        <w:r w:rsidRPr="00CD2C56">
          <w:rPr>
            <w:rStyle w:val="Hyperlink"/>
            <w:rFonts w:ascii="Verdana" w:hAnsi="Verdana"/>
            <w:sz w:val="18"/>
            <w:szCs w:val="18"/>
            <w:lang w:val="fr-FR"/>
          </w:rPr>
          <w:t>EUR-Lex - 52025DC0725 - EN - EUR-Lex</w:t>
        </w:r>
      </w:hyperlink>
    </w:p>
    <w:p w:rsidRPr="00CD2C56" w:rsidR="0027657E" w:rsidP="0027657E" w:rsidRDefault="0027657E" w14:paraId="3C0F35DB" w14:textId="77777777">
      <w:pPr>
        <w:spacing w:after="0" w:line="360" w:lineRule="auto"/>
        <w:rPr>
          <w:rFonts w:ascii="Verdana" w:hAnsi="Verdana"/>
          <w:i/>
          <w:iCs/>
          <w:sz w:val="18"/>
          <w:szCs w:val="18"/>
          <w:lang w:val="fr-FR"/>
        </w:rPr>
      </w:pPr>
    </w:p>
    <w:p w:rsidRPr="005A1338" w:rsidR="00FA4979" w:rsidP="00FA4979" w:rsidRDefault="00FA4979" w14:paraId="115286CD" w14:textId="77777777">
      <w:pPr>
        <w:numPr>
          <w:ilvl w:val="0"/>
          <w:numId w:val="3"/>
        </w:numPr>
        <w:spacing w:after="0" w:line="360" w:lineRule="auto"/>
        <w:rPr>
          <w:rFonts w:ascii="Verdana" w:hAnsi="Verdana"/>
          <w:i/>
          <w:iCs/>
          <w:sz w:val="18"/>
          <w:szCs w:val="18"/>
          <w:lang w:val="fr-FR"/>
        </w:rPr>
      </w:pPr>
      <w:r w:rsidRPr="005A1338">
        <w:rPr>
          <w:rFonts w:ascii="Verdana" w:hAnsi="Verdana"/>
          <w:i/>
          <w:iCs/>
          <w:sz w:val="18"/>
          <w:szCs w:val="18"/>
          <w:lang w:val="fr-FR"/>
        </w:rPr>
        <w:t xml:space="preserve">Nr. impact </w:t>
      </w:r>
      <w:proofErr w:type="spellStart"/>
      <w:r w:rsidRPr="005A1338">
        <w:rPr>
          <w:rFonts w:ascii="Verdana" w:hAnsi="Verdana"/>
          <w:i/>
          <w:iCs/>
          <w:sz w:val="18"/>
          <w:szCs w:val="18"/>
          <w:lang w:val="fr-FR"/>
        </w:rPr>
        <w:t>assessment</w:t>
      </w:r>
      <w:proofErr w:type="spellEnd"/>
      <w:r w:rsidRPr="005A1338">
        <w:rPr>
          <w:rFonts w:ascii="Verdana" w:hAnsi="Verdana"/>
          <w:i/>
          <w:iCs/>
          <w:sz w:val="18"/>
          <w:szCs w:val="18"/>
          <w:lang w:val="fr-FR"/>
        </w:rPr>
        <w:t xml:space="preserve"> Commissie en </w:t>
      </w:r>
      <w:proofErr w:type="spellStart"/>
      <w:r w:rsidRPr="005A1338">
        <w:rPr>
          <w:rFonts w:ascii="Verdana" w:hAnsi="Verdana"/>
          <w:i/>
          <w:iCs/>
          <w:sz w:val="18"/>
          <w:szCs w:val="18"/>
          <w:lang w:val="fr-FR"/>
        </w:rPr>
        <w:t>Opinie</w:t>
      </w:r>
      <w:proofErr w:type="spellEnd"/>
      <w:r w:rsidRPr="005A1338">
        <w:rPr>
          <w:rFonts w:ascii="Verdana" w:hAnsi="Verdana"/>
          <w:i/>
          <w:iCs/>
          <w:sz w:val="18"/>
          <w:szCs w:val="18"/>
          <w:lang w:val="fr-FR"/>
        </w:rPr>
        <w:t xml:space="preserve"> </w:t>
      </w:r>
    </w:p>
    <w:p w:rsidRPr="005077FA" w:rsidR="0027657E" w:rsidP="0027657E" w:rsidRDefault="0027657E" w14:paraId="2EEA7972" w14:textId="17DF2C98">
      <w:pPr>
        <w:spacing w:after="0" w:line="360" w:lineRule="auto"/>
        <w:rPr>
          <w:rFonts w:ascii="Verdana" w:hAnsi="Verdana"/>
          <w:sz w:val="18"/>
          <w:szCs w:val="18"/>
          <w:lang w:val="fr-FR"/>
        </w:rPr>
      </w:pPr>
      <w:r w:rsidRPr="005077FA">
        <w:rPr>
          <w:rFonts w:ascii="Verdana" w:hAnsi="Verdana"/>
          <w:sz w:val="18"/>
          <w:szCs w:val="18"/>
          <w:lang w:val="fr-FR"/>
        </w:rPr>
        <w:t>N.v.t.</w:t>
      </w:r>
    </w:p>
    <w:p w:rsidRPr="005A1338" w:rsidR="0027657E" w:rsidP="0027657E" w:rsidRDefault="0027657E" w14:paraId="11FBCF68" w14:textId="77777777">
      <w:pPr>
        <w:spacing w:after="0" w:line="360" w:lineRule="auto"/>
        <w:rPr>
          <w:rFonts w:ascii="Verdana" w:hAnsi="Verdana"/>
          <w:i/>
          <w:iCs/>
          <w:sz w:val="18"/>
          <w:szCs w:val="18"/>
          <w:lang w:val="fr-FR"/>
        </w:rPr>
      </w:pPr>
    </w:p>
    <w:p w:rsidRPr="005A1338" w:rsidR="00FA4979" w:rsidP="00FA4979" w:rsidRDefault="00FA4979" w14:paraId="260A1288" w14:textId="77777777">
      <w:pPr>
        <w:numPr>
          <w:ilvl w:val="0"/>
          <w:numId w:val="3"/>
        </w:numPr>
        <w:spacing w:after="0" w:line="360" w:lineRule="auto"/>
        <w:rPr>
          <w:rFonts w:ascii="Verdana" w:hAnsi="Verdana"/>
          <w:i/>
          <w:iCs/>
          <w:sz w:val="18"/>
          <w:szCs w:val="18"/>
        </w:rPr>
      </w:pPr>
      <w:r w:rsidRPr="005A1338">
        <w:rPr>
          <w:rFonts w:ascii="Verdana" w:hAnsi="Verdana"/>
          <w:i/>
          <w:iCs/>
          <w:sz w:val="18"/>
          <w:szCs w:val="18"/>
        </w:rPr>
        <w:t>Behandelingstraject Raad</w:t>
      </w:r>
    </w:p>
    <w:p w:rsidRPr="005A1338" w:rsidR="0027657E" w:rsidP="0027657E" w:rsidRDefault="0027657E" w14:paraId="2025F15B" w14:textId="1C90403F">
      <w:pPr>
        <w:spacing w:after="0" w:line="360" w:lineRule="auto"/>
        <w:rPr>
          <w:rFonts w:ascii="Verdana" w:hAnsi="Verdana"/>
          <w:sz w:val="18"/>
          <w:szCs w:val="18"/>
        </w:rPr>
      </w:pPr>
      <w:r w:rsidRPr="005A1338">
        <w:rPr>
          <w:rFonts w:ascii="Verdana" w:hAnsi="Verdana"/>
          <w:sz w:val="18"/>
          <w:szCs w:val="18"/>
        </w:rPr>
        <w:t xml:space="preserve">Raad Werkgelegenheid, Sociaal Beleid, Volksgezondheid en Consumentenzaken </w:t>
      </w:r>
    </w:p>
    <w:p w:rsidRPr="005A1338" w:rsidR="0027657E" w:rsidP="0027657E" w:rsidRDefault="0027657E" w14:paraId="6EC8B26F" w14:textId="77777777">
      <w:pPr>
        <w:spacing w:after="0" w:line="360" w:lineRule="auto"/>
        <w:rPr>
          <w:rFonts w:ascii="Verdana" w:hAnsi="Verdana"/>
          <w:i/>
          <w:iCs/>
          <w:sz w:val="18"/>
          <w:szCs w:val="18"/>
        </w:rPr>
      </w:pPr>
    </w:p>
    <w:p w:rsidRPr="005A1338" w:rsidR="00FA4979" w:rsidP="00FA4979" w:rsidRDefault="00FA4979" w14:paraId="6B75BDC0" w14:textId="77777777">
      <w:pPr>
        <w:numPr>
          <w:ilvl w:val="0"/>
          <w:numId w:val="3"/>
        </w:numPr>
        <w:spacing w:after="0" w:line="360" w:lineRule="auto"/>
        <w:rPr>
          <w:rFonts w:ascii="Verdana" w:hAnsi="Verdana"/>
          <w:i/>
          <w:sz w:val="18"/>
          <w:szCs w:val="18"/>
        </w:rPr>
      </w:pPr>
      <w:r w:rsidRPr="005A1338">
        <w:rPr>
          <w:rFonts w:ascii="Verdana" w:hAnsi="Verdana"/>
          <w:i/>
          <w:sz w:val="18"/>
          <w:szCs w:val="18"/>
        </w:rPr>
        <w:t>Eerstverantwoordelijk ministerie</w:t>
      </w:r>
    </w:p>
    <w:p w:rsidRPr="005A1338" w:rsidR="00FA4979" w:rsidP="00FA4979" w:rsidRDefault="0027657E" w14:paraId="1EFD607E" w14:textId="2CDF0278">
      <w:pPr>
        <w:spacing w:line="360" w:lineRule="auto"/>
        <w:rPr>
          <w:rFonts w:ascii="Verdana" w:hAnsi="Verdana"/>
          <w:sz w:val="18"/>
          <w:szCs w:val="18"/>
        </w:rPr>
      </w:pPr>
      <w:r w:rsidRPr="005A1338">
        <w:rPr>
          <w:rFonts w:ascii="Verdana" w:hAnsi="Verdana"/>
          <w:sz w:val="18"/>
          <w:szCs w:val="18"/>
        </w:rPr>
        <w:t xml:space="preserve">Ministerie van Onderwijs, Cultuur en Wetenschap </w:t>
      </w:r>
    </w:p>
    <w:p w:rsidRPr="005A1338" w:rsidR="00FA4979" w:rsidP="00FA4979" w:rsidRDefault="00FA4979" w14:paraId="796B916B" w14:textId="77777777">
      <w:pPr>
        <w:numPr>
          <w:ilvl w:val="0"/>
          <w:numId w:val="2"/>
        </w:numPr>
        <w:spacing w:after="0" w:line="360" w:lineRule="auto"/>
        <w:rPr>
          <w:rFonts w:ascii="Verdana" w:hAnsi="Verdana"/>
          <w:b/>
          <w:sz w:val="18"/>
          <w:szCs w:val="18"/>
        </w:rPr>
      </w:pPr>
      <w:r w:rsidRPr="005A1338">
        <w:rPr>
          <w:rFonts w:ascii="Verdana" w:hAnsi="Verdana"/>
          <w:b/>
          <w:sz w:val="18"/>
          <w:szCs w:val="18"/>
        </w:rPr>
        <w:t>Essentie voorstel</w:t>
      </w:r>
    </w:p>
    <w:p w:rsidR="00F844BC" w:rsidP="003B5A95" w:rsidRDefault="0027657E" w14:paraId="3F738A84" w14:textId="3A5A62F0">
      <w:pPr>
        <w:tabs>
          <w:tab w:val="left" w:pos="360"/>
          <w:tab w:val="left" w:pos="4500"/>
          <w:tab w:val="left" w:pos="5580"/>
        </w:tabs>
        <w:spacing w:line="360" w:lineRule="auto"/>
        <w:rPr>
          <w:rFonts w:ascii="Verdana" w:hAnsi="Verdana"/>
          <w:sz w:val="18"/>
          <w:szCs w:val="18"/>
        </w:rPr>
      </w:pPr>
      <w:r w:rsidRPr="005A1338">
        <w:rPr>
          <w:rFonts w:ascii="Verdana" w:hAnsi="Verdana"/>
          <w:sz w:val="18"/>
          <w:szCs w:val="18"/>
        </w:rPr>
        <w:t>Op 8 oktober jl. publiceerde de Europese Commissie (</w:t>
      </w:r>
      <w:r w:rsidR="003C0F31">
        <w:rPr>
          <w:rFonts w:ascii="Verdana" w:hAnsi="Verdana"/>
          <w:sz w:val="18"/>
          <w:szCs w:val="18"/>
        </w:rPr>
        <w:t xml:space="preserve">hierna: </w:t>
      </w:r>
      <w:r w:rsidRPr="005A1338">
        <w:rPr>
          <w:rFonts w:ascii="Verdana" w:hAnsi="Verdana"/>
          <w:sz w:val="18"/>
          <w:szCs w:val="18"/>
        </w:rPr>
        <w:t xml:space="preserve">Commissie) </w:t>
      </w:r>
      <w:r w:rsidR="000314FD">
        <w:rPr>
          <w:rFonts w:ascii="Verdana" w:hAnsi="Verdana"/>
          <w:sz w:val="18"/>
          <w:szCs w:val="18"/>
        </w:rPr>
        <w:t>een mededeling met de</w:t>
      </w:r>
      <w:r w:rsidRPr="005A1338">
        <w:rPr>
          <w:rFonts w:ascii="Verdana" w:hAnsi="Verdana"/>
          <w:sz w:val="18"/>
          <w:szCs w:val="18"/>
        </w:rPr>
        <w:t xml:space="preserve"> strategie voor</w:t>
      </w:r>
      <w:r w:rsidRPr="005A1338" w:rsidR="00FE27C8">
        <w:rPr>
          <w:rFonts w:ascii="Verdana" w:hAnsi="Verdana"/>
          <w:sz w:val="18"/>
          <w:szCs w:val="18"/>
        </w:rPr>
        <w:t xml:space="preserve"> de</w:t>
      </w:r>
      <w:r w:rsidRPr="005A1338">
        <w:rPr>
          <w:rFonts w:ascii="Verdana" w:hAnsi="Verdana"/>
          <w:sz w:val="18"/>
          <w:szCs w:val="18"/>
        </w:rPr>
        <w:t xml:space="preserve"> gelijkheid </w:t>
      </w:r>
      <w:r w:rsidRPr="005A1338" w:rsidR="00FE27C8">
        <w:rPr>
          <w:rFonts w:ascii="Verdana" w:hAnsi="Verdana"/>
          <w:sz w:val="18"/>
          <w:szCs w:val="18"/>
        </w:rPr>
        <w:t xml:space="preserve">van </w:t>
      </w:r>
      <w:r w:rsidRPr="005A1338">
        <w:rPr>
          <w:rFonts w:ascii="Verdana" w:hAnsi="Verdana"/>
          <w:sz w:val="18"/>
          <w:szCs w:val="18"/>
        </w:rPr>
        <w:t>lhbtiq+</w:t>
      </w:r>
      <w:r w:rsidR="003B3E07">
        <w:rPr>
          <w:rStyle w:val="FootnoteReference"/>
          <w:rFonts w:ascii="Verdana" w:hAnsi="Verdana"/>
          <w:sz w:val="18"/>
          <w:szCs w:val="18"/>
        </w:rPr>
        <w:footnoteReference w:id="1"/>
      </w:r>
      <w:r w:rsidRPr="005A1338">
        <w:rPr>
          <w:rFonts w:ascii="Verdana" w:hAnsi="Verdana"/>
          <w:sz w:val="18"/>
          <w:szCs w:val="18"/>
        </w:rPr>
        <w:t xml:space="preserve"> personen</w:t>
      </w:r>
      <w:r w:rsidR="000314FD">
        <w:rPr>
          <w:rFonts w:ascii="Verdana" w:hAnsi="Verdana"/>
          <w:sz w:val="18"/>
          <w:szCs w:val="18"/>
        </w:rPr>
        <w:t xml:space="preserve"> 2026-2032</w:t>
      </w:r>
      <w:r w:rsidRPr="005A1338">
        <w:rPr>
          <w:rFonts w:ascii="Verdana" w:hAnsi="Verdana"/>
          <w:sz w:val="18"/>
          <w:szCs w:val="18"/>
        </w:rPr>
        <w:t xml:space="preserve">. </w:t>
      </w:r>
      <w:r w:rsidRPr="00C531F6" w:rsidR="000314FD">
        <w:rPr>
          <w:rFonts w:ascii="Verdana" w:hAnsi="Verdana"/>
          <w:sz w:val="18"/>
          <w:szCs w:val="18"/>
        </w:rPr>
        <w:t xml:space="preserve">De EU en haar lidstaten hebben </w:t>
      </w:r>
      <w:r w:rsidR="000314FD">
        <w:rPr>
          <w:rFonts w:ascii="Verdana" w:hAnsi="Verdana"/>
          <w:sz w:val="18"/>
          <w:szCs w:val="18"/>
        </w:rPr>
        <w:t xml:space="preserve">al </w:t>
      </w:r>
      <w:r w:rsidRPr="00C531F6" w:rsidR="000314FD">
        <w:rPr>
          <w:rFonts w:ascii="Verdana" w:hAnsi="Verdana"/>
          <w:sz w:val="18"/>
          <w:szCs w:val="18"/>
        </w:rPr>
        <w:t xml:space="preserve">aanzienlijke vooruitgang geboekt bij het bevorderen van een Unie van gelijkheid. </w:t>
      </w:r>
      <w:r w:rsidR="000314FD">
        <w:rPr>
          <w:rFonts w:ascii="Verdana" w:hAnsi="Verdana"/>
          <w:sz w:val="18"/>
          <w:szCs w:val="18"/>
        </w:rPr>
        <w:t>Met deze</w:t>
      </w:r>
      <w:r w:rsidRPr="005A1338" w:rsidR="000314FD">
        <w:rPr>
          <w:rFonts w:ascii="Verdana" w:hAnsi="Verdana"/>
          <w:sz w:val="18"/>
          <w:szCs w:val="18"/>
        </w:rPr>
        <w:t xml:space="preserve"> verhoogde ambitie </w:t>
      </w:r>
      <w:r w:rsidRPr="0099647B" w:rsidR="000314FD">
        <w:rPr>
          <w:rFonts w:ascii="Verdana" w:hAnsi="Verdana"/>
          <w:sz w:val="18"/>
          <w:szCs w:val="18"/>
        </w:rPr>
        <w:t>kan nog veel worden bereikt om een daadwerkelijk gelijke samenleving voor iedereen tot stand te brengen.</w:t>
      </w:r>
      <w:r w:rsidR="000314FD">
        <w:rPr>
          <w:rFonts w:ascii="Verdana" w:hAnsi="Verdana"/>
          <w:sz w:val="18"/>
          <w:szCs w:val="18"/>
        </w:rPr>
        <w:t xml:space="preserve"> </w:t>
      </w:r>
      <w:r w:rsidRPr="005A1338" w:rsidR="000314FD">
        <w:rPr>
          <w:rFonts w:ascii="Verdana" w:hAnsi="Verdana"/>
          <w:sz w:val="18"/>
          <w:szCs w:val="18"/>
        </w:rPr>
        <w:t xml:space="preserve">Het doel van </w:t>
      </w:r>
      <w:r w:rsidR="000314FD">
        <w:rPr>
          <w:rFonts w:ascii="Verdana" w:hAnsi="Verdana"/>
          <w:sz w:val="18"/>
          <w:szCs w:val="18"/>
        </w:rPr>
        <w:t xml:space="preserve">de </w:t>
      </w:r>
      <w:r w:rsidRPr="005A1338" w:rsidR="000314FD">
        <w:rPr>
          <w:rFonts w:ascii="Verdana" w:hAnsi="Verdana"/>
          <w:sz w:val="18"/>
          <w:szCs w:val="18"/>
        </w:rPr>
        <w:t xml:space="preserve">strategie is om bij te dragen </w:t>
      </w:r>
      <w:r w:rsidR="000314FD">
        <w:rPr>
          <w:rFonts w:ascii="Verdana" w:hAnsi="Verdana"/>
          <w:sz w:val="18"/>
          <w:szCs w:val="18"/>
        </w:rPr>
        <w:t xml:space="preserve">aan </w:t>
      </w:r>
      <w:r w:rsidRPr="005A1338" w:rsidR="000314FD">
        <w:rPr>
          <w:rFonts w:ascii="Verdana" w:hAnsi="Verdana"/>
          <w:sz w:val="18"/>
          <w:szCs w:val="18"/>
        </w:rPr>
        <w:t>de totstandkoming van een EU waarin diversiteit wordt gevierd als onderdeel van onze collectieve rijkdom, waar iedereen zichzelf kan zijn zonder risico op discriminatie, uitsluiting of geweld.</w:t>
      </w:r>
    </w:p>
    <w:p w:rsidR="00DD7653" w:rsidP="003B5A95" w:rsidRDefault="00F844BC" w14:paraId="47A5EC0E" w14:textId="77777777">
      <w:pPr>
        <w:tabs>
          <w:tab w:val="left" w:pos="360"/>
          <w:tab w:val="left" w:pos="4500"/>
          <w:tab w:val="left" w:pos="5580"/>
        </w:tabs>
        <w:spacing w:line="360" w:lineRule="auto"/>
        <w:rPr>
          <w:rFonts w:ascii="Verdana" w:hAnsi="Verdana"/>
          <w:sz w:val="18"/>
          <w:szCs w:val="18"/>
        </w:rPr>
      </w:pPr>
      <w:r w:rsidRPr="005A1338">
        <w:rPr>
          <w:rFonts w:ascii="Verdana" w:hAnsi="Verdana"/>
          <w:sz w:val="18"/>
          <w:szCs w:val="18"/>
        </w:rPr>
        <w:lastRenderedPageBreak/>
        <w:t>De strategie</w:t>
      </w:r>
      <w:r w:rsidR="00700EBE">
        <w:rPr>
          <w:rFonts w:ascii="Verdana" w:hAnsi="Verdana"/>
          <w:sz w:val="18"/>
          <w:szCs w:val="18"/>
        </w:rPr>
        <w:t xml:space="preserve"> </w:t>
      </w:r>
      <w:r w:rsidRPr="005A1338">
        <w:rPr>
          <w:rFonts w:ascii="Verdana" w:hAnsi="Verdana"/>
          <w:sz w:val="18"/>
          <w:szCs w:val="18"/>
        </w:rPr>
        <w:t xml:space="preserve">bevat gerichte maatregelen rond drie </w:t>
      </w:r>
      <w:r>
        <w:rPr>
          <w:rFonts w:ascii="Verdana" w:hAnsi="Verdana"/>
          <w:sz w:val="18"/>
          <w:szCs w:val="18"/>
        </w:rPr>
        <w:t>doelstellingen</w:t>
      </w:r>
      <w:r w:rsidR="00700EBE">
        <w:rPr>
          <w:rFonts w:ascii="Verdana" w:hAnsi="Verdana"/>
          <w:sz w:val="18"/>
          <w:szCs w:val="18"/>
        </w:rPr>
        <w:t xml:space="preserve"> gericht op het </w:t>
      </w:r>
      <w:r w:rsidRPr="005A1338" w:rsidR="00700EBE">
        <w:rPr>
          <w:rFonts w:ascii="Verdana" w:hAnsi="Verdana"/>
          <w:sz w:val="18"/>
          <w:szCs w:val="18"/>
        </w:rPr>
        <w:t>bestrijd</w:t>
      </w:r>
      <w:r w:rsidR="00700EBE">
        <w:rPr>
          <w:rFonts w:ascii="Verdana" w:hAnsi="Verdana"/>
          <w:sz w:val="18"/>
          <w:szCs w:val="18"/>
        </w:rPr>
        <w:t xml:space="preserve">en van haat en het </w:t>
      </w:r>
      <w:r w:rsidRPr="005A1338" w:rsidR="00700EBE">
        <w:rPr>
          <w:rFonts w:ascii="Verdana" w:hAnsi="Verdana"/>
          <w:sz w:val="18"/>
          <w:szCs w:val="18"/>
        </w:rPr>
        <w:t>bevorder</w:t>
      </w:r>
      <w:r w:rsidR="00700EBE">
        <w:rPr>
          <w:rFonts w:ascii="Verdana" w:hAnsi="Verdana"/>
          <w:sz w:val="18"/>
          <w:szCs w:val="18"/>
        </w:rPr>
        <w:t>en van</w:t>
      </w:r>
      <w:r w:rsidRPr="005A1338" w:rsidR="00700EBE">
        <w:rPr>
          <w:rFonts w:ascii="Verdana" w:hAnsi="Verdana"/>
          <w:sz w:val="18"/>
          <w:szCs w:val="18"/>
        </w:rPr>
        <w:t xml:space="preserve"> vrijheid en diversiteit in de EU en wereldwijd</w:t>
      </w:r>
      <w:r>
        <w:rPr>
          <w:rFonts w:ascii="Verdana" w:hAnsi="Verdana"/>
          <w:sz w:val="18"/>
          <w:szCs w:val="18"/>
        </w:rPr>
        <w:t xml:space="preserve">. </w:t>
      </w:r>
    </w:p>
    <w:p w:rsidRPr="005A1338" w:rsidR="003B5A95" w:rsidP="003B5A95" w:rsidRDefault="00F844BC" w14:paraId="59C0E3CD" w14:textId="6299F702">
      <w:pPr>
        <w:tabs>
          <w:tab w:val="left" w:pos="360"/>
          <w:tab w:val="left" w:pos="4500"/>
          <w:tab w:val="left" w:pos="5580"/>
        </w:tabs>
        <w:spacing w:line="360" w:lineRule="auto"/>
        <w:rPr>
          <w:rFonts w:ascii="Verdana" w:hAnsi="Verdana"/>
          <w:sz w:val="18"/>
          <w:szCs w:val="18"/>
        </w:rPr>
      </w:pPr>
      <w:r>
        <w:rPr>
          <w:rFonts w:ascii="Verdana" w:hAnsi="Verdana"/>
          <w:sz w:val="18"/>
          <w:szCs w:val="18"/>
        </w:rPr>
        <w:t xml:space="preserve">Ten eerste </w:t>
      </w:r>
      <w:r w:rsidRPr="005A1338">
        <w:rPr>
          <w:rFonts w:ascii="Verdana" w:hAnsi="Verdana"/>
          <w:sz w:val="18"/>
          <w:szCs w:val="18"/>
        </w:rPr>
        <w:t xml:space="preserve">lhbtiq+ personen beschermen tegen alle vormen van geweld, </w:t>
      </w:r>
      <w:r>
        <w:rPr>
          <w:rFonts w:ascii="Verdana" w:hAnsi="Verdana"/>
          <w:sz w:val="18"/>
          <w:szCs w:val="18"/>
        </w:rPr>
        <w:t xml:space="preserve">ten tweede </w:t>
      </w:r>
      <w:r w:rsidRPr="005A1338">
        <w:rPr>
          <w:rFonts w:ascii="Verdana" w:hAnsi="Verdana"/>
          <w:sz w:val="18"/>
          <w:szCs w:val="18"/>
        </w:rPr>
        <w:t>lhbtiq+ personen in staat stellen om zonder discriminatie te leven en gelijke rechten te hebben op alle gebieden van het leven en</w:t>
      </w:r>
      <w:r>
        <w:rPr>
          <w:rFonts w:ascii="Verdana" w:hAnsi="Verdana"/>
          <w:sz w:val="18"/>
          <w:szCs w:val="18"/>
        </w:rPr>
        <w:t xml:space="preserve"> ten derde </w:t>
      </w:r>
      <w:r w:rsidRPr="005A1338">
        <w:rPr>
          <w:rFonts w:ascii="Verdana" w:hAnsi="Verdana"/>
          <w:sz w:val="18"/>
          <w:szCs w:val="18"/>
        </w:rPr>
        <w:t xml:space="preserve">de samenleving als geheel op alle niveaus </w:t>
      </w:r>
      <w:r>
        <w:rPr>
          <w:rFonts w:ascii="Verdana" w:hAnsi="Verdana"/>
          <w:sz w:val="18"/>
          <w:szCs w:val="18"/>
        </w:rPr>
        <w:t xml:space="preserve">te </w:t>
      </w:r>
      <w:r w:rsidRPr="005A1338">
        <w:rPr>
          <w:rFonts w:ascii="Verdana" w:hAnsi="Verdana"/>
          <w:sz w:val="18"/>
          <w:szCs w:val="18"/>
        </w:rPr>
        <w:t>betrekken om samen de gelijkheid van lhbtiq+ personen te bevorderen.</w:t>
      </w:r>
    </w:p>
    <w:p w:rsidRPr="005A1338" w:rsidR="00766695" w:rsidP="003B5A95" w:rsidRDefault="00766695" w14:paraId="658B9D65" w14:textId="7B0EBC2C">
      <w:pPr>
        <w:tabs>
          <w:tab w:val="left" w:pos="360"/>
          <w:tab w:val="left" w:pos="4500"/>
          <w:tab w:val="left" w:pos="5580"/>
        </w:tabs>
        <w:spacing w:line="360" w:lineRule="auto"/>
        <w:rPr>
          <w:rFonts w:ascii="Verdana" w:hAnsi="Verdana"/>
          <w:sz w:val="18"/>
          <w:szCs w:val="18"/>
        </w:rPr>
      </w:pPr>
      <w:r w:rsidRPr="005A1338">
        <w:rPr>
          <w:rFonts w:ascii="Verdana" w:hAnsi="Verdana"/>
          <w:sz w:val="18"/>
          <w:szCs w:val="18"/>
        </w:rPr>
        <w:t xml:space="preserve">Om de lidstaten te ondersteunen bij het verbieden van </w:t>
      </w:r>
      <w:r w:rsidRPr="005A1338" w:rsidR="008B0CA2">
        <w:rPr>
          <w:rFonts w:ascii="Verdana" w:hAnsi="Verdana"/>
          <w:sz w:val="18"/>
          <w:szCs w:val="18"/>
        </w:rPr>
        <w:t>conversietherapie</w:t>
      </w:r>
      <w:r w:rsidRPr="005A1338">
        <w:rPr>
          <w:rFonts w:ascii="Verdana" w:hAnsi="Verdana"/>
          <w:sz w:val="18"/>
          <w:szCs w:val="18"/>
        </w:rPr>
        <w:t xml:space="preserve">, zal de Commissie de aard, prevalentie en impact ervan op </w:t>
      </w:r>
      <w:r w:rsidRPr="005A1338" w:rsidR="008B0CA2">
        <w:rPr>
          <w:rFonts w:ascii="Verdana" w:hAnsi="Verdana"/>
          <w:sz w:val="18"/>
          <w:szCs w:val="18"/>
        </w:rPr>
        <w:t xml:space="preserve">lhbtiq+ </w:t>
      </w:r>
      <w:r w:rsidRPr="005A1338">
        <w:rPr>
          <w:rFonts w:ascii="Verdana" w:hAnsi="Verdana"/>
          <w:sz w:val="18"/>
          <w:szCs w:val="18"/>
        </w:rPr>
        <w:t>personen beoordelen</w:t>
      </w:r>
      <w:r w:rsidRPr="005A1338" w:rsidR="008B0CA2">
        <w:rPr>
          <w:rFonts w:ascii="Verdana" w:hAnsi="Verdana"/>
          <w:sz w:val="18"/>
          <w:szCs w:val="18"/>
        </w:rPr>
        <w:t>. Dit</w:t>
      </w:r>
      <w:r w:rsidRPr="005A1338">
        <w:rPr>
          <w:rFonts w:ascii="Verdana" w:hAnsi="Verdana"/>
          <w:sz w:val="18"/>
          <w:szCs w:val="18"/>
        </w:rPr>
        <w:t xml:space="preserve"> met het oog op passende maatregelen om deze praktijken te stoppen. </w:t>
      </w:r>
      <w:r w:rsidRPr="005A1338" w:rsidR="008B0CA2">
        <w:rPr>
          <w:rFonts w:ascii="Verdana" w:hAnsi="Verdana"/>
          <w:sz w:val="18"/>
          <w:szCs w:val="18"/>
        </w:rPr>
        <w:t xml:space="preserve">Hierbij houdt de Commissie </w:t>
      </w:r>
      <w:r w:rsidRPr="005A1338">
        <w:rPr>
          <w:rFonts w:ascii="Verdana" w:hAnsi="Verdana"/>
          <w:sz w:val="18"/>
          <w:szCs w:val="18"/>
        </w:rPr>
        <w:t xml:space="preserve">rekening met het Europees burgerinitiatief om conversiepraktijken te verbieden. De strategie </w:t>
      </w:r>
      <w:r w:rsidRPr="005A1338" w:rsidR="008B0CA2">
        <w:rPr>
          <w:rFonts w:ascii="Verdana" w:hAnsi="Verdana"/>
          <w:sz w:val="18"/>
          <w:szCs w:val="18"/>
        </w:rPr>
        <w:t xml:space="preserve">richt zich ook </w:t>
      </w:r>
      <w:r w:rsidRPr="005A1338">
        <w:rPr>
          <w:rFonts w:ascii="Verdana" w:hAnsi="Verdana"/>
          <w:sz w:val="18"/>
          <w:szCs w:val="18"/>
        </w:rPr>
        <w:t xml:space="preserve">op het aanpakken van haat offline en online. Zo zal de Commissie een kenniscentrum opzetten om informatie te verzamelen over illegale haat online. </w:t>
      </w:r>
      <w:r w:rsidRPr="005A1338" w:rsidR="008B0CA2">
        <w:rPr>
          <w:rFonts w:ascii="Verdana" w:hAnsi="Verdana"/>
          <w:sz w:val="18"/>
          <w:szCs w:val="18"/>
        </w:rPr>
        <w:t>Doel hiervan is om</w:t>
      </w:r>
      <w:r w:rsidRPr="005A1338">
        <w:rPr>
          <w:rFonts w:ascii="Verdana" w:hAnsi="Verdana"/>
          <w:sz w:val="18"/>
          <w:szCs w:val="18"/>
        </w:rPr>
        <w:t xml:space="preserve"> het toezicht op de gedragscode</w:t>
      </w:r>
      <w:r w:rsidR="004C25E7">
        <w:rPr>
          <w:rFonts w:ascii="Verdana" w:hAnsi="Verdana"/>
          <w:sz w:val="18"/>
          <w:szCs w:val="18"/>
        </w:rPr>
        <w:t xml:space="preserve"> te</w:t>
      </w:r>
      <w:r w:rsidRPr="005A1338">
        <w:rPr>
          <w:rFonts w:ascii="Verdana" w:hAnsi="Verdana"/>
          <w:sz w:val="18"/>
          <w:szCs w:val="18"/>
        </w:rPr>
        <w:t xml:space="preserve"> verbeteren. </w:t>
      </w:r>
      <w:r w:rsidRPr="005A1338" w:rsidR="008B0CA2">
        <w:rPr>
          <w:rFonts w:ascii="Verdana" w:hAnsi="Verdana"/>
          <w:sz w:val="18"/>
          <w:szCs w:val="18"/>
        </w:rPr>
        <w:t xml:space="preserve">Daarnaast geeft de </w:t>
      </w:r>
      <w:r w:rsidRPr="005A1338" w:rsidR="00AC6CAC">
        <w:rPr>
          <w:rFonts w:ascii="Verdana" w:hAnsi="Verdana"/>
          <w:sz w:val="18"/>
          <w:szCs w:val="18"/>
        </w:rPr>
        <w:t>Commissie</w:t>
      </w:r>
      <w:r w:rsidRPr="005A1338" w:rsidR="008B0CA2">
        <w:rPr>
          <w:rFonts w:ascii="Verdana" w:hAnsi="Verdana"/>
          <w:sz w:val="18"/>
          <w:szCs w:val="18"/>
        </w:rPr>
        <w:t xml:space="preserve"> in de strategie aan</w:t>
      </w:r>
      <w:r w:rsidRPr="005A1338">
        <w:rPr>
          <w:rFonts w:ascii="Verdana" w:hAnsi="Verdana"/>
          <w:sz w:val="18"/>
          <w:szCs w:val="18"/>
        </w:rPr>
        <w:t xml:space="preserve"> voorts een EU-actieplan tegen cyberpesten</w:t>
      </w:r>
      <w:r w:rsidRPr="005A1338" w:rsidR="008B0CA2">
        <w:rPr>
          <w:rFonts w:ascii="Verdana" w:hAnsi="Verdana"/>
          <w:sz w:val="18"/>
          <w:szCs w:val="18"/>
        </w:rPr>
        <w:t xml:space="preserve"> te publiceren,</w:t>
      </w:r>
      <w:r w:rsidRPr="005A1338">
        <w:rPr>
          <w:rFonts w:ascii="Verdana" w:hAnsi="Verdana"/>
          <w:sz w:val="18"/>
          <w:szCs w:val="18"/>
        </w:rPr>
        <w:t xml:space="preserve"> </w:t>
      </w:r>
      <w:r w:rsidRPr="005A1338" w:rsidR="008B0CA2">
        <w:rPr>
          <w:rFonts w:ascii="Verdana" w:hAnsi="Verdana"/>
          <w:sz w:val="18"/>
          <w:szCs w:val="18"/>
        </w:rPr>
        <w:t xml:space="preserve">met bijzondere aandacht voor lhbtiq+ jongeren. </w:t>
      </w:r>
    </w:p>
    <w:p w:rsidRPr="005A1338" w:rsidR="00F844BC" w:rsidP="00F844BC" w:rsidRDefault="00F844BC" w14:paraId="2391B11A" w14:textId="5B75EFB2">
      <w:pPr>
        <w:tabs>
          <w:tab w:val="left" w:pos="360"/>
          <w:tab w:val="left" w:pos="4500"/>
          <w:tab w:val="left" w:pos="5580"/>
        </w:tabs>
        <w:spacing w:line="360" w:lineRule="auto"/>
        <w:rPr>
          <w:rFonts w:ascii="Verdana" w:hAnsi="Verdana"/>
          <w:sz w:val="18"/>
          <w:szCs w:val="18"/>
        </w:rPr>
      </w:pPr>
      <w:r w:rsidRPr="007A25E2">
        <w:rPr>
          <w:rFonts w:ascii="Verdana" w:hAnsi="Verdana"/>
          <w:sz w:val="18"/>
          <w:szCs w:val="18"/>
        </w:rPr>
        <w:t>Discriminatie leidt tot economische verliezen:</w:t>
      </w:r>
      <w:r w:rsidR="00477B88">
        <w:rPr>
          <w:rFonts w:ascii="Verdana" w:hAnsi="Verdana"/>
          <w:sz w:val="18"/>
          <w:szCs w:val="18"/>
        </w:rPr>
        <w:t xml:space="preserve"> </w:t>
      </w:r>
      <w:r w:rsidRPr="007A25E2">
        <w:rPr>
          <w:rFonts w:ascii="Verdana" w:hAnsi="Verdana"/>
          <w:sz w:val="18"/>
          <w:szCs w:val="18"/>
        </w:rPr>
        <w:t>een recent</w:t>
      </w:r>
      <w:r w:rsidR="00477B88">
        <w:rPr>
          <w:rFonts w:ascii="Verdana" w:hAnsi="Verdana"/>
          <w:sz w:val="18"/>
          <w:szCs w:val="18"/>
        </w:rPr>
        <w:t xml:space="preserve"> </w:t>
      </w:r>
      <w:r w:rsidRPr="00162A7D">
        <w:rPr>
          <w:rFonts w:ascii="Verdana" w:hAnsi="Verdana"/>
          <w:sz w:val="18"/>
          <w:szCs w:val="18"/>
        </w:rPr>
        <w:t>onderzoek van de OESO</w:t>
      </w:r>
      <w:r w:rsidR="00162A7D">
        <w:rPr>
          <w:rStyle w:val="FootnoteReference"/>
          <w:rFonts w:ascii="Verdana" w:hAnsi="Verdana"/>
          <w:sz w:val="18"/>
          <w:szCs w:val="18"/>
        </w:rPr>
        <w:footnoteReference w:id="2"/>
      </w:r>
      <w:r w:rsidR="00162A7D">
        <w:rPr>
          <w:rFonts w:ascii="Verdana" w:hAnsi="Verdana"/>
          <w:sz w:val="18"/>
          <w:szCs w:val="18"/>
        </w:rPr>
        <w:t xml:space="preserve"> </w:t>
      </w:r>
      <w:r w:rsidRPr="007A25E2">
        <w:rPr>
          <w:rFonts w:ascii="Verdana" w:hAnsi="Verdana"/>
          <w:sz w:val="18"/>
          <w:szCs w:val="18"/>
        </w:rPr>
        <w:t>geeft aan dat de jaarlijkse bbp-verliezen in de EU die verband houden met discriminatie op grond van seksuele gerichtheid, kunnen oplopen tot 89 miljoen EUR</w:t>
      </w:r>
      <w:r>
        <w:rPr>
          <w:rFonts w:ascii="Verdana" w:hAnsi="Verdana"/>
          <w:sz w:val="18"/>
          <w:szCs w:val="18"/>
        </w:rPr>
        <w:t xml:space="preserve">. </w:t>
      </w:r>
      <w:r w:rsidRPr="005A1338">
        <w:rPr>
          <w:rFonts w:ascii="Verdana" w:hAnsi="Verdana"/>
          <w:sz w:val="18"/>
          <w:szCs w:val="18"/>
        </w:rPr>
        <w:t xml:space="preserve">Om </w:t>
      </w:r>
      <w:r>
        <w:rPr>
          <w:rFonts w:ascii="Verdana" w:hAnsi="Verdana"/>
          <w:sz w:val="18"/>
          <w:szCs w:val="18"/>
        </w:rPr>
        <w:t>discriminatie</w:t>
      </w:r>
      <w:r w:rsidRPr="005A1338">
        <w:rPr>
          <w:rFonts w:ascii="Verdana" w:hAnsi="Verdana"/>
          <w:sz w:val="18"/>
          <w:szCs w:val="18"/>
        </w:rPr>
        <w:t xml:space="preserve"> te bestrijden zal de Commissie in 2026 een verslag publiceren over de uitvoering van de richtlijn inzake gelijke behandeling in arbeid en beroep en blijven toezien op de strikte toepassing ervan. Daarnaast zal de Commissie nieuwe richtsnoeren opstellen voor inclusieve wervingspraktijken.</w:t>
      </w:r>
    </w:p>
    <w:p w:rsidR="00094C13" w:rsidP="00FA4979" w:rsidRDefault="00777D78" w14:paraId="43F4BE47" w14:textId="53F7071D">
      <w:pPr>
        <w:tabs>
          <w:tab w:val="left" w:pos="360"/>
          <w:tab w:val="left" w:pos="4500"/>
          <w:tab w:val="left" w:pos="5580"/>
        </w:tabs>
        <w:spacing w:line="360" w:lineRule="auto"/>
        <w:rPr>
          <w:rFonts w:ascii="Verdana" w:hAnsi="Verdana" w:eastAsia="Verdana" w:cs="Verdana"/>
          <w:sz w:val="18"/>
          <w:szCs w:val="18"/>
        </w:rPr>
      </w:pPr>
      <w:r w:rsidRPr="005A1338">
        <w:rPr>
          <w:rFonts w:ascii="Verdana" w:hAnsi="Verdana"/>
          <w:sz w:val="18"/>
          <w:szCs w:val="18"/>
        </w:rPr>
        <w:t>De strategie benadrukt het cruciale belang van de betrokkenheid van het maatschappelijk middenveld bij het beschermen van de rechten en vrijheden van lhbtiq+ personen</w:t>
      </w:r>
      <w:r w:rsidRPr="005A1338" w:rsidR="001C5165">
        <w:rPr>
          <w:rFonts w:ascii="Verdana" w:hAnsi="Verdana"/>
          <w:sz w:val="18"/>
          <w:szCs w:val="18"/>
        </w:rPr>
        <w:t xml:space="preserve">. </w:t>
      </w:r>
      <w:r w:rsidRPr="005077FA" w:rsidR="00F94FA5">
        <w:rPr>
          <w:rFonts w:ascii="Verdana" w:hAnsi="Verdana" w:eastAsia="Verdana" w:cs="Verdana"/>
          <w:sz w:val="18"/>
          <w:szCs w:val="18"/>
        </w:rPr>
        <w:t>Zij zal financiële middelen beschikbaar stellen voor de ondersteuning van maatschappelijke organisaties.</w:t>
      </w:r>
      <w:r w:rsidR="003B3E07">
        <w:rPr>
          <w:rFonts w:ascii="Verdana" w:hAnsi="Verdana" w:eastAsia="Verdana" w:cs="Verdana"/>
          <w:sz w:val="18"/>
          <w:szCs w:val="18"/>
        </w:rPr>
        <w:t xml:space="preserve"> </w:t>
      </w:r>
      <w:r w:rsidRPr="005077FA" w:rsidR="00F94FA5">
        <w:rPr>
          <w:rFonts w:ascii="Verdana" w:hAnsi="Verdana" w:eastAsia="Verdana" w:cs="Verdana"/>
          <w:sz w:val="18"/>
          <w:szCs w:val="18"/>
        </w:rPr>
        <w:t>Ook is de Commissie voornemens om een “Beleid Forum” op te richten voor gestructureerde uitwisseling met en tussen wetenschappers, sociale partners en maatschappelijke organisaties.</w:t>
      </w:r>
      <w:r w:rsidRPr="005A1338" w:rsidR="00F94FA5">
        <w:rPr>
          <w:rFonts w:ascii="Verdana" w:hAnsi="Verdana" w:eastAsia="Verdana" w:cs="Verdana"/>
          <w:sz w:val="18"/>
          <w:szCs w:val="18"/>
        </w:rPr>
        <w:t xml:space="preserve"> </w:t>
      </w:r>
    </w:p>
    <w:p w:rsidR="007377CF" w:rsidP="00FA4979" w:rsidRDefault="00777D78" w14:paraId="40FB187E" w14:textId="3BA4E889">
      <w:pPr>
        <w:tabs>
          <w:tab w:val="left" w:pos="360"/>
          <w:tab w:val="left" w:pos="4500"/>
          <w:tab w:val="left" w:pos="5580"/>
        </w:tabs>
        <w:spacing w:line="360" w:lineRule="auto"/>
        <w:rPr>
          <w:rFonts w:ascii="Verdana" w:hAnsi="Verdana" w:eastAsia="Verdana" w:cs="Verdana"/>
          <w:sz w:val="18"/>
          <w:szCs w:val="18"/>
        </w:rPr>
      </w:pPr>
      <w:r w:rsidRPr="005A1338">
        <w:rPr>
          <w:rFonts w:ascii="Verdana" w:hAnsi="Verdana"/>
          <w:sz w:val="18"/>
          <w:szCs w:val="18"/>
        </w:rPr>
        <w:t>H</w:t>
      </w:r>
      <w:r w:rsidRPr="005A1338" w:rsidR="001C5165">
        <w:rPr>
          <w:rFonts w:ascii="Verdana" w:hAnsi="Verdana"/>
          <w:sz w:val="18"/>
          <w:szCs w:val="18"/>
        </w:rPr>
        <w:t xml:space="preserve">uidige financiering </w:t>
      </w:r>
      <w:r w:rsidRPr="005A1338">
        <w:rPr>
          <w:rFonts w:ascii="Verdana" w:hAnsi="Verdana"/>
          <w:sz w:val="18"/>
          <w:szCs w:val="18"/>
        </w:rPr>
        <w:t xml:space="preserve">hiervoor </w:t>
      </w:r>
      <w:r w:rsidRPr="005A1338" w:rsidR="001C5165">
        <w:rPr>
          <w:rFonts w:ascii="Verdana" w:hAnsi="Verdana"/>
          <w:sz w:val="18"/>
          <w:szCs w:val="18"/>
        </w:rPr>
        <w:t>in het kader van het CERV-programma loopt door tot</w:t>
      </w:r>
      <w:r w:rsidR="00E51234">
        <w:rPr>
          <w:rFonts w:ascii="Verdana" w:hAnsi="Verdana"/>
          <w:sz w:val="18"/>
          <w:szCs w:val="18"/>
        </w:rPr>
        <w:t xml:space="preserve"> en met</w:t>
      </w:r>
      <w:r w:rsidRPr="005A1338" w:rsidR="001C5165">
        <w:rPr>
          <w:rFonts w:ascii="Verdana" w:hAnsi="Verdana"/>
          <w:sz w:val="18"/>
          <w:szCs w:val="18"/>
        </w:rPr>
        <w:t xml:space="preserve"> 2027. </w:t>
      </w:r>
      <w:r w:rsidRPr="005A1338">
        <w:rPr>
          <w:rFonts w:ascii="Verdana" w:hAnsi="Verdana"/>
          <w:sz w:val="18"/>
          <w:szCs w:val="18"/>
        </w:rPr>
        <w:t xml:space="preserve">Onder </w:t>
      </w:r>
      <w:r w:rsidRPr="005A1338" w:rsidR="001C5165">
        <w:rPr>
          <w:rFonts w:ascii="Verdana" w:hAnsi="Verdana"/>
          <w:sz w:val="18"/>
          <w:szCs w:val="18"/>
        </w:rPr>
        <w:t xml:space="preserve">het volgende </w:t>
      </w:r>
      <w:r w:rsidR="003C0F31">
        <w:rPr>
          <w:rFonts w:ascii="Verdana" w:hAnsi="Verdana"/>
          <w:sz w:val="18"/>
          <w:szCs w:val="18"/>
        </w:rPr>
        <w:t>M</w:t>
      </w:r>
      <w:r w:rsidRPr="005A1338" w:rsidR="001C5165">
        <w:rPr>
          <w:rFonts w:ascii="Verdana" w:hAnsi="Verdana"/>
          <w:sz w:val="18"/>
          <w:szCs w:val="18"/>
        </w:rPr>
        <w:t xml:space="preserve">eerjarig </w:t>
      </w:r>
      <w:r w:rsidR="003C0F31">
        <w:rPr>
          <w:rFonts w:ascii="Verdana" w:hAnsi="Verdana"/>
          <w:sz w:val="18"/>
          <w:szCs w:val="18"/>
        </w:rPr>
        <w:t>F</w:t>
      </w:r>
      <w:r w:rsidRPr="005A1338" w:rsidR="001C5165">
        <w:rPr>
          <w:rFonts w:ascii="Verdana" w:hAnsi="Verdana"/>
          <w:sz w:val="18"/>
          <w:szCs w:val="18"/>
        </w:rPr>
        <w:t xml:space="preserve">inancieel </w:t>
      </w:r>
      <w:r w:rsidR="003C0F31">
        <w:rPr>
          <w:rFonts w:ascii="Verdana" w:hAnsi="Verdana"/>
          <w:sz w:val="18"/>
          <w:szCs w:val="18"/>
        </w:rPr>
        <w:t>K</w:t>
      </w:r>
      <w:r w:rsidRPr="005A1338" w:rsidR="001C5165">
        <w:rPr>
          <w:rFonts w:ascii="Verdana" w:hAnsi="Verdana"/>
          <w:sz w:val="18"/>
          <w:szCs w:val="18"/>
        </w:rPr>
        <w:t>ader (MFK) zal financiering worden verstrekt in het kader van het CERV+</w:t>
      </w:r>
      <w:r w:rsidRPr="005A1338">
        <w:rPr>
          <w:rFonts w:ascii="Verdana" w:hAnsi="Verdana"/>
          <w:sz w:val="18"/>
          <w:szCs w:val="18"/>
        </w:rPr>
        <w:t xml:space="preserve"> </w:t>
      </w:r>
      <w:r w:rsidRPr="005A1338" w:rsidR="001C5165">
        <w:rPr>
          <w:rFonts w:ascii="Verdana" w:hAnsi="Verdana"/>
          <w:sz w:val="18"/>
          <w:szCs w:val="18"/>
        </w:rPr>
        <w:t>onderdeel van het</w:t>
      </w:r>
      <w:r w:rsidRPr="005A1338">
        <w:rPr>
          <w:rFonts w:ascii="Verdana" w:hAnsi="Verdana"/>
          <w:sz w:val="18"/>
          <w:szCs w:val="18"/>
        </w:rPr>
        <w:t xml:space="preserve"> voorgestelde</w:t>
      </w:r>
      <w:r w:rsidRPr="005A1338" w:rsidR="001C5165">
        <w:rPr>
          <w:rFonts w:ascii="Verdana" w:hAnsi="Verdana"/>
          <w:sz w:val="18"/>
          <w:szCs w:val="18"/>
        </w:rPr>
        <w:t xml:space="preserve"> </w:t>
      </w:r>
      <w:proofErr w:type="spellStart"/>
      <w:r w:rsidRPr="005A1338" w:rsidR="001C5165">
        <w:rPr>
          <w:rFonts w:ascii="Verdana" w:hAnsi="Verdana"/>
          <w:sz w:val="18"/>
          <w:szCs w:val="18"/>
        </w:rPr>
        <w:t>AgoraEU</w:t>
      </w:r>
      <w:proofErr w:type="spellEnd"/>
      <w:r w:rsidRPr="005A1338" w:rsidR="001C5165">
        <w:rPr>
          <w:rFonts w:ascii="Verdana" w:hAnsi="Verdana"/>
          <w:sz w:val="18"/>
          <w:szCs w:val="18"/>
        </w:rPr>
        <w:t xml:space="preserve">-programma, dat </w:t>
      </w:r>
      <w:r w:rsidRPr="005A1338">
        <w:rPr>
          <w:rFonts w:ascii="Verdana" w:hAnsi="Verdana"/>
          <w:sz w:val="18"/>
          <w:szCs w:val="18"/>
        </w:rPr>
        <w:t>middelen</w:t>
      </w:r>
      <w:r w:rsidRPr="005A1338" w:rsidR="001C5165">
        <w:rPr>
          <w:rFonts w:ascii="Verdana" w:hAnsi="Verdana"/>
          <w:sz w:val="18"/>
          <w:szCs w:val="18"/>
        </w:rPr>
        <w:t xml:space="preserve"> omvat voor het handhaven van gelijkheid en non-discriminatie, het bestrijden van gendergerelateerd geweld en het bevorderen van democratische participatie.</w:t>
      </w:r>
      <w:r w:rsidR="003B3E07">
        <w:rPr>
          <w:rFonts w:ascii="Verdana" w:hAnsi="Verdana"/>
          <w:sz w:val="18"/>
          <w:szCs w:val="18"/>
        </w:rPr>
        <w:t xml:space="preserve"> </w:t>
      </w:r>
      <w:r w:rsidRPr="005A1338" w:rsidR="00094C13">
        <w:rPr>
          <w:rFonts w:ascii="Verdana" w:hAnsi="Verdana" w:eastAsia="Verdana" w:cs="Verdana"/>
          <w:sz w:val="18"/>
          <w:szCs w:val="18"/>
        </w:rPr>
        <w:t xml:space="preserve">Ook zal de Commissie </w:t>
      </w:r>
      <w:r w:rsidRPr="00155F64" w:rsidR="00094C13">
        <w:rPr>
          <w:rFonts w:ascii="Verdana" w:hAnsi="Verdana" w:eastAsia="Verdana" w:cs="Verdana"/>
          <w:sz w:val="18"/>
          <w:szCs w:val="18"/>
        </w:rPr>
        <w:t>in samenwerking met de lidstaten een aanbeveling opstellen om verzameling, analyse en gebruik van gegevens over gelijkheid te verbeteren.</w:t>
      </w:r>
      <w:r w:rsidR="00094C13">
        <w:rPr>
          <w:rFonts w:ascii="Verdana" w:hAnsi="Verdana" w:eastAsia="Verdana" w:cs="Verdana"/>
          <w:sz w:val="18"/>
          <w:szCs w:val="18"/>
        </w:rPr>
        <w:t xml:space="preserve"> </w:t>
      </w:r>
      <w:r w:rsidRPr="00155F64" w:rsidR="00094C13">
        <w:rPr>
          <w:rFonts w:ascii="Verdana" w:hAnsi="Verdana" w:eastAsia="Verdana" w:cs="Verdana"/>
          <w:sz w:val="18"/>
          <w:szCs w:val="18"/>
        </w:rPr>
        <w:t xml:space="preserve">De </w:t>
      </w:r>
      <w:r w:rsidR="00094C13">
        <w:rPr>
          <w:rFonts w:ascii="Verdana" w:hAnsi="Verdana" w:eastAsia="Verdana" w:cs="Verdana"/>
          <w:sz w:val="18"/>
          <w:szCs w:val="18"/>
        </w:rPr>
        <w:t>C</w:t>
      </w:r>
      <w:r w:rsidRPr="00155F64" w:rsidR="00094C13">
        <w:rPr>
          <w:rFonts w:ascii="Verdana" w:hAnsi="Verdana" w:eastAsia="Verdana" w:cs="Verdana"/>
          <w:sz w:val="18"/>
          <w:szCs w:val="18"/>
        </w:rPr>
        <w:t>ommissie is voornemens om in 2027 een nieuwe Eurobarom</w:t>
      </w:r>
      <w:r w:rsidR="00094C13">
        <w:rPr>
          <w:rFonts w:ascii="Verdana" w:hAnsi="Verdana" w:eastAsia="Verdana" w:cs="Verdana"/>
          <w:sz w:val="18"/>
          <w:szCs w:val="18"/>
        </w:rPr>
        <w:t xml:space="preserve">eter over discriminatie te publiceren, en zal </w:t>
      </w:r>
      <w:r w:rsidR="003100F6">
        <w:rPr>
          <w:rFonts w:ascii="Verdana" w:hAnsi="Verdana" w:eastAsia="Verdana" w:cs="Verdana"/>
          <w:sz w:val="18"/>
          <w:szCs w:val="18"/>
        </w:rPr>
        <w:t>het Europees bureau voor de Grondrechten (</w:t>
      </w:r>
      <w:r w:rsidR="00AF70CC">
        <w:rPr>
          <w:rFonts w:ascii="Verdana" w:hAnsi="Verdana" w:eastAsia="Verdana" w:cs="Verdana"/>
          <w:sz w:val="18"/>
          <w:szCs w:val="18"/>
        </w:rPr>
        <w:t xml:space="preserve">hierna: </w:t>
      </w:r>
      <w:r w:rsidR="00094C13">
        <w:rPr>
          <w:rFonts w:ascii="Verdana" w:hAnsi="Verdana" w:eastAsia="Verdana" w:cs="Verdana"/>
          <w:sz w:val="18"/>
          <w:szCs w:val="18"/>
        </w:rPr>
        <w:t>FRA</w:t>
      </w:r>
      <w:r w:rsidR="003100F6">
        <w:rPr>
          <w:rFonts w:ascii="Verdana" w:hAnsi="Verdana" w:eastAsia="Verdana" w:cs="Verdana"/>
          <w:sz w:val="18"/>
          <w:szCs w:val="18"/>
        </w:rPr>
        <w:t>)</w:t>
      </w:r>
      <w:r w:rsidR="00094C13">
        <w:rPr>
          <w:rFonts w:ascii="Verdana" w:hAnsi="Verdana" w:eastAsia="Verdana" w:cs="Verdana"/>
          <w:sz w:val="18"/>
          <w:szCs w:val="18"/>
        </w:rPr>
        <w:t xml:space="preserve"> vragen om in 2029 een vervolg te publiceren op de FRA LGBTIQ+ Survey.</w:t>
      </w:r>
    </w:p>
    <w:p w:rsidR="00DD7653" w:rsidP="00FA4979" w:rsidRDefault="00DD7653" w14:paraId="760202FE" w14:textId="77777777">
      <w:pPr>
        <w:tabs>
          <w:tab w:val="left" w:pos="360"/>
          <w:tab w:val="left" w:pos="4500"/>
          <w:tab w:val="left" w:pos="5580"/>
        </w:tabs>
        <w:spacing w:line="360" w:lineRule="auto"/>
        <w:rPr>
          <w:rFonts w:ascii="Verdana" w:hAnsi="Verdana" w:eastAsia="Verdana" w:cs="Verdana"/>
          <w:sz w:val="18"/>
          <w:szCs w:val="18"/>
        </w:rPr>
      </w:pPr>
    </w:p>
    <w:p w:rsidRPr="005077FA" w:rsidR="00DD7653" w:rsidP="00FA4979" w:rsidRDefault="00DD7653" w14:paraId="31A6813E" w14:textId="77777777">
      <w:pPr>
        <w:tabs>
          <w:tab w:val="left" w:pos="360"/>
          <w:tab w:val="left" w:pos="4500"/>
          <w:tab w:val="left" w:pos="5580"/>
        </w:tabs>
        <w:spacing w:line="360" w:lineRule="auto"/>
        <w:rPr>
          <w:rFonts w:ascii="Verdana" w:hAnsi="Verdana" w:eastAsia="Verdana" w:cs="Verdana"/>
          <w:sz w:val="18"/>
          <w:szCs w:val="18"/>
        </w:rPr>
      </w:pPr>
    </w:p>
    <w:p w:rsidRPr="005A1338" w:rsidR="00FA4979" w:rsidP="00FA4979" w:rsidRDefault="00FA4979" w14:paraId="32EF632A" w14:textId="77777777">
      <w:pPr>
        <w:numPr>
          <w:ilvl w:val="0"/>
          <w:numId w:val="2"/>
        </w:numPr>
        <w:tabs>
          <w:tab w:val="left" w:pos="360"/>
        </w:tabs>
        <w:spacing w:after="0" w:line="360" w:lineRule="auto"/>
        <w:rPr>
          <w:rFonts w:ascii="Verdana" w:hAnsi="Verdana"/>
          <w:b/>
          <w:sz w:val="18"/>
          <w:szCs w:val="18"/>
        </w:rPr>
      </w:pPr>
      <w:r w:rsidRPr="005A1338">
        <w:rPr>
          <w:rFonts w:ascii="Verdana" w:hAnsi="Verdana"/>
          <w:b/>
          <w:sz w:val="18"/>
          <w:szCs w:val="18"/>
        </w:rPr>
        <w:lastRenderedPageBreak/>
        <w:t>Nederlandse positie ten aanzien van het voorstel</w:t>
      </w:r>
    </w:p>
    <w:p w:rsidRPr="005A1338" w:rsidR="00FA4979" w:rsidP="00FA4979" w:rsidRDefault="00FA4979" w14:paraId="24BC11D5" w14:textId="77777777">
      <w:pPr>
        <w:numPr>
          <w:ilvl w:val="0"/>
          <w:numId w:val="13"/>
        </w:numPr>
        <w:spacing w:after="0" w:line="360" w:lineRule="auto"/>
        <w:rPr>
          <w:rFonts w:ascii="Verdana" w:hAnsi="Verdana"/>
          <w:i/>
          <w:sz w:val="18"/>
          <w:szCs w:val="18"/>
        </w:rPr>
      </w:pPr>
      <w:r w:rsidRPr="005A1338">
        <w:rPr>
          <w:rFonts w:ascii="Verdana" w:hAnsi="Verdana"/>
          <w:i/>
          <w:sz w:val="18"/>
          <w:szCs w:val="18"/>
        </w:rPr>
        <w:t>Essentie Nederlands beleid op dit terrein</w:t>
      </w:r>
    </w:p>
    <w:p w:rsidRPr="005A1338" w:rsidR="6C654FB2" w:rsidP="005A1338" w:rsidRDefault="6C654FB2" w14:paraId="3440CDA9" w14:textId="407997A0">
      <w:pPr>
        <w:spacing w:line="360" w:lineRule="auto"/>
        <w:rPr>
          <w:rFonts w:ascii="Verdana" w:hAnsi="Verdana"/>
          <w:sz w:val="18"/>
          <w:szCs w:val="18"/>
        </w:rPr>
      </w:pPr>
      <w:r w:rsidRPr="005A1338">
        <w:rPr>
          <w:rFonts w:ascii="Verdana" w:hAnsi="Verdana" w:eastAsia="Verdana" w:cs="Verdana"/>
          <w:sz w:val="18"/>
          <w:szCs w:val="18"/>
        </w:rPr>
        <w:t>In de Emancipatienota 2025: Veilig Meedoen</w:t>
      </w:r>
      <w:r w:rsidR="005A1338">
        <w:rPr>
          <w:rStyle w:val="FootnoteReference"/>
          <w:rFonts w:ascii="Verdana" w:hAnsi="Verdana" w:eastAsia="Verdana" w:cs="Verdana"/>
          <w:sz w:val="18"/>
          <w:szCs w:val="18"/>
        </w:rPr>
        <w:footnoteReference w:id="3"/>
      </w:r>
      <w:r w:rsidRPr="005A1338">
        <w:rPr>
          <w:rFonts w:ascii="Verdana" w:hAnsi="Verdana" w:eastAsia="Verdana" w:cs="Verdana"/>
          <w:sz w:val="18"/>
          <w:szCs w:val="18"/>
        </w:rPr>
        <w:t xml:space="preserve"> schetst het kabinet de inspanningen om de rechten en emancipatie van vrouwen en lhbtiq+ personen</w:t>
      </w:r>
      <w:r w:rsidRPr="005A1338" w:rsidR="006D1A73">
        <w:rPr>
          <w:rFonts w:ascii="Verdana" w:hAnsi="Verdana" w:eastAsia="Verdana" w:cs="Verdana"/>
          <w:sz w:val="18"/>
          <w:szCs w:val="18"/>
        </w:rPr>
        <w:t xml:space="preserve"> </w:t>
      </w:r>
      <w:r w:rsidRPr="005A1338">
        <w:rPr>
          <w:rFonts w:ascii="Verdana" w:hAnsi="Verdana" w:eastAsia="Verdana" w:cs="Verdana"/>
          <w:sz w:val="18"/>
          <w:szCs w:val="18"/>
        </w:rPr>
        <w:t xml:space="preserve">te bevorderen, met als </w:t>
      </w:r>
      <w:r w:rsidR="00E51234">
        <w:rPr>
          <w:rFonts w:ascii="Verdana" w:hAnsi="Verdana" w:eastAsia="Verdana" w:cs="Verdana"/>
          <w:sz w:val="18"/>
          <w:szCs w:val="18"/>
        </w:rPr>
        <w:t xml:space="preserve">twee </w:t>
      </w:r>
      <w:r w:rsidRPr="005A1338">
        <w:rPr>
          <w:rFonts w:ascii="Verdana" w:hAnsi="Verdana" w:eastAsia="Verdana" w:cs="Verdana"/>
          <w:sz w:val="18"/>
          <w:szCs w:val="18"/>
        </w:rPr>
        <w:t xml:space="preserve">prioriteiten: </w:t>
      </w:r>
      <w:r w:rsidRPr="005077FA">
        <w:rPr>
          <w:rFonts w:ascii="Verdana" w:hAnsi="Verdana" w:eastAsia="Verdana" w:cs="Verdana"/>
          <w:sz w:val="18"/>
          <w:szCs w:val="18"/>
        </w:rPr>
        <w:t>iedereen moet veilig zijn</w:t>
      </w:r>
      <w:r w:rsidRPr="004C25E7">
        <w:rPr>
          <w:rFonts w:ascii="Verdana" w:hAnsi="Verdana" w:eastAsia="Verdana" w:cs="Verdana"/>
          <w:sz w:val="18"/>
          <w:szCs w:val="18"/>
        </w:rPr>
        <w:t xml:space="preserve">, </w:t>
      </w:r>
      <w:r w:rsidRPr="005077FA">
        <w:rPr>
          <w:rFonts w:ascii="Verdana" w:hAnsi="Verdana" w:eastAsia="Verdana" w:cs="Verdana"/>
          <w:sz w:val="18"/>
          <w:szCs w:val="18"/>
        </w:rPr>
        <w:t>en iedereen moet volwaardig kunnen meedoen</w:t>
      </w:r>
      <w:r w:rsidRPr="005A1338">
        <w:rPr>
          <w:rFonts w:ascii="Verdana" w:hAnsi="Verdana" w:eastAsia="Verdana" w:cs="Verdana"/>
          <w:sz w:val="18"/>
          <w:szCs w:val="18"/>
        </w:rPr>
        <w:t>.</w:t>
      </w:r>
    </w:p>
    <w:p w:rsidRPr="005A1338" w:rsidR="6C654FB2" w:rsidP="005A1338" w:rsidRDefault="6C654FB2" w14:paraId="1E1D1CE6" w14:textId="7CF39E98">
      <w:pPr>
        <w:spacing w:line="360" w:lineRule="auto"/>
        <w:rPr>
          <w:rFonts w:ascii="Verdana" w:hAnsi="Verdana"/>
          <w:sz w:val="18"/>
          <w:szCs w:val="18"/>
        </w:rPr>
      </w:pPr>
      <w:r w:rsidRPr="005A1338">
        <w:rPr>
          <w:rFonts w:ascii="Verdana" w:hAnsi="Verdana" w:eastAsia="Verdana" w:cs="Verdana"/>
          <w:sz w:val="18"/>
          <w:szCs w:val="18"/>
        </w:rPr>
        <w:t xml:space="preserve">De Emancipatienota benadrukt dat iedereen in Nederland recht heeft op een leven zonder geweld en discriminatie, maar dat vooral vrouwen, meisjes en lhbtiq+ personen nog steeds te maken hebben met onveiligheid en geweld, zowel in de openbare ruimte als online. De overheid ziet het als haar taak om gelijkheid te stimuleren, zoals verankerd in de Grondwet, Europese verdragen en internationale mensenrechtenverdragen. De staatssecretaris van Onderwijs, Cultuur en Wetenschap coördineert het emancipatiebeleid namens het kabinet en ondersteunt andere departementen bij het integreren van gendergelijkheid en </w:t>
      </w:r>
      <w:proofErr w:type="spellStart"/>
      <w:r w:rsidRPr="005A1338">
        <w:rPr>
          <w:rFonts w:ascii="Verdana" w:hAnsi="Verdana" w:eastAsia="Verdana" w:cs="Verdana"/>
          <w:sz w:val="18"/>
          <w:szCs w:val="18"/>
        </w:rPr>
        <w:t>lhbtiq</w:t>
      </w:r>
      <w:proofErr w:type="spellEnd"/>
      <w:r w:rsidRPr="005A1338">
        <w:rPr>
          <w:rFonts w:ascii="Verdana" w:hAnsi="Verdana" w:eastAsia="Verdana" w:cs="Verdana"/>
          <w:sz w:val="18"/>
          <w:szCs w:val="18"/>
        </w:rPr>
        <w:t xml:space="preserve">+-gelijkheid in hun beleid. Om de voortgang en maatschappelijke acceptatie te meten, worden in 2026 en 2028 nieuwe edities van de Emancipatiemonitor en </w:t>
      </w:r>
      <w:proofErr w:type="spellStart"/>
      <w:r w:rsidRPr="005A1338">
        <w:rPr>
          <w:rFonts w:ascii="Verdana" w:hAnsi="Verdana" w:eastAsia="Verdana" w:cs="Verdana"/>
          <w:sz w:val="18"/>
          <w:szCs w:val="18"/>
        </w:rPr>
        <w:t>Lhbtiqa</w:t>
      </w:r>
      <w:proofErr w:type="spellEnd"/>
      <w:r w:rsidRPr="005A1338">
        <w:rPr>
          <w:rFonts w:ascii="Verdana" w:hAnsi="Verdana" w:eastAsia="Verdana" w:cs="Verdana"/>
          <w:sz w:val="18"/>
          <w:szCs w:val="18"/>
        </w:rPr>
        <w:t>+-monitor gepubliceerd</w:t>
      </w:r>
      <w:r w:rsidR="004C25E7">
        <w:rPr>
          <w:rFonts w:ascii="Verdana" w:hAnsi="Verdana" w:eastAsia="Verdana" w:cs="Verdana"/>
          <w:sz w:val="18"/>
          <w:szCs w:val="18"/>
        </w:rPr>
        <w:t>.</w:t>
      </w:r>
      <w:r w:rsidR="005A1338">
        <w:rPr>
          <w:rStyle w:val="FootnoteReference"/>
          <w:rFonts w:ascii="Verdana" w:hAnsi="Verdana" w:eastAsia="Verdana" w:cs="Verdana"/>
          <w:sz w:val="18"/>
          <w:szCs w:val="18"/>
        </w:rPr>
        <w:footnoteReference w:id="4"/>
      </w:r>
      <w:r w:rsidRPr="005A1338">
        <w:rPr>
          <w:rFonts w:ascii="Verdana" w:hAnsi="Verdana" w:eastAsia="Verdana" w:cs="Verdana"/>
          <w:sz w:val="18"/>
          <w:szCs w:val="18"/>
        </w:rPr>
        <w:t xml:space="preserve"> Er wordt intensief samengewerkt met het maatschappelijke middenveld, onder meer door het meerjarig financieel ondersteunen van acht strategische allianties van maatschappelijke organisaties die zich inzetten voor emancipatie van vrouwen en lhbtiq+ personen.</w:t>
      </w:r>
    </w:p>
    <w:p w:rsidRPr="005A1338" w:rsidR="6C654FB2" w:rsidP="005A1338" w:rsidRDefault="6C654FB2" w14:paraId="634509C1" w14:textId="362BB53D">
      <w:pPr>
        <w:spacing w:line="360" w:lineRule="auto"/>
        <w:rPr>
          <w:rFonts w:ascii="Verdana" w:hAnsi="Verdana"/>
          <w:sz w:val="18"/>
          <w:szCs w:val="18"/>
        </w:rPr>
      </w:pPr>
      <w:r w:rsidRPr="005A1338">
        <w:rPr>
          <w:rFonts w:ascii="Verdana" w:hAnsi="Verdana" w:eastAsia="Verdana" w:cs="Verdana"/>
          <w:sz w:val="18"/>
          <w:szCs w:val="18"/>
        </w:rPr>
        <w:t xml:space="preserve">Een belangrijke focus ligt op de veiligheid van lhbtiq+ personen, die volgens de </w:t>
      </w:r>
      <w:proofErr w:type="spellStart"/>
      <w:r w:rsidRPr="005A1338">
        <w:rPr>
          <w:rFonts w:ascii="Verdana" w:hAnsi="Verdana" w:eastAsia="Verdana" w:cs="Verdana"/>
          <w:sz w:val="18"/>
          <w:szCs w:val="18"/>
        </w:rPr>
        <w:t>Lhbtiqa</w:t>
      </w:r>
      <w:proofErr w:type="spellEnd"/>
      <w:r w:rsidRPr="005A1338">
        <w:rPr>
          <w:rFonts w:ascii="Verdana" w:hAnsi="Verdana" w:eastAsia="Verdana" w:cs="Verdana"/>
          <w:sz w:val="18"/>
          <w:szCs w:val="18"/>
        </w:rPr>
        <w:t xml:space="preserve">+-monitor 2024 vaker slachtoffer zijn van geweld, discriminatie en pesten. Het aantal meldingen van discriminatie op grond van seksuele gerichtheid steeg in 2024 met 141% ten opzichte van 2023. Het kabinet werkt aan een vervolg op het Actieplan Veiligheid </w:t>
      </w:r>
      <w:proofErr w:type="spellStart"/>
      <w:r w:rsidRPr="005A1338">
        <w:rPr>
          <w:rFonts w:ascii="Verdana" w:hAnsi="Verdana" w:eastAsia="Verdana" w:cs="Verdana"/>
          <w:sz w:val="18"/>
          <w:szCs w:val="18"/>
        </w:rPr>
        <w:t>lhbti</w:t>
      </w:r>
      <w:proofErr w:type="spellEnd"/>
      <w:r w:rsidRPr="005A1338">
        <w:rPr>
          <w:rFonts w:ascii="Verdana" w:hAnsi="Verdana" w:eastAsia="Verdana" w:cs="Verdana"/>
          <w:sz w:val="18"/>
          <w:szCs w:val="18"/>
        </w:rPr>
        <w:t xml:space="preserve"> 2019-2022, in samenwerking met maatschappelijke organisaties, de politie en lokale overheden. Voorts wordt het Expertisecentrum Aanpak Discriminatie Politie (ECAD-P) bestendigd en uitgebreid, en wordt het netwerk Roze in Blauw versterkt om de meldingsbereidheid van slachtoffers te vergroten. Daarnaast ondersteunt het Programma Regenboogsteden 56 gemeenten bij het creëren van een veilige en inclusieve omgeving, onder meer door trainingen voor politie en horeca. De alliantie Kleurrijk en Vrij zet zich in voor veiligheid op scholen, werkvloeren en in de publieke ruimte, bijvoorbeeld door het organiseren van Paarse Vrijdag en het bevorderen van transitieverlof bij werkgevers.</w:t>
      </w:r>
    </w:p>
    <w:p w:rsidR="00DD7653" w:rsidP="00B371DD" w:rsidRDefault="6C654FB2" w14:paraId="7F5474F8" w14:textId="77777777">
      <w:pPr>
        <w:spacing w:line="360" w:lineRule="auto"/>
        <w:rPr>
          <w:rFonts w:ascii="Verdana" w:hAnsi="Verdana"/>
          <w:sz w:val="18"/>
          <w:szCs w:val="18"/>
        </w:rPr>
      </w:pPr>
      <w:r w:rsidRPr="005A1338">
        <w:rPr>
          <w:rFonts w:ascii="Verdana" w:hAnsi="Verdana" w:eastAsia="Verdana" w:cs="Verdana"/>
          <w:sz w:val="18"/>
          <w:szCs w:val="18"/>
        </w:rPr>
        <w:t xml:space="preserve">In het onderwijs worden maatregelen genomen om een veilig en vrij leerklimaat te bevorderen. Het wetsvoorstel Vrij en Veilig onderwijs verplicht scholen in het funderend onderwijs bijvoorbeeld tot het aanstellen van vertrouwenspersonen en een meldplicht voor ernstige incidenten. Het wetsvoorstel zorgplicht in het middelbaar beroepsonderwijs en hoger onderwijs verplicht onderwijsinstellingen te zorgen voor een veilig leerklimaat. Specifieke aandacht gaat uit naar het ondersteunen van lhbtiq+ leerlingen, onder meer via </w:t>
      </w:r>
      <w:r w:rsidRPr="00947D71">
        <w:rPr>
          <w:rFonts w:ascii="Verdana" w:hAnsi="Verdana" w:eastAsia="Verdana" w:cs="Verdana"/>
          <w:i/>
          <w:iCs/>
          <w:sz w:val="18"/>
          <w:szCs w:val="18"/>
        </w:rPr>
        <w:t xml:space="preserve">Gender and </w:t>
      </w:r>
      <w:proofErr w:type="spellStart"/>
      <w:r w:rsidRPr="00947D71">
        <w:rPr>
          <w:rFonts w:ascii="Verdana" w:hAnsi="Verdana" w:eastAsia="Verdana" w:cs="Verdana"/>
          <w:i/>
          <w:iCs/>
          <w:sz w:val="18"/>
          <w:szCs w:val="18"/>
        </w:rPr>
        <w:t>Sexuality</w:t>
      </w:r>
      <w:proofErr w:type="spellEnd"/>
      <w:r w:rsidRPr="00947D71">
        <w:rPr>
          <w:rFonts w:ascii="Verdana" w:hAnsi="Verdana" w:eastAsia="Verdana" w:cs="Verdana"/>
          <w:i/>
          <w:iCs/>
          <w:sz w:val="18"/>
          <w:szCs w:val="18"/>
        </w:rPr>
        <w:t xml:space="preserve"> </w:t>
      </w:r>
      <w:proofErr w:type="spellStart"/>
      <w:r w:rsidRPr="00947D71">
        <w:rPr>
          <w:rFonts w:ascii="Verdana" w:hAnsi="Verdana" w:eastAsia="Verdana" w:cs="Verdana"/>
          <w:i/>
          <w:iCs/>
          <w:sz w:val="18"/>
          <w:szCs w:val="18"/>
        </w:rPr>
        <w:t>Alliances</w:t>
      </w:r>
      <w:proofErr w:type="spellEnd"/>
      <w:r w:rsidRPr="005A1338">
        <w:rPr>
          <w:rFonts w:ascii="Verdana" w:hAnsi="Verdana" w:eastAsia="Verdana" w:cs="Verdana"/>
          <w:sz w:val="18"/>
          <w:szCs w:val="18"/>
        </w:rPr>
        <w:t xml:space="preserve"> (GSA).</w:t>
      </w:r>
      <w:r w:rsidR="007377CF">
        <w:rPr>
          <w:rFonts w:ascii="Verdana" w:hAnsi="Verdana" w:eastAsia="Verdana" w:cs="Verdana"/>
          <w:sz w:val="18"/>
          <w:szCs w:val="18"/>
        </w:rPr>
        <w:t xml:space="preserve"> </w:t>
      </w:r>
      <w:r w:rsidRPr="005A1338">
        <w:rPr>
          <w:rFonts w:ascii="Verdana" w:hAnsi="Verdana" w:eastAsia="Verdana" w:cs="Verdana"/>
          <w:sz w:val="18"/>
          <w:szCs w:val="18"/>
        </w:rPr>
        <w:t>Daarnaast wordt gewerkt aan de actualisatie van kerndoelen voor burgerschap</w:t>
      </w:r>
      <w:r w:rsidRPr="00B95611" w:rsidR="00B95611">
        <w:rPr>
          <w:rFonts w:ascii="Verdana" w:hAnsi="Verdana"/>
          <w:sz w:val="18"/>
          <w:szCs w:val="18"/>
        </w:rPr>
        <w:t>, digitale geletterdheid en relationele en seksuele vorming</w:t>
      </w:r>
      <w:r w:rsidR="00B95611">
        <w:rPr>
          <w:rFonts w:ascii="Verdana" w:hAnsi="Verdana"/>
          <w:sz w:val="18"/>
          <w:szCs w:val="18"/>
        </w:rPr>
        <w:t xml:space="preserve">. </w:t>
      </w:r>
    </w:p>
    <w:p w:rsidRPr="00B95611" w:rsidR="00B95611" w:rsidP="00B371DD" w:rsidRDefault="00B95611" w14:paraId="7C54B7CF" w14:textId="022FD03D">
      <w:pPr>
        <w:spacing w:line="360" w:lineRule="auto"/>
        <w:rPr>
          <w:rFonts w:ascii="Verdana" w:hAnsi="Verdana"/>
          <w:sz w:val="18"/>
          <w:szCs w:val="18"/>
        </w:rPr>
      </w:pPr>
      <w:r w:rsidRPr="00B95611">
        <w:rPr>
          <w:rFonts w:ascii="Verdana" w:hAnsi="Verdana"/>
          <w:sz w:val="18"/>
          <w:szCs w:val="18"/>
        </w:rPr>
        <w:lastRenderedPageBreak/>
        <w:t>Deze kerndoelen brengen leerlingen onder andere bij hoe je respectvol met elkaar en met verschillen in bijvoorbeeld gender- en seksuele diversiteit omgaat, offline en online</w:t>
      </w:r>
      <w:r w:rsidR="00B371DD">
        <w:rPr>
          <w:rFonts w:ascii="Verdana" w:hAnsi="Verdana"/>
          <w:sz w:val="18"/>
          <w:szCs w:val="18"/>
        </w:rPr>
        <w:t>.</w:t>
      </w:r>
      <w:r w:rsidRPr="00B95611">
        <w:rPr>
          <w:rFonts w:ascii="Verdana" w:hAnsi="Verdana"/>
          <w:sz w:val="18"/>
          <w:szCs w:val="18"/>
        </w:rPr>
        <w:t xml:space="preserve"> </w:t>
      </w:r>
    </w:p>
    <w:p w:rsidRPr="005A1338" w:rsidR="6C654FB2" w:rsidP="005A1338" w:rsidRDefault="6C654FB2" w14:paraId="7744C000" w14:textId="7E0783DB">
      <w:pPr>
        <w:spacing w:line="360" w:lineRule="auto"/>
        <w:rPr>
          <w:rFonts w:ascii="Verdana" w:hAnsi="Verdana"/>
          <w:sz w:val="18"/>
          <w:szCs w:val="18"/>
        </w:rPr>
      </w:pPr>
      <w:r w:rsidRPr="005A1338">
        <w:rPr>
          <w:rFonts w:ascii="Verdana" w:hAnsi="Verdana" w:eastAsia="Verdana" w:cs="Verdana"/>
          <w:sz w:val="18"/>
          <w:szCs w:val="18"/>
        </w:rPr>
        <w:t>Ook richt het kabinet zich op gelijk</w:t>
      </w:r>
      <w:r w:rsidR="00B371DD">
        <w:rPr>
          <w:rFonts w:ascii="Verdana" w:hAnsi="Verdana" w:eastAsia="Verdana" w:cs="Verdana"/>
          <w:sz w:val="18"/>
          <w:szCs w:val="18"/>
        </w:rPr>
        <w:t>e</w:t>
      </w:r>
      <w:r w:rsidRPr="005A1338">
        <w:rPr>
          <w:rFonts w:ascii="Verdana" w:hAnsi="Verdana" w:eastAsia="Verdana" w:cs="Verdana"/>
          <w:sz w:val="18"/>
          <w:szCs w:val="18"/>
        </w:rPr>
        <w:t xml:space="preserve"> kansen in de samenleving, zoals het doorbreken van genderstereotypen in school- en beroepskeuzes. Projecten als Techkwadraat en Sterk Techniekonderwijs moedigen meisjes aan om voor technische opleidingen te kiezen, terwijl de alliantie Worden Wie je Bent docenten traint om stereotypering tegen te gaan. In de zorg wordt gewerkt aan een nationale strategie vrouwengezondheid en aan betere toegankelijkheid van transgenderzorg.</w:t>
      </w:r>
    </w:p>
    <w:p w:rsidRPr="005A1338" w:rsidR="6C654FB2" w:rsidP="005A1338" w:rsidRDefault="6C654FB2" w14:paraId="313AE09E" w14:textId="471F5A7A">
      <w:pPr>
        <w:spacing w:line="360" w:lineRule="auto"/>
        <w:rPr>
          <w:rFonts w:ascii="Verdana" w:hAnsi="Verdana"/>
          <w:sz w:val="18"/>
          <w:szCs w:val="18"/>
        </w:rPr>
      </w:pPr>
      <w:r w:rsidRPr="005A1338">
        <w:rPr>
          <w:rFonts w:ascii="Verdana" w:hAnsi="Verdana" w:eastAsia="Verdana" w:cs="Verdana"/>
          <w:sz w:val="18"/>
          <w:szCs w:val="18"/>
        </w:rPr>
        <w:t xml:space="preserve">Europees en internationaal zet Nederland zich in voor ambitieuze Europese en VN-strategieën die de rechten van vrouwen en lhbtiq+ personen beschermen, met name in landen waar deze rechten onder druk staan. Nederland zet zich via bilaterale en multilaterale kanalen wereldwijd in om strafbaarstelling van homoseksualiteit af te schaffen, discriminatie en geweld tegen te gaan en sociale acceptatie te bevorderen. Daartoe ondersteunt Nederland in Europa en daarbuiten ook initiatieven van maatschappelijke organisaties, waaronder Europese </w:t>
      </w:r>
      <w:proofErr w:type="spellStart"/>
      <w:r w:rsidRPr="005A1338">
        <w:rPr>
          <w:rFonts w:ascii="Verdana" w:hAnsi="Verdana" w:eastAsia="Verdana" w:cs="Verdana"/>
          <w:sz w:val="18"/>
          <w:szCs w:val="18"/>
        </w:rPr>
        <w:t>lhbtiq</w:t>
      </w:r>
      <w:proofErr w:type="spellEnd"/>
      <w:r w:rsidRPr="005A1338">
        <w:rPr>
          <w:rFonts w:ascii="Verdana" w:hAnsi="Verdana" w:eastAsia="Verdana" w:cs="Verdana"/>
          <w:sz w:val="18"/>
          <w:szCs w:val="18"/>
        </w:rPr>
        <w:t>+</w:t>
      </w:r>
      <w:r w:rsidR="000E7CDB">
        <w:rPr>
          <w:rFonts w:ascii="Verdana" w:hAnsi="Verdana" w:eastAsia="Verdana" w:cs="Verdana"/>
          <w:sz w:val="18"/>
          <w:szCs w:val="18"/>
        </w:rPr>
        <w:t>-</w:t>
      </w:r>
      <w:r w:rsidRPr="005A1338">
        <w:rPr>
          <w:rFonts w:ascii="Verdana" w:hAnsi="Verdana" w:eastAsia="Verdana" w:cs="Verdana"/>
          <w:sz w:val="18"/>
          <w:szCs w:val="18"/>
        </w:rPr>
        <w:t>netwerkorganisaties.</w:t>
      </w:r>
    </w:p>
    <w:p w:rsidR="6C654FB2" w:rsidP="005A1338" w:rsidRDefault="6C654FB2" w14:paraId="44637732" w14:textId="6733130B">
      <w:pPr>
        <w:spacing w:line="360" w:lineRule="auto"/>
        <w:rPr>
          <w:rFonts w:ascii="Verdana" w:hAnsi="Verdana" w:eastAsia="Verdana" w:cs="Verdana"/>
          <w:sz w:val="18"/>
          <w:szCs w:val="18"/>
        </w:rPr>
      </w:pPr>
      <w:r w:rsidRPr="005A1338">
        <w:rPr>
          <w:rFonts w:ascii="Verdana" w:hAnsi="Verdana" w:eastAsia="Verdana" w:cs="Verdana"/>
          <w:sz w:val="18"/>
          <w:szCs w:val="18"/>
        </w:rPr>
        <w:t xml:space="preserve">Vanuit het Parlement wordt met brede steun ingezet op een initiatiefwetvoorstel om conversietherapie tegen te gaan door een wettelijk verbod op pogingen om de seksuele oriëntatie of genderidentiteit van mensen te veranderen. In september 2025 stemde de Tweede Kamer in met een wetsvoorstel van die strekking. </w:t>
      </w:r>
    </w:p>
    <w:p w:rsidRPr="005A1338" w:rsidR="00E51234" w:rsidP="005A1338" w:rsidRDefault="00E51234" w14:paraId="1A60E4C5" w14:textId="0CC712BA">
      <w:pPr>
        <w:spacing w:line="360" w:lineRule="auto"/>
        <w:rPr>
          <w:rFonts w:ascii="Verdana" w:hAnsi="Verdana"/>
          <w:sz w:val="18"/>
          <w:szCs w:val="18"/>
        </w:rPr>
      </w:pPr>
      <w:r w:rsidRPr="005A1338">
        <w:rPr>
          <w:rFonts w:ascii="Verdana" w:hAnsi="Verdana" w:eastAsia="Verdana" w:cs="Verdana"/>
          <w:sz w:val="18"/>
          <w:szCs w:val="18"/>
        </w:rPr>
        <w:t xml:space="preserve">Nederland heeft zich, samen met een aantal andere lidstaten, jarenlang hard gemaakt voor gericht Europees beleid op </w:t>
      </w:r>
      <w:r>
        <w:rPr>
          <w:rFonts w:ascii="Verdana" w:hAnsi="Verdana" w:eastAsia="Verdana" w:cs="Verdana"/>
          <w:sz w:val="18"/>
          <w:szCs w:val="18"/>
        </w:rPr>
        <w:t xml:space="preserve">het gebied van </w:t>
      </w:r>
      <w:r w:rsidRPr="005A1338">
        <w:rPr>
          <w:rFonts w:ascii="Verdana" w:hAnsi="Verdana" w:eastAsia="Verdana" w:cs="Verdana"/>
          <w:sz w:val="18"/>
          <w:szCs w:val="18"/>
        </w:rPr>
        <w:t xml:space="preserve">gelijke rechten voor lhbtiq+ personen en </w:t>
      </w:r>
      <w:r>
        <w:rPr>
          <w:rFonts w:ascii="Verdana" w:hAnsi="Verdana" w:eastAsia="Verdana" w:cs="Verdana"/>
          <w:sz w:val="18"/>
          <w:szCs w:val="18"/>
        </w:rPr>
        <w:t xml:space="preserve">een </w:t>
      </w:r>
      <w:r w:rsidRPr="005A1338">
        <w:rPr>
          <w:rFonts w:ascii="Verdana" w:hAnsi="Verdana" w:eastAsia="Verdana" w:cs="Verdana"/>
          <w:sz w:val="18"/>
          <w:szCs w:val="18"/>
        </w:rPr>
        <w:t>ambitieuze invulling van de rol van Commissaris voor Gelijkheid en van de eerste Lhbtiq+ strategie van de Commissie voor de periode</w:t>
      </w:r>
      <w:r>
        <w:rPr>
          <w:rFonts w:ascii="Verdana" w:hAnsi="Verdana" w:eastAsia="Verdana" w:cs="Verdana"/>
          <w:sz w:val="18"/>
          <w:szCs w:val="18"/>
        </w:rPr>
        <w:t xml:space="preserve"> </w:t>
      </w:r>
      <w:r w:rsidRPr="005A1338">
        <w:rPr>
          <w:rFonts w:ascii="Verdana" w:hAnsi="Verdana" w:eastAsia="Verdana" w:cs="Verdana"/>
          <w:sz w:val="18"/>
          <w:szCs w:val="18"/>
        </w:rPr>
        <w:t>2020-2025.</w:t>
      </w:r>
      <w:r>
        <w:rPr>
          <w:rStyle w:val="FootnoteReference"/>
          <w:rFonts w:ascii="Verdana" w:hAnsi="Verdana" w:eastAsia="Verdana" w:cs="Verdana"/>
          <w:sz w:val="18"/>
          <w:szCs w:val="18"/>
        </w:rPr>
        <w:footnoteReference w:id="5"/>
      </w:r>
      <w:r w:rsidRPr="005A1338">
        <w:rPr>
          <w:rFonts w:ascii="Verdana" w:hAnsi="Verdana" w:eastAsia="Verdana" w:cs="Verdana"/>
          <w:sz w:val="18"/>
          <w:szCs w:val="18"/>
        </w:rPr>
        <w:t xml:space="preserve"> </w:t>
      </w:r>
      <w:r>
        <w:rPr>
          <w:rFonts w:ascii="Verdana" w:hAnsi="Verdana" w:eastAsia="Verdana" w:cs="Verdana"/>
          <w:sz w:val="18"/>
          <w:szCs w:val="18"/>
        </w:rPr>
        <w:t>T</w:t>
      </w:r>
      <w:r w:rsidRPr="005A1338">
        <w:rPr>
          <w:rFonts w:ascii="Verdana" w:hAnsi="Verdana" w:eastAsia="Verdana" w:cs="Verdana"/>
          <w:sz w:val="18"/>
          <w:szCs w:val="18"/>
        </w:rPr>
        <w:t>ijdens het EU-</w:t>
      </w:r>
      <w:r>
        <w:rPr>
          <w:rFonts w:ascii="Verdana" w:hAnsi="Verdana" w:eastAsia="Verdana" w:cs="Verdana"/>
          <w:sz w:val="18"/>
          <w:szCs w:val="18"/>
        </w:rPr>
        <w:t>v</w:t>
      </w:r>
      <w:r w:rsidRPr="005A1338">
        <w:rPr>
          <w:rFonts w:ascii="Verdana" w:hAnsi="Verdana" w:eastAsia="Verdana" w:cs="Verdana"/>
          <w:sz w:val="18"/>
          <w:szCs w:val="18"/>
        </w:rPr>
        <w:t xml:space="preserve">oorzitterschap in 2016 heeft Nederland initiatief genomen tot de eerste Raadsconclusies over de gelijkheid van lhbtiq+ personen, een ambitie die daarna door andere voorzitterschappen is </w:t>
      </w:r>
      <w:r>
        <w:rPr>
          <w:rFonts w:ascii="Verdana" w:hAnsi="Verdana" w:eastAsia="Verdana" w:cs="Verdana"/>
          <w:sz w:val="18"/>
          <w:szCs w:val="18"/>
        </w:rPr>
        <w:t>op</w:t>
      </w:r>
      <w:r w:rsidRPr="005A1338">
        <w:rPr>
          <w:rFonts w:ascii="Verdana" w:hAnsi="Verdana" w:eastAsia="Verdana" w:cs="Verdana"/>
          <w:sz w:val="18"/>
          <w:szCs w:val="18"/>
        </w:rPr>
        <w:t xml:space="preserve">gevolgd. </w:t>
      </w:r>
    </w:p>
    <w:p w:rsidRPr="005A1338" w:rsidR="00FA4979" w:rsidP="00FA4979" w:rsidRDefault="00FA4979" w14:paraId="5E04EE78" w14:textId="77777777">
      <w:pPr>
        <w:numPr>
          <w:ilvl w:val="0"/>
          <w:numId w:val="13"/>
        </w:numPr>
        <w:spacing w:after="0" w:line="360" w:lineRule="auto"/>
        <w:rPr>
          <w:rFonts w:ascii="Verdana" w:hAnsi="Verdana"/>
          <w:i/>
          <w:sz w:val="18"/>
          <w:szCs w:val="18"/>
        </w:rPr>
      </w:pPr>
      <w:r w:rsidRPr="005A1338">
        <w:rPr>
          <w:rFonts w:ascii="Verdana" w:hAnsi="Verdana"/>
          <w:i/>
          <w:sz w:val="18"/>
          <w:szCs w:val="18"/>
        </w:rPr>
        <w:t>Beoordeling + inzet ten aanzien van dit voorstel</w:t>
      </w:r>
    </w:p>
    <w:p w:rsidRPr="005A1338" w:rsidR="6C654FB2" w:rsidP="005A1338" w:rsidRDefault="00C62A65" w14:paraId="71D298BC" w14:textId="183DB11A">
      <w:pPr>
        <w:spacing w:line="360" w:lineRule="auto"/>
        <w:rPr>
          <w:rFonts w:ascii="Verdana" w:hAnsi="Verdana"/>
          <w:sz w:val="18"/>
          <w:szCs w:val="18"/>
        </w:rPr>
      </w:pPr>
      <w:r>
        <w:rPr>
          <w:rFonts w:ascii="Verdana" w:hAnsi="Verdana" w:eastAsia="Verdana" w:cs="Verdana"/>
          <w:sz w:val="18"/>
          <w:szCs w:val="18"/>
        </w:rPr>
        <w:t>Het kabinet</w:t>
      </w:r>
      <w:r w:rsidRPr="005A1338">
        <w:rPr>
          <w:rFonts w:ascii="Verdana" w:hAnsi="Verdana" w:eastAsia="Verdana" w:cs="Verdana"/>
          <w:sz w:val="18"/>
          <w:szCs w:val="18"/>
        </w:rPr>
        <w:t xml:space="preserve"> </w:t>
      </w:r>
      <w:r w:rsidRPr="005A1338" w:rsidR="6C654FB2">
        <w:rPr>
          <w:rFonts w:ascii="Verdana" w:hAnsi="Verdana" w:eastAsia="Verdana" w:cs="Verdana"/>
          <w:sz w:val="18"/>
          <w:szCs w:val="18"/>
        </w:rPr>
        <w:t>verwelkomt de tweede strategie van de Commissie voor de positie van en gelijke rechten voor lhbtiq+ personen. De aangekondigde strategie komt op een moment dat de gelijke behandeling van lhbtiq+ personen, en andere gemarginaliseerde groepen, in delen van de Unie verder onder druk is komen te staan. Tevens staan grondrechten en de democratische functie van maatschappelijke organisaties en vrije media op meerdere plaatsen onder druk. Deze ontwikkelingen beperken de mate waarin lhbtiq+ personen volwaardig maatschappelijk kunnen participeren en hun Europese fundamentele rechten als ieder ander kunnen genieten.</w:t>
      </w:r>
    </w:p>
    <w:p w:rsidRPr="005A1338" w:rsidR="6C654FB2" w:rsidP="005A1338" w:rsidRDefault="6C654FB2" w14:paraId="487A6AFC" w14:textId="292A3B51">
      <w:pPr>
        <w:spacing w:line="360" w:lineRule="auto"/>
        <w:rPr>
          <w:rFonts w:ascii="Verdana" w:hAnsi="Verdana"/>
          <w:sz w:val="18"/>
          <w:szCs w:val="18"/>
        </w:rPr>
      </w:pPr>
      <w:r w:rsidRPr="005A1338">
        <w:rPr>
          <w:rFonts w:ascii="Verdana" w:hAnsi="Verdana" w:eastAsia="Verdana" w:cs="Verdana"/>
          <w:sz w:val="18"/>
          <w:szCs w:val="18"/>
        </w:rPr>
        <w:t xml:space="preserve">Gegeven die omstandigheden is het kabinet positief over het feit dat de Commissie met deze strategie opvolging geeft aan haar eerdere inzet, maar constateert tegelijk dat het ambitieniveau begrensd is door dezelfde (geo-)politieke realiteit. Het kabinet steunt de Commissie als Hoeder van de Verdragen en staat pal achter het behoud van de fundamentele waarden waarop de Unie is gefundeerd, zoals vastgelegd in de Verdragen en het Handvest van de grondrechten van de EU, </w:t>
      </w:r>
      <w:r w:rsidRPr="005A1338">
        <w:rPr>
          <w:rFonts w:ascii="Verdana" w:hAnsi="Verdana" w:eastAsia="Verdana" w:cs="Verdana"/>
          <w:sz w:val="18"/>
          <w:szCs w:val="18"/>
        </w:rPr>
        <w:lastRenderedPageBreak/>
        <w:t>zoals respect voor de menselijke waardigheid, gelijkheid en eerbiediging van de mensenrechten, waaronder de rechten van personen die tot minderheden behoren. Het baart het kabinet zorgen dat sommige lidstaten die kernwaarden niet toepassen of actief beperken en</w:t>
      </w:r>
      <w:r w:rsidR="002F1ECF">
        <w:rPr>
          <w:rFonts w:ascii="Verdana" w:hAnsi="Verdana" w:eastAsia="Verdana" w:cs="Verdana"/>
          <w:sz w:val="18"/>
          <w:szCs w:val="18"/>
        </w:rPr>
        <w:t xml:space="preserve"> het kabinet</w:t>
      </w:r>
      <w:r w:rsidRPr="005A1338">
        <w:rPr>
          <w:rFonts w:ascii="Verdana" w:hAnsi="Verdana" w:eastAsia="Verdana" w:cs="Verdana"/>
          <w:sz w:val="18"/>
          <w:szCs w:val="18"/>
        </w:rPr>
        <w:t xml:space="preserve"> roept de Commissie </w:t>
      </w:r>
      <w:r w:rsidR="00CD2C56">
        <w:rPr>
          <w:rFonts w:ascii="Verdana" w:hAnsi="Verdana" w:eastAsia="Verdana" w:cs="Verdana"/>
          <w:sz w:val="18"/>
          <w:szCs w:val="18"/>
        </w:rPr>
        <w:t>op</w:t>
      </w:r>
      <w:r w:rsidR="00401156">
        <w:rPr>
          <w:rFonts w:ascii="Verdana" w:hAnsi="Verdana" w:eastAsia="Verdana" w:cs="Verdana"/>
          <w:sz w:val="18"/>
          <w:szCs w:val="18"/>
        </w:rPr>
        <w:t xml:space="preserve"> snel en effectief op te treden</w:t>
      </w:r>
      <w:r w:rsidR="00E51234">
        <w:rPr>
          <w:rFonts w:ascii="Verdana" w:hAnsi="Verdana" w:eastAsia="Verdana" w:cs="Verdana"/>
          <w:sz w:val="18"/>
          <w:szCs w:val="18"/>
        </w:rPr>
        <w:t xml:space="preserve"> met alle beschikbare instrumenten</w:t>
      </w:r>
      <w:r w:rsidR="00401156">
        <w:rPr>
          <w:rFonts w:ascii="Verdana" w:hAnsi="Verdana" w:eastAsia="Verdana" w:cs="Verdana"/>
          <w:sz w:val="18"/>
          <w:szCs w:val="18"/>
        </w:rPr>
        <w:t xml:space="preserve"> </w:t>
      </w:r>
      <w:r w:rsidR="00E51234">
        <w:rPr>
          <w:rFonts w:ascii="Verdana" w:hAnsi="Verdana" w:eastAsia="Verdana" w:cs="Verdana"/>
          <w:sz w:val="18"/>
          <w:szCs w:val="18"/>
        </w:rPr>
        <w:t>als</w:t>
      </w:r>
      <w:r w:rsidR="00401156">
        <w:rPr>
          <w:rFonts w:ascii="Verdana" w:hAnsi="Verdana" w:eastAsia="Verdana" w:cs="Verdana"/>
          <w:sz w:val="18"/>
          <w:szCs w:val="18"/>
        </w:rPr>
        <w:t xml:space="preserve"> deze lidstaten het Unierecht schenden</w:t>
      </w:r>
      <w:r w:rsidRPr="005A1338">
        <w:rPr>
          <w:rFonts w:ascii="Verdana" w:hAnsi="Verdana" w:eastAsia="Verdana" w:cs="Verdana"/>
          <w:sz w:val="18"/>
          <w:szCs w:val="18"/>
        </w:rPr>
        <w:t>. Het kabinet had in de strategie dan ook graag teruggezien hoe de Commissie voornemens is deze fundamentele waarden effectief te handhaven.</w:t>
      </w:r>
    </w:p>
    <w:p w:rsidRPr="005A1338" w:rsidR="6C654FB2" w:rsidP="005A1338" w:rsidRDefault="6C654FB2" w14:paraId="3155F61D" w14:textId="7AC24C56">
      <w:pPr>
        <w:spacing w:line="360" w:lineRule="auto"/>
        <w:rPr>
          <w:rFonts w:ascii="Verdana" w:hAnsi="Verdana"/>
          <w:sz w:val="18"/>
          <w:szCs w:val="18"/>
        </w:rPr>
      </w:pPr>
      <w:r w:rsidRPr="005A1338">
        <w:rPr>
          <w:rFonts w:ascii="Verdana" w:hAnsi="Verdana" w:eastAsia="Verdana" w:cs="Verdana"/>
          <w:sz w:val="18"/>
          <w:szCs w:val="18"/>
        </w:rPr>
        <w:t xml:space="preserve">Met deze strategie zet de Commissie </w:t>
      </w:r>
      <w:r w:rsidR="007377CF">
        <w:rPr>
          <w:rFonts w:ascii="Verdana" w:hAnsi="Verdana" w:eastAsia="Verdana" w:cs="Verdana"/>
          <w:sz w:val="18"/>
          <w:szCs w:val="18"/>
        </w:rPr>
        <w:t xml:space="preserve">in </w:t>
      </w:r>
      <w:r w:rsidRPr="005A1338">
        <w:rPr>
          <w:rFonts w:ascii="Verdana" w:hAnsi="Verdana" w:eastAsia="Verdana" w:cs="Verdana"/>
          <w:sz w:val="18"/>
          <w:szCs w:val="18"/>
        </w:rPr>
        <w:t>op drie actielijnen</w:t>
      </w:r>
      <w:r w:rsidR="002F1ECF">
        <w:rPr>
          <w:rFonts w:ascii="Verdana" w:hAnsi="Verdana" w:eastAsia="Verdana" w:cs="Verdana"/>
          <w:sz w:val="18"/>
          <w:szCs w:val="18"/>
        </w:rPr>
        <w:t xml:space="preserve">, te weten </w:t>
      </w:r>
      <w:r w:rsidRPr="005A1338">
        <w:rPr>
          <w:rFonts w:ascii="Verdana" w:hAnsi="Verdana" w:eastAsia="Verdana" w:cs="Verdana"/>
          <w:sz w:val="18"/>
          <w:szCs w:val="18"/>
        </w:rPr>
        <w:t xml:space="preserve">Beschermen, </w:t>
      </w:r>
      <w:r w:rsidR="00F94FA5">
        <w:rPr>
          <w:rFonts w:ascii="Verdana" w:hAnsi="Verdana" w:eastAsia="Verdana" w:cs="Verdana"/>
          <w:sz w:val="18"/>
          <w:szCs w:val="18"/>
        </w:rPr>
        <w:t>Versterken</w:t>
      </w:r>
      <w:r w:rsidRPr="005A1338" w:rsidR="00F94FA5">
        <w:rPr>
          <w:rFonts w:ascii="Verdana" w:hAnsi="Verdana" w:eastAsia="Verdana" w:cs="Verdana"/>
          <w:sz w:val="18"/>
          <w:szCs w:val="18"/>
        </w:rPr>
        <w:t xml:space="preserve"> </w:t>
      </w:r>
      <w:r w:rsidRPr="005A1338">
        <w:rPr>
          <w:rFonts w:ascii="Verdana" w:hAnsi="Verdana" w:eastAsia="Verdana" w:cs="Verdana"/>
          <w:sz w:val="18"/>
          <w:szCs w:val="18"/>
        </w:rPr>
        <w:t>en Betrekken. Veel van de genoemde acties binnen deze actielijn</w:t>
      </w:r>
      <w:r w:rsidR="002F1ECF">
        <w:rPr>
          <w:rFonts w:ascii="Verdana" w:hAnsi="Verdana" w:eastAsia="Verdana" w:cs="Verdana"/>
          <w:sz w:val="18"/>
          <w:szCs w:val="18"/>
        </w:rPr>
        <w:t>en</w:t>
      </w:r>
      <w:r w:rsidRPr="005A1338">
        <w:rPr>
          <w:rFonts w:ascii="Verdana" w:hAnsi="Verdana" w:eastAsia="Verdana" w:cs="Verdana"/>
          <w:sz w:val="18"/>
          <w:szCs w:val="18"/>
        </w:rPr>
        <w:t xml:space="preserve"> behoren tot de bestaande Europese inzet op lhbtiq+ gelijkheid. </w:t>
      </w:r>
    </w:p>
    <w:p w:rsidRPr="005A1338" w:rsidR="6C654FB2" w:rsidP="005A1338" w:rsidRDefault="6C654FB2" w14:paraId="61A412B3" w14:textId="5C66A09B">
      <w:pPr>
        <w:spacing w:line="360" w:lineRule="auto"/>
        <w:rPr>
          <w:rFonts w:ascii="Verdana" w:hAnsi="Verdana" w:eastAsia="Verdana" w:cs="Verdana"/>
          <w:sz w:val="18"/>
          <w:szCs w:val="18"/>
        </w:rPr>
      </w:pPr>
      <w:r w:rsidRPr="005A1338">
        <w:rPr>
          <w:rFonts w:ascii="Verdana" w:hAnsi="Verdana" w:eastAsia="Verdana" w:cs="Verdana"/>
          <w:sz w:val="18"/>
          <w:szCs w:val="18"/>
        </w:rPr>
        <w:t xml:space="preserve">Nieuwe voornemens tot (wetgeving)voorstellen die worden genoemd richten zich vooral op een verbod op pogingen om de seksuele oriëntatie of genderidentiteit van mensen te veranderen (‘conversietherapie’). Daartoe zal de Commissie onderzoek laten verrichten, mede bezien vanuit het Europese burgerinitiatief op dit onderwerp. </w:t>
      </w:r>
      <w:r w:rsidR="00F94FA5">
        <w:rPr>
          <w:rFonts w:ascii="Verdana" w:hAnsi="Verdana" w:eastAsia="Verdana" w:cs="Verdana"/>
          <w:sz w:val="18"/>
          <w:szCs w:val="18"/>
        </w:rPr>
        <w:t>H</w:t>
      </w:r>
      <w:r w:rsidRPr="005A1338">
        <w:rPr>
          <w:rFonts w:ascii="Verdana" w:hAnsi="Verdana" w:eastAsia="Verdana" w:cs="Verdana"/>
          <w:sz w:val="18"/>
          <w:szCs w:val="18"/>
        </w:rPr>
        <w:t>et kabinet</w:t>
      </w:r>
      <w:r w:rsidR="00F94FA5">
        <w:rPr>
          <w:rFonts w:ascii="Verdana" w:hAnsi="Verdana" w:eastAsia="Verdana" w:cs="Verdana"/>
          <w:sz w:val="18"/>
          <w:szCs w:val="18"/>
        </w:rPr>
        <w:t xml:space="preserve"> verwelkomt</w:t>
      </w:r>
      <w:r w:rsidRPr="005A1338">
        <w:rPr>
          <w:rFonts w:ascii="Verdana" w:hAnsi="Verdana" w:eastAsia="Verdana" w:cs="Verdana"/>
          <w:sz w:val="18"/>
          <w:szCs w:val="18"/>
        </w:rPr>
        <w:t xml:space="preserve"> dit initiatief tot onderzoek. </w:t>
      </w:r>
    </w:p>
    <w:p w:rsidRPr="005A1338" w:rsidR="6C654FB2" w:rsidP="005A1338" w:rsidRDefault="00F94FA5" w14:paraId="2A548135" w14:textId="302E52BE">
      <w:pPr>
        <w:spacing w:line="360" w:lineRule="auto"/>
        <w:rPr>
          <w:rFonts w:ascii="Verdana" w:hAnsi="Verdana"/>
          <w:sz w:val="18"/>
          <w:szCs w:val="18"/>
        </w:rPr>
      </w:pPr>
      <w:r>
        <w:rPr>
          <w:rFonts w:ascii="Verdana" w:hAnsi="Verdana" w:eastAsia="Verdana" w:cs="Verdana"/>
          <w:sz w:val="18"/>
          <w:szCs w:val="18"/>
        </w:rPr>
        <w:t xml:space="preserve">Voor wat betreft de ambitie van </w:t>
      </w:r>
      <w:r w:rsidRPr="005A1338" w:rsidR="6C654FB2">
        <w:rPr>
          <w:rFonts w:ascii="Verdana" w:hAnsi="Verdana" w:eastAsia="Verdana" w:cs="Verdana"/>
          <w:sz w:val="18"/>
          <w:szCs w:val="18"/>
        </w:rPr>
        <w:t>de Commissie</w:t>
      </w:r>
      <w:r>
        <w:rPr>
          <w:rFonts w:ascii="Verdana" w:hAnsi="Verdana" w:eastAsia="Verdana" w:cs="Verdana"/>
          <w:sz w:val="18"/>
          <w:szCs w:val="18"/>
        </w:rPr>
        <w:t xml:space="preserve"> om te</w:t>
      </w:r>
      <w:r w:rsidRPr="005A1338" w:rsidR="6C654FB2">
        <w:rPr>
          <w:rFonts w:ascii="Verdana" w:hAnsi="Verdana" w:eastAsia="Verdana" w:cs="Verdana"/>
          <w:sz w:val="18"/>
          <w:szCs w:val="18"/>
        </w:rPr>
        <w:t xml:space="preserve"> verkennen welke mogelijkheden er zijn om haatspraak en haatmisdrijven in strafwetgeving te harmoniseren, met bijzondere aandacht voor online haatmisdrijven</w:t>
      </w:r>
      <w:r>
        <w:rPr>
          <w:rFonts w:ascii="Verdana" w:hAnsi="Verdana" w:eastAsia="Verdana" w:cs="Verdana"/>
          <w:sz w:val="18"/>
          <w:szCs w:val="18"/>
        </w:rPr>
        <w:t>, vindt h</w:t>
      </w:r>
      <w:r w:rsidRPr="005A1338" w:rsidR="6C654FB2">
        <w:rPr>
          <w:rFonts w:ascii="Verdana" w:hAnsi="Verdana" w:eastAsia="Verdana" w:cs="Verdana"/>
          <w:sz w:val="18"/>
          <w:szCs w:val="18"/>
        </w:rPr>
        <w:t xml:space="preserve">et kabinet dat er meerwaarde zit in een Europese aanpak van haatspraak en haatmisdrijven, bijvoorbeeld ter ondersteuning van nationale activiteiten. </w:t>
      </w:r>
    </w:p>
    <w:p w:rsidR="00094C13" w:rsidP="005A1338" w:rsidRDefault="6C654FB2" w14:paraId="05EFBEAD" w14:textId="54242F3E">
      <w:pPr>
        <w:spacing w:line="360" w:lineRule="auto"/>
        <w:rPr>
          <w:rFonts w:ascii="Verdana" w:hAnsi="Verdana" w:eastAsia="Verdana" w:cs="Verdana"/>
          <w:sz w:val="18"/>
          <w:szCs w:val="18"/>
        </w:rPr>
      </w:pPr>
      <w:r w:rsidRPr="005A1338">
        <w:rPr>
          <w:rFonts w:ascii="Verdana" w:hAnsi="Verdana" w:eastAsia="Verdana" w:cs="Verdana"/>
          <w:sz w:val="18"/>
          <w:szCs w:val="18"/>
        </w:rPr>
        <w:t xml:space="preserve">Daarnaast </w:t>
      </w:r>
      <w:r w:rsidR="00F94FA5">
        <w:rPr>
          <w:rFonts w:ascii="Verdana" w:hAnsi="Verdana" w:eastAsia="Verdana" w:cs="Verdana"/>
          <w:sz w:val="18"/>
          <w:szCs w:val="18"/>
        </w:rPr>
        <w:t xml:space="preserve">deelt het kabinet met </w:t>
      </w:r>
      <w:r w:rsidRPr="005A1338">
        <w:rPr>
          <w:rFonts w:ascii="Verdana" w:hAnsi="Verdana" w:eastAsia="Verdana" w:cs="Verdana"/>
          <w:sz w:val="18"/>
          <w:szCs w:val="18"/>
        </w:rPr>
        <w:t xml:space="preserve">de Commissie het </w:t>
      </w:r>
      <w:r w:rsidR="00F94FA5">
        <w:rPr>
          <w:rFonts w:ascii="Verdana" w:hAnsi="Verdana" w:eastAsia="Verdana" w:cs="Verdana"/>
          <w:sz w:val="18"/>
          <w:szCs w:val="18"/>
        </w:rPr>
        <w:t>belang van een</w:t>
      </w:r>
      <w:r w:rsidRPr="005A1338">
        <w:rPr>
          <w:rFonts w:ascii="Verdana" w:hAnsi="Verdana" w:eastAsia="Verdana" w:cs="Verdana"/>
          <w:sz w:val="18"/>
          <w:szCs w:val="18"/>
        </w:rPr>
        <w:t xml:space="preserve"> sterk maatschappelijk middenveld</w:t>
      </w:r>
      <w:r w:rsidR="00F94FA5">
        <w:rPr>
          <w:rFonts w:ascii="Verdana" w:hAnsi="Verdana" w:eastAsia="Verdana" w:cs="Verdana"/>
          <w:sz w:val="18"/>
          <w:szCs w:val="18"/>
        </w:rPr>
        <w:t>.</w:t>
      </w:r>
      <w:r w:rsidRPr="005A1338">
        <w:rPr>
          <w:rFonts w:ascii="Verdana" w:hAnsi="Verdana" w:eastAsia="Verdana" w:cs="Verdana"/>
          <w:sz w:val="18"/>
          <w:szCs w:val="18"/>
        </w:rPr>
        <w:t xml:space="preserve"> Het kabinet verwelkomt</w:t>
      </w:r>
      <w:r w:rsidR="00F94FA5">
        <w:rPr>
          <w:rFonts w:ascii="Verdana" w:hAnsi="Verdana" w:eastAsia="Verdana" w:cs="Verdana"/>
          <w:sz w:val="18"/>
          <w:szCs w:val="18"/>
        </w:rPr>
        <w:t xml:space="preserve"> daarom</w:t>
      </w:r>
      <w:r w:rsidRPr="005A1338">
        <w:rPr>
          <w:rFonts w:ascii="Verdana" w:hAnsi="Verdana" w:eastAsia="Verdana" w:cs="Verdana"/>
          <w:sz w:val="18"/>
          <w:szCs w:val="18"/>
        </w:rPr>
        <w:t xml:space="preserve"> de steun aan </w:t>
      </w:r>
      <w:proofErr w:type="spellStart"/>
      <w:r w:rsidRPr="005A1338">
        <w:rPr>
          <w:rFonts w:ascii="Verdana" w:hAnsi="Verdana" w:eastAsia="Verdana" w:cs="Verdana"/>
          <w:sz w:val="18"/>
          <w:szCs w:val="18"/>
        </w:rPr>
        <w:t>Uniebreed</w:t>
      </w:r>
      <w:proofErr w:type="spellEnd"/>
      <w:r w:rsidRPr="005A1338">
        <w:rPr>
          <w:rFonts w:ascii="Verdana" w:hAnsi="Verdana" w:eastAsia="Verdana" w:cs="Verdana"/>
          <w:sz w:val="18"/>
          <w:szCs w:val="18"/>
        </w:rPr>
        <w:t xml:space="preserve"> opererende maatschappelijke organisaties op het terrein van fundamentele waarden vanwege hun belangrijke kennis-, ondersteunings- en waakhondfunctie.</w:t>
      </w:r>
      <w:bookmarkStart w:name="_Hlk212049973" w:id="0"/>
    </w:p>
    <w:p w:rsidRPr="005A1338" w:rsidR="6C654FB2" w:rsidP="005A1338" w:rsidRDefault="00094C13" w14:paraId="7D7B2EC0" w14:textId="6C766B20">
      <w:pPr>
        <w:spacing w:line="360" w:lineRule="auto"/>
        <w:rPr>
          <w:rFonts w:ascii="Verdana" w:hAnsi="Verdana"/>
          <w:sz w:val="18"/>
          <w:szCs w:val="18"/>
        </w:rPr>
      </w:pPr>
      <w:r>
        <w:rPr>
          <w:rFonts w:ascii="Verdana" w:hAnsi="Verdana" w:eastAsia="Verdana" w:cs="Verdana"/>
          <w:sz w:val="18"/>
          <w:szCs w:val="18"/>
        </w:rPr>
        <w:t xml:space="preserve">Wat betreft het voortzetten van onderzoek en analyse, zoals bijvoorbeeld de Eurobarometer over discriminatie, </w:t>
      </w:r>
      <w:bookmarkEnd w:id="0"/>
      <w:r w:rsidRPr="005A1338" w:rsidR="6C654FB2">
        <w:rPr>
          <w:rFonts w:ascii="Verdana" w:hAnsi="Verdana" w:eastAsia="Verdana" w:cs="Verdana"/>
          <w:sz w:val="18"/>
          <w:szCs w:val="18"/>
        </w:rPr>
        <w:t xml:space="preserve">verwelkomt het kabinet </w:t>
      </w:r>
      <w:r>
        <w:rPr>
          <w:rFonts w:ascii="Verdana" w:hAnsi="Verdana" w:eastAsia="Verdana" w:cs="Verdana"/>
          <w:sz w:val="18"/>
          <w:szCs w:val="18"/>
        </w:rPr>
        <w:t>t</w:t>
      </w:r>
      <w:r w:rsidRPr="005A1338">
        <w:rPr>
          <w:rFonts w:ascii="Verdana" w:hAnsi="Verdana" w:eastAsia="Verdana" w:cs="Verdana"/>
          <w:sz w:val="18"/>
          <w:szCs w:val="18"/>
        </w:rPr>
        <w:t>en algemene</w:t>
      </w:r>
      <w:r>
        <w:rPr>
          <w:rFonts w:ascii="Verdana" w:hAnsi="Verdana" w:eastAsia="Verdana" w:cs="Verdana"/>
          <w:sz w:val="18"/>
          <w:szCs w:val="18"/>
        </w:rPr>
        <w:t xml:space="preserve"> een Europese inzet op</w:t>
      </w:r>
      <w:r w:rsidRPr="005A1338">
        <w:rPr>
          <w:rFonts w:ascii="Verdana" w:hAnsi="Verdana" w:eastAsia="Verdana" w:cs="Verdana"/>
          <w:sz w:val="18"/>
          <w:szCs w:val="18"/>
        </w:rPr>
        <w:t xml:space="preserve"> </w:t>
      </w:r>
      <w:r w:rsidRPr="005A1338" w:rsidR="6C654FB2">
        <w:rPr>
          <w:rFonts w:ascii="Verdana" w:hAnsi="Verdana" w:eastAsia="Verdana" w:cs="Verdana"/>
          <w:sz w:val="18"/>
          <w:szCs w:val="18"/>
        </w:rPr>
        <w:t xml:space="preserve">effectieve en efficiënte dataverzameling </w:t>
      </w:r>
      <w:r>
        <w:rPr>
          <w:rFonts w:ascii="Verdana" w:hAnsi="Verdana" w:eastAsia="Verdana" w:cs="Verdana"/>
          <w:sz w:val="18"/>
          <w:szCs w:val="18"/>
        </w:rPr>
        <w:t>rond</w:t>
      </w:r>
      <w:r w:rsidRPr="005A1338">
        <w:rPr>
          <w:rFonts w:ascii="Verdana" w:hAnsi="Verdana" w:eastAsia="Verdana" w:cs="Verdana"/>
          <w:sz w:val="18"/>
          <w:szCs w:val="18"/>
        </w:rPr>
        <w:t xml:space="preserve"> </w:t>
      </w:r>
      <w:r w:rsidRPr="005A1338" w:rsidR="6C654FB2">
        <w:rPr>
          <w:rFonts w:ascii="Verdana" w:hAnsi="Verdana" w:eastAsia="Verdana" w:cs="Verdana"/>
          <w:sz w:val="18"/>
          <w:szCs w:val="18"/>
        </w:rPr>
        <w:t>het thema van lhbtiq+ gelijkheid. Op verschillende deelterreinen zou meer en beter</w:t>
      </w:r>
      <w:r w:rsidRPr="005A1338" w:rsidR="006D1A73">
        <w:rPr>
          <w:rFonts w:ascii="Verdana" w:hAnsi="Verdana" w:eastAsia="Verdana" w:cs="Verdana"/>
          <w:sz w:val="18"/>
          <w:szCs w:val="18"/>
        </w:rPr>
        <w:t xml:space="preserve"> vergelijkbare</w:t>
      </w:r>
      <w:r w:rsidRPr="005A1338" w:rsidR="6C654FB2">
        <w:rPr>
          <w:rFonts w:ascii="Verdana" w:hAnsi="Verdana" w:eastAsia="Verdana" w:cs="Verdana"/>
          <w:sz w:val="18"/>
          <w:szCs w:val="18"/>
        </w:rPr>
        <w:t xml:space="preserve"> data ten goede komen aan effectief beleid op het thema. </w:t>
      </w:r>
    </w:p>
    <w:p w:rsidRPr="005A1338" w:rsidR="6C654FB2" w:rsidP="005A1338" w:rsidRDefault="6C654FB2" w14:paraId="3EE852F1" w14:textId="147E71C8">
      <w:pPr>
        <w:spacing w:line="360" w:lineRule="auto"/>
        <w:rPr>
          <w:rFonts w:ascii="Verdana" w:hAnsi="Verdana"/>
          <w:sz w:val="18"/>
          <w:szCs w:val="18"/>
        </w:rPr>
      </w:pPr>
      <w:r w:rsidRPr="005A1338">
        <w:rPr>
          <w:rFonts w:ascii="Verdana" w:hAnsi="Verdana" w:eastAsia="Verdana" w:cs="Verdana"/>
          <w:sz w:val="18"/>
          <w:szCs w:val="18"/>
        </w:rPr>
        <w:t xml:space="preserve">Het kabinet zal de in de strategie aangekondigde voorstellen bij publicatie op hun eigen merites beoordelen. Ook biedt de tussentijdse evaluatie in 2028 Nederland de mogelijkheid om voortgang van de uitwerking van de strategie te monitoren en de Commissie daarbij, samen met gelijkgestemde lidstaten, te ondersteunen, voornamelijk via de EU LGBTIQ+ </w:t>
      </w:r>
      <w:proofErr w:type="spellStart"/>
      <w:r w:rsidRPr="00947D71" w:rsidR="00541855">
        <w:rPr>
          <w:rFonts w:ascii="Verdana" w:hAnsi="Verdana" w:eastAsia="Verdana" w:cs="Verdana"/>
          <w:i/>
          <w:iCs/>
          <w:sz w:val="18"/>
          <w:szCs w:val="18"/>
        </w:rPr>
        <w:t>S</w:t>
      </w:r>
      <w:r w:rsidRPr="00947D71">
        <w:rPr>
          <w:rFonts w:ascii="Verdana" w:hAnsi="Verdana" w:eastAsia="Verdana" w:cs="Verdana"/>
          <w:i/>
          <w:iCs/>
          <w:sz w:val="18"/>
          <w:szCs w:val="18"/>
        </w:rPr>
        <w:t>ubgroup</w:t>
      </w:r>
      <w:proofErr w:type="spellEnd"/>
      <w:r w:rsidRPr="005A1338">
        <w:rPr>
          <w:rFonts w:ascii="Verdana" w:hAnsi="Verdana" w:eastAsia="Verdana" w:cs="Verdana"/>
          <w:sz w:val="18"/>
          <w:szCs w:val="18"/>
        </w:rPr>
        <w:t xml:space="preserve"> onder de </w:t>
      </w:r>
      <w:r w:rsidRPr="00947D71">
        <w:rPr>
          <w:rFonts w:ascii="Verdana" w:hAnsi="Verdana" w:eastAsia="Verdana" w:cs="Verdana"/>
          <w:i/>
          <w:iCs/>
          <w:sz w:val="18"/>
          <w:szCs w:val="18"/>
        </w:rPr>
        <w:t>High Level Group on Anti-</w:t>
      </w:r>
      <w:proofErr w:type="spellStart"/>
      <w:r w:rsidRPr="00947D71" w:rsidR="00541855">
        <w:rPr>
          <w:rFonts w:ascii="Verdana" w:hAnsi="Verdana" w:eastAsia="Verdana" w:cs="Verdana"/>
          <w:i/>
          <w:iCs/>
          <w:sz w:val="18"/>
          <w:szCs w:val="18"/>
        </w:rPr>
        <w:t>D</w:t>
      </w:r>
      <w:r w:rsidRPr="00947D71">
        <w:rPr>
          <w:rFonts w:ascii="Verdana" w:hAnsi="Verdana" w:eastAsia="Verdana" w:cs="Verdana"/>
          <w:i/>
          <w:iCs/>
          <w:sz w:val="18"/>
          <w:szCs w:val="18"/>
        </w:rPr>
        <w:t>iscrimination</w:t>
      </w:r>
      <w:proofErr w:type="spellEnd"/>
      <w:r w:rsidRPr="005A1338">
        <w:rPr>
          <w:rFonts w:ascii="Verdana" w:hAnsi="Verdana" w:eastAsia="Verdana" w:cs="Verdana"/>
          <w:sz w:val="18"/>
          <w:szCs w:val="18"/>
        </w:rPr>
        <w:t xml:space="preserve">. </w:t>
      </w:r>
    </w:p>
    <w:p w:rsidRPr="005A1338" w:rsidR="6C654FB2" w:rsidP="6C654FB2" w:rsidRDefault="00FA4979" w14:paraId="1FCF92C8" w14:textId="57D9BAB7">
      <w:pPr>
        <w:numPr>
          <w:ilvl w:val="0"/>
          <w:numId w:val="13"/>
        </w:numPr>
        <w:spacing w:after="0" w:line="360" w:lineRule="auto"/>
        <w:rPr>
          <w:rFonts w:ascii="Verdana" w:hAnsi="Verdana"/>
          <w:i/>
          <w:sz w:val="18"/>
          <w:szCs w:val="18"/>
        </w:rPr>
      </w:pPr>
      <w:r w:rsidRPr="005A1338">
        <w:rPr>
          <w:rFonts w:ascii="Verdana" w:hAnsi="Verdana"/>
          <w:i/>
          <w:sz w:val="18"/>
          <w:szCs w:val="18"/>
        </w:rPr>
        <w:t>Eerste inschatting van krachtenveld</w:t>
      </w:r>
    </w:p>
    <w:p w:rsidR="00131C17" w:rsidP="6C654FB2" w:rsidRDefault="6C654FB2" w14:paraId="060D7CA3" w14:textId="7E14EBE6">
      <w:pPr>
        <w:spacing w:line="360" w:lineRule="auto"/>
        <w:rPr>
          <w:rFonts w:ascii="Verdana" w:hAnsi="Verdana" w:eastAsia="Verdana" w:cs="Verdana"/>
          <w:sz w:val="18"/>
          <w:szCs w:val="18"/>
        </w:rPr>
      </w:pPr>
      <w:r w:rsidRPr="005A1338">
        <w:rPr>
          <w:rFonts w:ascii="Verdana" w:hAnsi="Verdana" w:eastAsia="Verdana" w:cs="Verdana"/>
          <w:sz w:val="18"/>
          <w:szCs w:val="18"/>
        </w:rPr>
        <w:t xml:space="preserve">Naar verwachting zal een grote meerderheid van lidstaten de strategie verwelkomen. Enkele lidstaten zullen zich naar verwachting negatief uitlaten over deze strategie. </w:t>
      </w:r>
      <w:r w:rsidR="00CE6FC1">
        <w:rPr>
          <w:rFonts w:ascii="Verdana" w:hAnsi="Verdana" w:eastAsia="Verdana" w:cs="Verdana"/>
          <w:sz w:val="18"/>
          <w:szCs w:val="18"/>
        </w:rPr>
        <w:t>Het Europees Parlement zal de strategie, g</w:t>
      </w:r>
      <w:r w:rsidRPr="005A1338" w:rsidR="00CE6FC1">
        <w:rPr>
          <w:rFonts w:ascii="Verdana" w:hAnsi="Verdana" w:eastAsia="Verdana" w:cs="Verdana"/>
          <w:sz w:val="18"/>
          <w:szCs w:val="18"/>
        </w:rPr>
        <w:t>ezien eerdere resoluties</w:t>
      </w:r>
      <w:r w:rsidR="00CE6FC1">
        <w:rPr>
          <w:rFonts w:ascii="Verdana" w:hAnsi="Verdana" w:eastAsia="Verdana" w:cs="Verdana"/>
          <w:sz w:val="18"/>
          <w:szCs w:val="18"/>
        </w:rPr>
        <w:t>,</w:t>
      </w:r>
      <w:r w:rsidRPr="005A1338" w:rsidR="00CE6FC1">
        <w:rPr>
          <w:rFonts w:ascii="Verdana" w:hAnsi="Verdana" w:eastAsia="Verdana" w:cs="Verdana"/>
          <w:sz w:val="18"/>
          <w:szCs w:val="18"/>
        </w:rPr>
        <w:t xml:space="preserve"> </w:t>
      </w:r>
      <w:r w:rsidR="00CE6FC1">
        <w:rPr>
          <w:rFonts w:ascii="Verdana" w:hAnsi="Verdana" w:eastAsia="Verdana" w:cs="Verdana"/>
          <w:sz w:val="18"/>
          <w:szCs w:val="18"/>
        </w:rPr>
        <w:t xml:space="preserve">naar verwachting verwelkomen </w:t>
      </w:r>
      <w:r w:rsidRPr="005A1338">
        <w:rPr>
          <w:rFonts w:ascii="Verdana" w:hAnsi="Verdana" w:eastAsia="Verdana" w:cs="Verdana"/>
          <w:sz w:val="18"/>
          <w:szCs w:val="18"/>
        </w:rPr>
        <w:t>en de Raad verzoeken de strategie proactief te implementeren.</w:t>
      </w:r>
    </w:p>
    <w:p w:rsidRPr="00131C17" w:rsidR="00222230" w:rsidP="6C654FB2" w:rsidRDefault="00222230" w14:paraId="56273E59" w14:textId="77777777">
      <w:pPr>
        <w:spacing w:line="360" w:lineRule="auto"/>
        <w:rPr>
          <w:rFonts w:ascii="Verdana" w:hAnsi="Verdana" w:eastAsia="Verdana" w:cs="Verdana"/>
          <w:sz w:val="18"/>
          <w:szCs w:val="18"/>
        </w:rPr>
      </w:pPr>
    </w:p>
    <w:p w:rsidRPr="005A1338" w:rsidR="00FA4979" w:rsidP="00FA4979" w:rsidRDefault="00FA4979" w14:paraId="28C20CA2" w14:textId="77777777">
      <w:pPr>
        <w:numPr>
          <w:ilvl w:val="0"/>
          <w:numId w:val="2"/>
        </w:numPr>
        <w:spacing w:after="0" w:line="360" w:lineRule="auto"/>
        <w:rPr>
          <w:rFonts w:ascii="Verdana" w:hAnsi="Verdana"/>
          <w:b/>
          <w:sz w:val="18"/>
          <w:szCs w:val="18"/>
        </w:rPr>
      </w:pPr>
      <w:r w:rsidRPr="005A1338">
        <w:rPr>
          <w:rFonts w:ascii="Verdana" w:hAnsi="Verdana"/>
          <w:b/>
          <w:sz w:val="18"/>
          <w:szCs w:val="18"/>
        </w:rPr>
        <w:lastRenderedPageBreak/>
        <w:t xml:space="preserve">Grondhouding ten aanzien van bevoegdheid, subsidiariteit, proportionaliteit, financiële gevolgen en gevolgen voor regeldruk, concurrentiekracht en geopolitieke aspecten </w:t>
      </w:r>
    </w:p>
    <w:p w:rsidR="00FA4979" w:rsidP="00FA4979" w:rsidRDefault="00FA4979" w14:paraId="376B65D7" w14:textId="77777777">
      <w:pPr>
        <w:numPr>
          <w:ilvl w:val="0"/>
          <w:numId w:val="4"/>
        </w:numPr>
        <w:spacing w:after="0" w:line="360" w:lineRule="auto"/>
        <w:rPr>
          <w:rFonts w:ascii="Verdana" w:hAnsi="Verdana"/>
          <w:i/>
          <w:sz w:val="18"/>
          <w:szCs w:val="18"/>
        </w:rPr>
      </w:pPr>
      <w:r w:rsidRPr="005A1338">
        <w:rPr>
          <w:rFonts w:ascii="Verdana" w:hAnsi="Verdana"/>
          <w:i/>
          <w:sz w:val="18"/>
          <w:szCs w:val="18"/>
        </w:rPr>
        <w:t>Bevoegdheid</w:t>
      </w:r>
    </w:p>
    <w:p w:rsidR="0088788E" w:rsidP="005A1338" w:rsidRDefault="005A1338" w14:paraId="2B0E6067" w14:textId="60DE7D04">
      <w:pPr>
        <w:spacing w:after="0" w:line="360" w:lineRule="auto"/>
        <w:rPr>
          <w:rFonts w:ascii="Verdana" w:hAnsi="Verdana"/>
          <w:iCs/>
          <w:sz w:val="18"/>
          <w:szCs w:val="18"/>
        </w:rPr>
      </w:pPr>
      <w:r w:rsidRPr="005A1338">
        <w:rPr>
          <w:rFonts w:ascii="Verdana" w:hAnsi="Verdana"/>
          <w:iCs/>
          <w:sz w:val="18"/>
          <w:szCs w:val="18"/>
        </w:rPr>
        <w:t>De grondhouding van het kabinet</w:t>
      </w:r>
      <w:r w:rsidR="00541855">
        <w:rPr>
          <w:rFonts w:ascii="Verdana" w:hAnsi="Verdana"/>
          <w:iCs/>
          <w:sz w:val="18"/>
          <w:szCs w:val="18"/>
        </w:rPr>
        <w:t xml:space="preserve"> ten aanzien van de bevoegdheid voor deze mededeling</w:t>
      </w:r>
      <w:r w:rsidRPr="005A1338">
        <w:rPr>
          <w:rFonts w:ascii="Verdana" w:hAnsi="Verdana"/>
          <w:iCs/>
          <w:sz w:val="18"/>
          <w:szCs w:val="18"/>
        </w:rPr>
        <w:t xml:space="preserve"> is positief.</w:t>
      </w:r>
      <w:r w:rsidR="00541855">
        <w:rPr>
          <w:rFonts w:ascii="Verdana" w:hAnsi="Verdana"/>
          <w:iCs/>
          <w:sz w:val="18"/>
          <w:szCs w:val="18"/>
        </w:rPr>
        <w:t xml:space="preserve"> De </w:t>
      </w:r>
      <w:r w:rsidR="001A0FD8">
        <w:rPr>
          <w:rFonts w:ascii="Verdana" w:hAnsi="Verdana"/>
          <w:iCs/>
          <w:sz w:val="18"/>
          <w:szCs w:val="18"/>
        </w:rPr>
        <w:t>Commissie</w:t>
      </w:r>
      <w:r w:rsidR="00541855">
        <w:rPr>
          <w:rFonts w:ascii="Verdana" w:hAnsi="Verdana"/>
          <w:iCs/>
          <w:sz w:val="18"/>
          <w:szCs w:val="18"/>
        </w:rPr>
        <w:t xml:space="preserve"> is </w:t>
      </w:r>
      <w:r w:rsidR="001A0FD8">
        <w:rPr>
          <w:rFonts w:ascii="Verdana" w:hAnsi="Verdana"/>
          <w:iCs/>
          <w:sz w:val="18"/>
          <w:szCs w:val="18"/>
        </w:rPr>
        <w:t>bevoegd</w:t>
      </w:r>
      <w:r w:rsidR="00541855">
        <w:rPr>
          <w:rFonts w:ascii="Verdana" w:hAnsi="Verdana"/>
          <w:iCs/>
          <w:sz w:val="18"/>
          <w:szCs w:val="18"/>
        </w:rPr>
        <w:t xml:space="preserve"> om deze mededeling te doen.</w:t>
      </w:r>
      <w:r w:rsidRPr="005A1338">
        <w:rPr>
          <w:rFonts w:ascii="Verdana" w:hAnsi="Verdana"/>
          <w:iCs/>
          <w:sz w:val="18"/>
          <w:szCs w:val="18"/>
        </w:rPr>
        <w:t xml:space="preserve"> De mededeling heeft betrekking op het terrein van het sociaal beleid. Op </w:t>
      </w:r>
      <w:r w:rsidR="00A442A4">
        <w:rPr>
          <w:rFonts w:ascii="Verdana" w:hAnsi="Verdana"/>
          <w:iCs/>
          <w:sz w:val="18"/>
          <w:szCs w:val="18"/>
        </w:rPr>
        <w:t>het</w:t>
      </w:r>
      <w:r w:rsidRPr="005A1338">
        <w:rPr>
          <w:rFonts w:ascii="Verdana" w:hAnsi="Verdana"/>
          <w:iCs/>
          <w:sz w:val="18"/>
          <w:szCs w:val="18"/>
        </w:rPr>
        <w:t xml:space="preserve"> terrein</w:t>
      </w:r>
      <w:r w:rsidR="00A442A4">
        <w:rPr>
          <w:rFonts w:ascii="Verdana" w:hAnsi="Verdana"/>
          <w:iCs/>
          <w:sz w:val="18"/>
          <w:szCs w:val="18"/>
        </w:rPr>
        <w:t xml:space="preserve"> van sociaal beleid</w:t>
      </w:r>
      <w:r w:rsidRPr="005A1338">
        <w:rPr>
          <w:rFonts w:ascii="Verdana" w:hAnsi="Verdana"/>
          <w:iCs/>
          <w:sz w:val="18"/>
          <w:szCs w:val="18"/>
        </w:rPr>
        <w:t xml:space="preserve"> is sprake van een gedeelde bevoegdheid tussen de EU en de lidstaten (zie artikel 4, lid 2, onder b, VWEU). </w:t>
      </w:r>
    </w:p>
    <w:p w:rsidRPr="005A1338" w:rsidR="0088788E" w:rsidP="005A1338" w:rsidRDefault="0088788E" w14:paraId="2C99B4CB" w14:textId="77777777">
      <w:pPr>
        <w:spacing w:after="0" w:line="360" w:lineRule="auto"/>
        <w:rPr>
          <w:rFonts w:ascii="Verdana" w:hAnsi="Verdana"/>
          <w:iCs/>
          <w:sz w:val="18"/>
          <w:szCs w:val="18"/>
        </w:rPr>
      </w:pPr>
    </w:p>
    <w:p w:rsidRPr="00A442A4" w:rsidR="00A442A4" w:rsidP="00A442A4" w:rsidRDefault="00FA4979" w14:paraId="7671DC5D" w14:textId="2261D05E">
      <w:pPr>
        <w:numPr>
          <w:ilvl w:val="0"/>
          <w:numId w:val="4"/>
        </w:numPr>
        <w:spacing w:after="0" w:line="360" w:lineRule="auto"/>
        <w:rPr>
          <w:rFonts w:ascii="Verdana" w:hAnsi="Verdana"/>
          <w:i/>
          <w:sz w:val="18"/>
          <w:szCs w:val="18"/>
        </w:rPr>
      </w:pPr>
      <w:r w:rsidRPr="005A1338">
        <w:rPr>
          <w:rFonts w:ascii="Verdana" w:hAnsi="Verdana"/>
          <w:i/>
          <w:sz w:val="18"/>
          <w:szCs w:val="18"/>
        </w:rPr>
        <w:t>Subsidiariteit</w:t>
      </w:r>
    </w:p>
    <w:p w:rsidR="00AF70CC" w:rsidP="0088788E" w:rsidRDefault="00A442A4" w14:paraId="4D5E2C33" w14:textId="621C5A09">
      <w:pPr>
        <w:tabs>
          <w:tab w:val="left" w:pos="360"/>
          <w:tab w:val="left" w:pos="4500"/>
          <w:tab w:val="left" w:pos="5580"/>
        </w:tabs>
        <w:spacing w:line="360" w:lineRule="auto"/>
        <w:rPr>
          <w:rFonts w:ascii="Verdana" w:hAnsi="Verdana"/>
          <w:iCs/>
          <w:sz w:val="18"/>
          <w:szCs w:val="18"/>
        </w:rPr>
      </w:pPr>
      <w:r w:rsidRPr="00A442A4">
        <w:rPr>
          <w:rFonts w:ascii="Verdana" w:hAnsi="Verdana"/>
          <w:iCs/>
          <w:sz w:val="18"/>
          <w:szCs w:val="18"/>
        </w:rPr>
        <w:t>De grondhouding van het kabinet</w:t>
      </w:r>
      <w:r w:rsidR="001A0FD8">
        <w:rPr>
          <w:rFonts w:ascii="Verdana" w:hAnsi="Verdana"/>
          <w:iCs/>
          <w:sz w:val="18"/>
          <w:szCs w:val="18"/>
        </w:rPr>
        <w:t xml:space="preserve"> ten aanzien van de subsidiariteit van deze mededeling</w:t>
      </w:r>
      <w:r w:rsidRPr="00A442A4">
        <w:rPr>
          <w:rFonts w:ascii="Verdana" w:hAnsi="Verdana"/>
          <w:iCs/>
          <w:sz w:val="18"/>
          <w:szCs w:val="18"/>
        </w:rPr>
        <w:t xml:space="preserve"> is positief. De mededeling heeft tot doel om bij te dragen </w:t>
      </w:r>
      <w:r w:rsidR="001A0FD8">
        <w:rPr>
          <w:rFonts w:ascii="Verdana" w:hAnsi="Verdana"/>
          <w:iCs/>
          <w:sz w:val="18"/>
          <w:szCs w:val="18"/>
        </w:rPr>
        <w:t xml:space="preserve">aan </w:t>
      </w:r>
      <w:r w:rsidRPr="00A442A4">
        <w:rPr>
          <w:rFonts w:ascii="Verdana" w:hAnsi="Verdana"/>
          <w:iCs/>
          <w:sz w:val="18"/>
          <w:szCs w:val="18"/>
        </w:rPr>
        <w:t xml:space="preserve">een EU waarin diversiteit wordt gevierd als onderdeel van onze collectieve rijkdom, waar iedereen zichzelf kan zijn zonder risico op discriminatie, </w:t>
      </w:r>
      <w:r w:rsidR="001A0FD8">
        <w:rPr>
          <w:rFonts w:ascii="Verdana" w:hAnsi="Verdana"/>
          <w:iCs/>
          <w:sz w:val="18"/>
          <w:szCs w:val="18"/>
        </w:rPr>
        <w:t xml:space="preserve">haat, </w:t>
      </w:r>
      <w:r w:rsidRPr="00A442A4">
        <w:rPr>
          <w:rFonts w:ascii="Verdana" w:hAnsi="Verdana"/>
          <w:iCs/>
          <w:sz w:val="18"/>
          <w:szCs w:val="18"/>
        </w:rPr>
        <w:t>uitsluiting of geweld.</w:t>
      </w:r>
      <w:r w:rsidR="001A0FD8">
        <w:rPr>
          <w:rFonts w:ascii="Verdana" w:hAnsi="Verdana"/>
          <w:iCs/>
          <w:sz w:val="18"/>
          <w:szCs w:val="18"/>
        </w:rPr>
        <w:t xml:space="preserve"> He</w:t>
      </w:r>
      <w:r w:rsidRPr="006836C9" w:rsidR="001A0FD8">
        <w:rPr>
          <w:rFonts w:ascii="Verdana" w:hAnsi="Verdana"/>
          <w:iCs/>
          <w:sz w:val="18"/>
          <w:szCs w:val="18"/>
        </w:rPr>
        <w:t>t bewaken van de waarden van de Europese samenleving, zoals verwoord in het VWEU, het Handvest van de grondrechten van de Europese Unie en de Europese pijler van sociale rechten</w:t>
      </w:r>
      <w:r w:rsidR="001A0FD8">
        <w:rPr>
          <w:rFonts w:ascii="Verdana" w:hAnsi="Verdana"/>
          <w:iCs/>
          <w:sz w:val="18"/>
          <w:szCs w:val="18"/>
        </w:rPr>
        <w:t xml:space="preserve"> vraagt, om </w:t>
      </w:r>
      <w:r w:rsidRPr="00F409E1" w:rsidR="001A0FD8">
        <w:rPr>
          <w:rFonts w:ascii="Verdana" w:hAnsi="Verdana"/>
          <w:iCs/>
          <w:sz w:val="18"/>
          <w:szCs w:val="18"/>
        </w:rPr>
        <w:t>een EU-</w:t>
      </w:r>
      <w:r w:rsidR="001A0FD8">
        <w:rPr>
          <w:rFonts w:ascii="Verdana" w:hAnsi="Verdana"/>
          <w:iCs/>
          <w:sz w:val="18"/>
          <w:szCs w:val="18"/>
        </w:rPr>
        <w:t xml:space="preserve">brede </w:t>
      </w:r>
      <w:r w:rsidRPr="00F409E1" w:rsidR="001A0FD8">
        <w:rPr>
          <w:rFonts w:ascii="Verdana" w:hAnsi="Verdana"/>
          <w:iCs/>
          <w:sz w:val="18"/>
          <w:szCs w:val="18"/>
        </w:rPr>
        <w:t>aanpak</w:t>
      </w:r>
      <w:r w:rsidR="001A0FD8">
        <w:rPr>
          <w:rFonts w:ascii="Verdana" w:hAnsi="Verdana"/>
          <w:iCs/>
          <w:sz w:val="18"/>
          <w:szCs w:val="18"/>
        </w:rPr>
        <w:t>.</w:t>
      </w:r>
      <w:r w:rsidR="001A0FD8">
        <w:rPr>
          <w:rFonts w:ascii="Verdana" w:hAnsi="Verdana"/>
          <w:i/>
          <w:sz w:val="18"/>
          <w:szCs w:val="18"/>
        </w:rPr>
        <w:t xml:space="preserve"> </w:t>
      </w:r>
      <w:r w:rsidR="001A0FD8">
        <w:rPr>
          <w:rFonts w:ascii="Verdana" w:hAnsi="Verdana"/>
          <w:iCs/>
          <w:sz w:val="18"/>
          <w:szCs w:val="18"/>
        </w:rPr>
        <w:t>Gezien de EU-brede toepassing van dit doel kan dit onvoldoend</w:t>
      </w:r>
      <w:r w:rsidR="001A0FD8">
        <w:rPr>
          <w:rFonts w:ascii="Verdana" w:hAnsi="Verdana"/>
          <w:i/>
          <w:sz w:val="18"/>
          <w:szCs w:val="18"/>
        </w:rPr>
        <w:t xml:space="preserve">e </w:t>
      </w:r>
      <w:r w:rsidR="001A0FD8">
        <w:rPr>
          <w:rFonts w:ascii="Verdana" w:hAnsi="Verdana"/>
          <w:iCs/>
          <w:sz w:val="18"/>
          <w:szCs w:val="18"/>
        </w:rPr>
        <w:t>door lidstaten op centraal, regionaal of lokaal niveau worden verwezenlijkt.</w:t>
      </w:r>
      <w:r w:rsidR="001A0FD8">
        <w:rPr>
          <w:rFonts w:ascii="Verdana" w:hAnsi="Verdana"/>
          <w:i/>
          <w:sz w:val="18"/>
          <w:szCs w:val="18"/>
        </w:rPr>
        <w:t xml:space="preserve"> </w:t>
      </w:r>
      <w:r w:rsidRPr="0088788E" w:rsidR="001A0FD8">
        <w:rPr>
          <w:rFonts w:ascii="Verdana" w:hAnsi="Verdana"/>
          <w:iCs/>
          <w:sz w:val="18"/>
          <w:szCs w:val="18"/>
        </w:rPr>
        <w:t>Een EU-aanpak heeft</w:t>
      </w:r>
      <w:r w:rsidR="001A0FD8">
        <w:rPr>
          <w:rFonts w:ascii="Verdana" w:hAnsi="Verdana"/>
          <w:iCs/>
          <w:sz w:val="18"/>
          <w:szCs w:val="18"/>
        </w:rPr>
        <w:t xml:space="preserve">, ten aanzien van lhbtiq+ gelijkheid en gezien de internationale aard van de problematiek, </w:t>
      </w:r>
      <w:r w:rsidRPr="0088788E" w:rsidR="001A0FD8">
        <w:rPr>
          <w:rFonts w:ascii="Verdana" w:hAnsi="Verdana"/>
          <w:iCs/>
          <w:sz w:val="18"/>
          <w:szCs w:val="18"/>
        </w:rPr>
        <w:t>toegevoegde waarde ten opzichte van een enkel nationale aanpa</w:t>
      </w:r>
      <w:r w:rsidR="001A0FD8">
        <w:rPr>
          <w:rFonts w:ascii="Verdana" w:hAnsi="Verdana"/>
          <w:iCs/>
          <w:sz w:val="18"/>
          <w:szCs w:val="18"/>
        </w:rPr>
        <w:t>k op het vlak van:</w:t>
      </w:r>
      <w:r w:rsidRPr="0088788E" w:rsidR="001A0FD8">
        <w:rPr>
          <w:rFonts w:ascii="Verdana" w:hAnsi="Verdana"/>
          <w:iCs/>
          <w:sz w:val="18"/>
          <w:szCs w:val="18"/>
        </w:rPr>
        <w:t xml:space="preserve"> het – onafhankelijk van lidstaten – monitoren van relevante data</w:t>
      </w:r>
      <w:r w:rsidR="001A0FD8">
        <w:rPr>
          <w:rFonts w:ascii="Verdana" w:hAnsi="Verdana"/>
          <w:iCs/>
          <w:sz w:val="18"/>
          <w:szCs w:val="18"/>
        </w:rPr>
        <w:t xml:space="preserve">; </w:t>
      </w:r>
      <w:r w:rsidRPr="0088788E" w:rsidR="001A0FD8">
        <w:rPr>
          <w:rFonts w:ascii="Verdana" w:hAnsi="Verdana"/>
          <w:iCs/>
          <w:sz w:val="18"/>
          <w:szCs w:val="18"/>
        </w:rPr>
        <w:t>het uitwisselen van effectieve beleidsvoorbeelden</w:t>
      </w:r>
      <w:r w:rsidR="001A0FD8">
        <w:rPr>
          <w:rFonts w:ascii="Verdana" w:hAnsi="Verdana"/>
          <w:iCs/>
          <w:sz w:val="18"/>
          <w:szCs w:val="18"/>
        </w:rPr>
        <w:t xml:space="preserve">; </w:t>
      </w:r>
      <w:r w:rsidRPr="0088788E" w:rsidR="001A0FD8">
        <w:rPr>
          <w:rFonts w:ascii="Verdana" w:hAnsi="Verdana"/>
          <w:iCs/>
          <w:sz w:val="18"/>
          <w:szCs w:val="18"/>
        </w:rPr>
        <w:t xml:space="preserve">het (breed) agenderen van kwesties van de positie en rechten van </w:t>
      </w:r>
      <w:r w:rsidR="001A0FD8">
        <w:rPr>
          <w:rFonts w:ascii="Verdana" w:hAnsi="Verdana"/>
          <w:iCs/>
          <w:sz w:val="18"/>
          <w:szCs w:val="18"/>
        </w:rPr>
        <w:t>lhbtiq+ personen;</w:t>
      </w:r>
      <w:r w:rsidRPr="0088788E" w:rsidR="001A0FD8">
        <w:rPr>
          <w:rFonts w:ascii="Verdana" w:hAnsi="Verdana"/>
          <w:iCs/>
          <w:sz w:val="18"/>
          <w:szCs w:val="18"/>
        </w:rPr>
        <w:t xml:space="preserve"> en het bewaken van de waarden en normen van de Europese samenleving</w:t>
      </w:r>
      <w:r w:rsidR="001A0FD8">
        <w:rPr>
          <w:rFonts w:ascii="Verdana" w:hAnsi="Verdana"/>
          <w:iCs/>
          <w:sz w:val="18"/>
          <w:szCs w:val="18"/>
        </w:rPr>
        <w:t xml:space="preserve">. </w:t>
      </w:r>
      <w:r w:rsidRPr="0088788E" w:rsidR="001A0FD8">
        <w:rPr>
          <w:rFonts w:ascii="Verdana" w:hAnsi="Verdana"/>
          <w:iCs/>
          <w:sz w:val="18"/>
          <w:szCs w:val="18"/>
        </w:rPr>
        <w:t>Om die redenen is optreden op het niveau van de EU gerechtvaardigd.</w:t>
      </w:r>
    </w:p>
    <w:p w:rsidR="00FA4979" w:rsidP="00FA4979" w:rsidRDefault="00FA4979" w14:paraId="4F72F832" w14:textId="77777777">
      <w:pPr>
        <w:numPr>
          <w:ilvl w:val="0"/>
          <w:numId w:val="4"/>
        </w:numPr>
        <w:spacing w:after="0" w:line="360" w:lineRule="auto"/>
        <w:rPr>
          <w:rFonts w:ascii="Verdana" w:hAnsi="Verdana"/>
          <w:i/>
          <w:sz w:val="18"/>
          <w:szCs w:val="18"/>
        </w:rPr>
      </w:pPr>
      <w:r w:rsidRPr="005A1338">
        <w:rPr>
          <w:rFonts w:ascii="Verdana" w:hAnsi="Verdana"/>
          <w:i/>
          <w:sz w:val="18"/>
          <w:szCs w:val="18"/>
        </w:rPr>
        <w:t>Proportionaliteit</w:t>
      </w:r>
    </w:p>
    <w:p w:rsidRPr="00FE21A6" w:rsidR="000D05DB" w:rsidP="00FE21A6" w:rsidRDefault="00647256" w14:paraId="1C2C721F" w14:textId="39D05963">
      <w:pPr>
        <w:spacing w:line="360" w:lineRule="auto"/>
        <w:rPr>
          <w:rFonts w:ascii="Verdana" w:hAnsi="Verdana"/>
          <w:iCs/>
          <w:sz w:val="18"/>
          <w:szCs w:val="18"/>
        </w:rPr>
      </w:pPr>
      <w:r w:rsidRPr="00647256">
        <w:rPr>
          <w:rFonts w:ascii="Verdana" w:hAnsi="Verdana"/>
          <w:iCs/>
          <w:sz w:val="18"/>
          <w:szCs w:val="18"/>
        </w:rPr>
        <w:t>De grondhouding van het kabinet</w:t>
      </w:r>
      <w:r w:rsidR="001A0FD8">
        <w:rPr>
          <w:rFonts w:ascii="Verdana" w:hAnsi="Verdana"/>
          <w:iCs/>
          <w:sz w:val="18"/>
          <w:szCs w:val="18"/>
        </w:rPr>
        <w:t xml:space="preserve"> ten aanzien van de proportionaliteit</w:t>
      </w:r>
      <w:r w:rsidRPr="00647256">
        <w:rPr>
          <w:rFonts w:ascii="Verdana" w:hAnsi="Verdana"/>
          <w:iCs/>
          <w:sz w:val="18"/>
          <w:szCs w:val="18"/>
        </w:rPr>
        <w:t xml:space="preserve"> is positief. De </w:t>
      </w:r>
      <w:r>
        <w:rPr>
          <w:rFonts w:ascii="Verdana" w:hAnsi="Verdana"/>
          <w:iCs/>
          <w:sz w:val="18"/>
          <w:szCs w:val="18"/>
        </w:rPr>
        <w:t xml:space="preserve">mededeling </w:t>
      </w:r>
      <w:r w:rsidRPr="00647256">
        <w:rPr>
          <w:rFonts w:ascii="Verdana" w:hAnsi="Verdana"/>
          <w:iCs/>
          <w:sz w:val="18"/>
          <w:szCs w:val="18"/>
        </w:rPr>
        <w:t xml:space="preserve">heeft tot doel </w:t>
      </w:r>
      <w:r w:rsidRPr="00A442A4">
        <w:rPr>
          <w:rFonts w:ascii="Verdana" w:hAnsi="Verdana"/>
          <w:iCs/>
          <w:sz w:val="18"/>
          <w:szCs w:val="18"/>
        </w:rPr>
        <w:t xml:space="preserve">om bij te dragen </w:t>
      </w:r>
      <w:r w:rsidR="00070472">
        <w:rPr>
          <w:rFonts w:ascii="Verdana" w:hAnsi="Verdana"/>
          <w:iCs/>
          <w:sz w:val="18"/>
          <w:szCs w:val="18"/>
        </w:rPr>
        <w:t xml:space="preserve">aan </w:t>
      </w:r>
      <w:r w:rsidRPr="00A442A4">
        <w:rPr>
          <w:rFonts w:ascii="Verdana" w:hAnsi="Verdana"/>
          <w:iCs/>
          <w:sz w:val="18"/>
          <w:szCs w:val="18"/>
        </w:rPr>
        <w:t xml:space="preserve">de totstandkoming van een EU waarin diversiteit wordt gevierd als onderdeel van onze collectieve rijkdom, waar iedereen zichzelf kan zijn zonder risico op discriminatie, </w:t>
      </w:r>
      <w:r w:rsidR="000D05DB">
        <w:rPr>
          <w:rFonts w:ascii="Verdana" w:hAnsi="Verdana"/>
          <w:iCs/>
          <w:sz w:val="18"/>
          <w:szCs w:val="18"/>
        </w:rPr>
        <w:t xml:space="preserve">haat, </w:t>
      </w:r>
      <w:r w:rsidRPr="00A442A4">
        <w:rPr>
          <w:rFonts w:ascii="Verdana" w:hAnsi="Verdana"/>
          <w:iCs/>
          <w:sz w:val="18"/>
          <w:szCs w:val="18"/>
        </w:rPr>
        <w:t>uitsluiting of geweld</w:t>
      </w:r>
      <w:r w:rsidRPr="00647256">
        <w:rPr>
          <w:rFonts w:ascii="Verdana" w:hAnsi="Verdana"/>
          <w:iCs/>
          <w:sz w:val="18"/>
          <w:szCs w:val="18"/>
        </w:rPr>
        <w:t xml:space="preserve">. </w:t>
      </w:r>
      <w:r w:rsidR="000D05DB">
        <w:rPr>
          <w:rFonts w:ascii="Verdana" w:hAnsi="Verdana"/>
          <w:iCs/>
          <w:sz w:val="18"/>
          <w:szCs w:val="18"/>
        </w:rPr>
        <w:t>I</w:t>
      </w:r>
      <w:r w:rsidRPr="004E64E9" w:rsidR="000D05DB">
        <w:rPr>
          <w:rFonts w:ascii="Verdana" w:hAnsi="Verdana"/>
          <w:iCs/>
          <w:sz w:val="18"/>
          <w:szCs w:val="18"/>
        </w:rPr>
        <w:t xml:space="preserve">n de strategie geeft de Commissie aan over welke onderwerpen zij wetgevingsvoorstellen en andere beleidsinitiatieven zal ontwikkelen. Het kabinet deelt de visie van de Commissie </w:t>
      </w:r>
      <w:r w:rsidR="000D05DB">
        <w:rPr>
          <w:rFonts w:ascii="Verdana" w:hAnsi="Verdana"/>
          <w:iCs/>
          <w:sz w:val="18"/>
          <w:szCs w:val="18"/>
        </w:rPr>
        <w:t>en vindt het voorgestelde optreden geschikt om de doelstellingen te bereiken</w:t>
      </w:r>
      <w:r w:rsidRPr="004E64E9" w:rsidR="000D05DB">
        <w:rPr>
          <w:rFonts w:ascii="Verdana" w:hAnsi="Verdana"/>
          <w:iCs/>
          <w:sz w:val="18"/>
          <w:szCs w:val="18"/>
        </w:rPr>
        <w:t>.</w:t>
      </w:r>
      <w:r w:rsidR="003D0CC2">
        <w:rPr>
          <w:rFonts w:ascii="Verdana" w:hAnsi="Verdana" w:eastAsia="Verdana" w:cs="Verdana"/>
          <w:sz w:val="18"/>
          <w:szCs w:val="18"/>
        </w:rPr>
        <w:t xml:space="preserve"> </w:t>
      </w:r>
      <w:r w:rsidR="000D05DB">
        <w:rPr>
          <w:rFonts w:ascii="Verdana" w:hAnsi="Verdana"/>
          <w:iCs/>
          <w:sz w:val="18"/>
          <w:szCs w:val="18"/>
        </w:rPr>
        <w:t>Op</w:t>
      </w:r>
      <w:r w:rsidRPr="005274D4" w:rsidR="000D05DB">
        <w:rPr>
          <w:rFonts w:ascii="Verdana" w:hAnsi="Verdana"/>
          <w:iCs/>
          <w:sz w:val="18"/>
          <w:szCs w:val="18"/>
        </w:rPr>
        <w:t xml:space="preserve"> basis van de informatie</w:t>
      </w:r>
      <w:r w:rsidR="000D05DB">
        <w:rPr>
          <w:rFonts w:ascii="Verdana" w:hAnsi="Verdana"/>
          <w:iCs/>
          <w:sz w:val="18"/>
          <w:szCs w:val="18"/>
        </w:rPr>
        <w:t xml:space="preserve"> in deze mededeling</w:t>
      </w:r>
      <w:r w:rsidRPr="005274D4" w:rsidR="000D05DB">
        <w:rPr>
          <w:rFonts w:ascii="Verdana" w:hAnsi="Verdana"/>
          <w:iCs/>
          <w:sz w:val="18"/>
          <w:szCs w:val="18"/>
        </w:rPr>
        <w:t>,</w:t>
      </w:r>
      <w:r w:rsidRPr="00647256" w:rsidR="000D05DB">
        <w:rPr>
          <w:rFonts w:ascii="Verdana" w:hAnsi="Verdana"/>
          <w:iCs/>
          <w:sz w:val="18"/>
          <w:szCs w:val="18"/>
        </w:rPr>
        <w:t xml:space="preserve"> </w:t>
      </w:r>
      <w:r w:rsidR="000D05DB">
        <w:rPr>
          <w:rFonts w:ascii="Verdana" w:hAnsi="Verdana"/>
          <w:iCs/>
          <w:sz w:val="18"/>
          <w:szCs w:val="18"/>
        </w:rPr>
        <w:t>vindt het kabinet dat</w:t>
      </w:r>
      <w:r w:rsidRPr="00647256" w:rsidR="000D05DB">
        <w:rPr>
          <w:rFonts w:ascii="Verdana" w:hAnsi="Verdana"/>
          <w:iCs/>
          <w:sz w:val="18"/>
          <w:szCs w:val="18"/>
        </w:rPr>
        <w:t xml:space="preserve"> </w:t>
      </w:r>
      <w:r w:rsidRPr="005274D4" w:rsidR="000D05DB">
        <w:rPr>
          <w:rFonts w:ascii="Verdana" w:hAnsi="Verdana"/>
          <w:iCs/>
          <w:sz w:val="18"/>
          <w:szCs w:val="18"/>
        </w:rPr>
        <w:t xml:space="preserve">de </w:t>
      </w:r>
      <w:r w:rsidR="000D05DB">
        <w:rPr>
          <w:rFonts w:ascii="Verdana" w:hAnsi="Verdana"/>
          <w:iCs/>
          <w:sz w:val="18"/>
          <w:szCs w:val="18"/>
        </w:rPr>
        <w:t xml:space="preserve">aangekondigde </w:t>
      </w:r>
      <w:r w:rsidRPr="005274D4" w:rsidR="000D05DB">
        <w:rPr>
          <w:rFonts w:ascii="Verdana" w:hAnsi="Verdana"/>
          <w:iCs/>
          <w:sz w:val="18"/>
          <w:szCs w:val="18"/>
        </w:rPr>
        <w:t>voorstellen en initiatieven</w:t>
      </w:r>
      <w:r w:rsidRPr="00647256" w:rsidDel="005274D4" w:rsidR="000D05DB">
        <w:rPr>
          <w:rFonts w:ascii="Verdana" w:hAnsi="Verdana"/>
          <w:iCs/>
          <w:sz w:val="18"/>
          <w:szCs w:val="18"/>
        </w:rPr>
        <w:t xml:space="preserve"> </w:t>
      </w:r>
      <w:r w:rsidRPr="00647256" w:rsidR="000D05DB">
        <w:rPr>
          <w:rFonts w:ascii="Verdana" w:hAnsi="Verdana"/>
          <w:iCs/>
          <w:sz w:val="18"/>
          <w:szCs w:val="18"/>
        </w:rPr>
        <w:t>niet verder</w:t>
      </w:r>
      <w:r w:rsidR="000D05DB">
        <w:rPr>
          <w:rFonts w:ascii="Verdana" w:hAnsi="Verdana"/>
          <w:iCs/>
          <w:sz w:val="18"/>
          <w:szCs w:val="18"/>
        </w:rPr>
        <w:t xml:space="preserve"> gaan</w:t>
      </w:r>
      <w:r w:rsidRPr="00647256" w:rsidR="000D05DB">
        <w:rPr>
          <w:rFonts w:ascii="Verdana" w:hAnsi="Verdana"/>
          <w:iCs/>
          <w:sz w:val="18"/>
          <w:szCs w:val="18"/>
        </w:rPr>
        <w:t xml:space="preserve"> dan noodzakelijk, omdat</w:t>
      </w:r>
      <w:r w:rsidR="000D05DB">
        <w:rPr>
          <w:rFonts w:ascii="Verdana" w:hAnsi="Verdana"/>
          <w:iCs/>
          <w:sz w:val="18"/>
          <w:szCs w:val="18"/>
        </w:rPr>
        <w:t xml:space="preserve"> het zich alleen richt op de </w:t>
      </w:r>
      <w:r w:rsidRPr="00647256" w:rsidR="000D05DB">
        <w:rPr>
          <w:rFonts w:ascii="Verdana" w:hAnsi="Verdana"/>
          <w:iCs/>
          <w:sz w:val="18"/>
          <w:szCs w:val="18"/>
        </w:rPr>
        <w:t xml:space="preserve">terreinen waar </w:t>
      </w:r>
      <w:r w:rsidR="000D05DB">
        <w:rPr>
          <w:rFonts w:ascii="Verdana" w:hAnsi="Verdana"/>
          <w:iCs/>
          <w:sz w:val="18"/>
          <w:szCs w:val="18"/>
        </w:rPr>
        <w:t xml:space="preserve">optreden door </w:t>
      </w:r>
      <w:r w:rsidRPr="00647256" w:rsidR="000D05DB">
        <w:rPr>
          <w:rFonts w:ascii="Verdana" w:hAnsi="Verdana"/>
          <w:iCs/>
          <w:sz w:val="18"/>
          <w:szCs w:val="18"/>
        </w:rPr>
        <w:t xml:space="preserve">de EU </w:t>
      </w:r>
      <w:r w:rsidR="000D05DB">
        <w:rPr>
          <w:rFonts w:ascii="Verdana" w:hAnsi="Verdana"/>
          <w:iCs/>
          <w:sz w:val="18"/>
          <w:szCs w:val="18"/>
        </w:rPr>
        <w:t xml:space="preserve">de </w:t>
      </w:r>
      <w:r w:rsidRPr="00647256" w:rsidR="000D05DB">
        <w:rPr>
          <w:rFonts w:ascii="Verdana" w:hAnsi="Verdana"/>
          <w:iCs/>
          <w:sz w:val="18"/>
          <w:szCs w:val="18"/>
        </w:rPr>
        <w:t>grootste meerwaarde kan hebben</w:t>
      </w:r>
      <w:r w:rsidR="000D05DB">
        <w:rPr>
          <w:rFonts w:ascii="Verdana" w:hAnsi="Verdana"/>
          <w:iCs/>
          <w:sz w:val="18"/>
          <w:szCs w:val="18"/>
        </w:rPr>
        <w:t xml:space="preserve"> en waar</w:t>
      </w:r>
      <w:r w:rsidRPr="00647256" w:rsidR="000D05DB">
        <w:rPr>
          <w:rFonts w:ascii="Verdana" w:hAnsi="Verdana"/>
          <w:iCs/>
          <w:sz w:val="18"/>
          <w:szCs w:val="18"/>
        </w:rPr>
        <w:t xml:space="preserve"> </w:t>
      </w:r>
      <w:r w:rsidR="000D05DB">
        <w:rPr>
          <w:rFonts w:ascii="Verdana" w:hAnsi="Verdana"/>
          <w:iCs/>
          <w:sz w:val="18"/>
          <w:szCs w:val="18"/>
        </w:rPr>
        <w:t xml:space="preserve">EU-optreden nodig is om de waarden van de EU te beschermen. </w:t>
      </w:r>
      <w:r w:rsidRPr="002F31F9" w:rsidR="000D05DB">
        <w:rPr>
          <w:rFonts w:ascii="Verdana" w:hAnsi="Verdana"/>
          <w:iCs/>
          <w:sz w:val="18"/>
          <w:szCs w:val="18"/>
        </w:rPr>
        <w:t xml:space="preserve">Ook </w:t>
      </w:r>
      <w:r w:rsidR="000D05DB">
        <w:rPr>
          <w:rFonts w:ascii="Verdana" w:hAnsi="Verdana"/>
          <w:iCs/>
          <w:sz w:val="18"/>
          <w:szCs w:val="18"/>
        </w:rPr>
        <w:t>wordt</w:t>
      </w:r>
      <w:r w:rsidRPr="002F31F9" w:rsidR="000D05DB">
        <w:rPr>
          <w:rFonts w:ascii="Verdana" w:hAnsi="Verdana"/>
          <w:iCs/>
          <w:sz w:val="18"/>
          <w:szCs w:val="18"/>
        </w:rPr>
        <w:t xml:space="preserve"> ruimte aan de lidstaten </w:t>
      </w:r>
      <w:r w:rsidR="000D05DB">
        <w:rPr>
          <w:rFonts w:ascii="Verdana" w:hAnsi="Verdana"/>
          <w:iCs/>
          <w:sz w:val="18"/>
          <w:szCs w:val="18"/>
        </w:rPr>
        <w:t xml:space="preserve">gelaten </w:t>
      </w:r>
      <w:r w:rsidRPr="002F31F9" w:rsidR="000D05DB">
        <w:rPr>
          <w:rFonts w:ascii="Verdana" w:hAnsi="Verdana"/>
          <w:iCs/>
          <w:sz w:val="18"/>
          <w:szCs w:val="18"/>
        </w:rPr>
        <w:t>om eigen nationale initiatieven te ontplooien.</w:t>
      </w:r>
    </w:p>
    <w:p w:rsidR="00FA4979" w:rsidP="00FA4979" w:rsidRDefault="00FA4979" w14:paraId="08A86538" w14:textId="77777777">
      <w:pPr>
        <w:numPr>
          <w:ilvl w:val="0"/>
          <w:numId w:val="4"/>
        </w:numPr>
        <w:spacing w:after="0" w:line="360" w:lineRule="auto"/>
        <w:rPr>
          <w:rFonts w:ascii="Verdana" w:hAnsi="Verdana"/>
          <w:i/>
          <w:sz w:val="18"/>
          <w:szCs w:val="18"/>
        </w:rPr>
      </w:pPr>
      <w:r w:rsidRPr="005A1338">
        <w:rPr>
          <w:rFonts w:ascii="Verdana" w:hAnsi="Verdana"/>
          <w:i/>
          <w:sz w:val="18"/>
          <w:szCs w:val="18"/>
        </w:rPr>
        <w:t>Financiële gevolgen</w:t>
      </w:r>
    </w:p>
    <w:p w:rsidR="005434E4" w:rsidP="005434E4" w:rsidRDefault="000A6BAD" w14:paraId="2E22B3C0" w14:textId="0306EAF4">
      <w:pPr>
        <w:pStyle w:val="PlainText"/>
        <w:spacing w:line="360" w:lineRule="auto"/>
        <w:rPr>
          <w:rFonts w:ascii="Verdana" w:hAnsi="Verdana"/>
          <w:iCs/>
          <w:sz w:val="18"/>
          <w:szCs w:val="18"/>
        </w:rPr>
      </w:pPr>
      <w:r w:rsidRPr="000A6BAD">
        <w:rPr>
          <w:rFonts w:ascii="Verdana" w:hAnsi="Verdana"/>
          <w:iCs/>
          <w:sz w:val="18"/>
          <w:szCs w:val="18"/>
        </w:rPr>
        <w:t xml:space="preserve">Vooralsnog geeft de Commissie aan dat de investeringen vooral zullen komen uit </w:t>
      </w:r>
      <w:r>
        <w:rPr>
          <w:rFonts w:ascii="Verdana" w:hAnsi="Verdana"/>
          <w:iCs/>
          <w:sz w:val="18"/>
          <w:szCs w:val="18"/>
        </w:rPr>
        <w:t xml:space="preserve">het huidige CERV-programma </w:t>
      </w:r>
      <w:r w:rsidR="00641A27">
        <w:rPr>
          <w:rFonts w:ascii="Verdana" w:hAnsi="Verdana"/>
          <w:iCs/>
          <w:sz w:val="18"/>
          <w:szCs w:val="18"/>
        </w:rPr>
        <w:t xml:space="preserve">en daarnaast uit </w:t>
      </w:r>
      <w:r w:rsidRPr="00641A27" w:rsidR="00641A27">
        <w:rPr>
          <w:rFonts w:ascii="Verdana" w:hAnsi="Verdana"/>
          <w:iCs/>
          <w:sz w:val="18"/>
          <w:szCs w:val="18"/>
        </w:rPr>
        <w:t xml:space="preserve">het </w:t>
      </w:r>
      <w:r w:rsidR="00641A27">
        <w:rPr>
          <w:rFonts w:ascii="Verdana" w:hAnsi="Verdana"/>
          <w:iCs/>
          <w:sz w:val="18"/>
          <w:szCs w:val="18"/>
        </w:rPr>
        <w:t xml:space="preserve">fonds voor Asiel en Migratie (AMF), het </w:t>
      </w:r>
      <w:r w:rsidRPr="00641A27" w:rsidR="00641A27">
        <w:rPr>
          <w:rFonts w:ascii="Verdana" w:hAnsi="Verdana"/>
          <w:iCs/>
          <w:sz w:val="18"/>
          <w:szCs w:val="18"/>
        </w:rPr>
        <w:t>instrument voor nabuurschapsbeleid, ontwikkeling en internationale samenwerking (NDICI)</w:t>
      </w:r>
      <w:r w:rsidR="00641A27">
        <w:rPr>
          <w:rFonts w:ascii="Verdana" w:hAnsi="Verdana"/>
          <w:iCs/>
          <w:sz w:val="18"/>
          <w:szCs w:val="18"/>
        </w:rPr>
        <w:t xml:space="preserve"> en het instrument voor pretoetredingssteun (IPA). </w:t>
      </w:r>
      <w:r w:rsidRPr="000A6BAD">
        <w:rPr>
          <w:rFonts w:ascii="Verdana" w:hAnsi="Verdana"/>
          <w:iCs/>
          <w:sz w:val="18"/>
          <w:szCs w:val="18"/>
        </w:rPr>
        <w:t xml:space="preserve">In het kader van het volgende meerjarig financieel kader (MFK) zal financiering worden verstrekt </w:t>
      </w:r>
      <w:r>
        <w:rPr>
          <w:rFonts w:ascii="Verdana" w:hAnsi="Verdana"/>
          <w:iCs/>
          <w:sz w:val="18"/>
          <w:szCs w:val="18"/>
        </w:rPr>
        <w:t xml:space="preserve">uit </w:t>
      </w:r>
      <w:r w:rsidRPr="000A6BAD">
        <w:rPr>
          <w:rFonts w:ascii="Verdana" w:hAnsi="Verdana"/>
          <w:iCs/>
          <w:sz w:val="18"/>
          <w:szCs w:val="18"/>
        </w:rPr>
        <w:t>het</w:t>
      </w:r>
      <w:r w:rsidR="00641A27">
        <w:rPr>
          <w:rFonts w:ascii="Verdana" w:hAnsi="Verdana"/>
          <w:iCs/>
          <w:sz w:val="18"/>
          <w:szCs w:val="18"/>
        </w:rPr>
        <w:t xml:space="preserve"> voorgestelde</w:t>
      </w:r>
      <w:r w:rsidRPr="000A6BAD">
        <w:rPr>
          <w:rFonts w:ascii="Verdana" w:hAnsi="Verdana"/>
          <w:iCs/>
          <w:sz w:val="18"/>
          <w:szCs w:val="18"/>
        </w:rPr>
        <w:t xml:space="preserve"> </w:t>
      </w:r>
      <w:r w:rsidRPr="00947D71" w:rsidR="00641A27">
        <w:rPr>
          <w:rFonts w:ascii="Verdana" w:hAnsi="Verdana"/>
          <w:i/>
          <w:sz w:val="18"/>
          <w:szCs w:val="18"/>
        </w:rPr>
        <w:t>Global Europe</w:t>
      </w:r>
      <w:r w:rsidRPr="00641A27" w:rsidR="00641A27">
        <w:rPr>
          <w:rFonts w:ascii="Verdana" w:hAnsi="Verdana"/>
          <w:iCs/>
          <w:sz w:val="18"/>
          <w:szCs w:val="18"/>
        </w:rPr>
        <w:t xml:space="preserve"> Instrument</w:t>
      </w:r>
      <w:r w:rsidR="00641A27">
        <w:rPr>
          <w:rFonts w:ascii="Verdana" w:hAnsi="Verdana"/>
          <w:iCs/>
          <w:sz w:val="18"/>
          <w:szCs w:val="18"/>
        </w:rPr>
        <w:t xml:space="preserve"> en het </w:t>
      </w:r>
      <w:r w:rsidRPr="000A6BAD">
        <w:rPr>
          <w:rFonts w:ascii="Verdana" w:hAnsi="Verdana"/>
          <w:iCs/>
          <w:sz w:val="18"/>
          <w:szCs w:val="18"/>
        </w:rPr>
        <w:t>CERV+-</w:t>
      </w:r>
      <w:r w:rsidRPr="000A6BAD">
        <w:rPr>
          <w:rFonts w:ascii="Verdana" w:hAnsi="Verdana"/>
          <w:iCs/>
          <w:sz w:val="18"/>
          <w:szCs w:val="18"/>
        </w:rPr>
        <w:lastRenderedPageBreak/>
        <w:t>onderdeel van het</w:t>
      </w:r>
      <w:r>
        <w:rPr>
          <w:rFonts w:ascii="Verdana" w:hAnsi="Verdana"/>
          <w:iCs/>
          <w:sz w:val="18"/>
          <w:szCs w:val="18"/>
        </w:rPr>
        <w:t xml:space="preserve"> voorgestelde</w:t>
      </w:r>
      <w:r w:rsidRPr="000A6BAD">
        <w:rPr>
          <w:rFonts w:ascii="Verdana" w:hAnsi="Verdana"/>
          <w:iCs/>
          <w:sz w:val="18"/>
          <w:szCs w:val="18"/>
        </w:rPr>
        <w:t xml:space="preserve"> </w:t>
      </w:r>
      <w:proofErr w:type="spellStart"/>
      <w:r w:rsidRPr="000A6BAD">
        <w:rPr>
          <w:rFonts w:ascii="Verdana" w:hAnsi="Verdana"/>
          <w:iCs/>
          <w:sz w:val="18"/>
          <w:szCs w:val="18"/>
        </w:rPr>
        <w:t>AgoraEU</w:t>
      </w:r>
      <w:proofErr w:type="spellEnd"/>
      <w:r w:rsidRPr="000A6BAD">
        <w:rPr>
          <w:rFonts w:ascii="Verdana" w:hAnsi="Verdana"/>
          <w:iCs/>
          <w:sz w:val="18"/>
          <w:szCs w:val="18"/>
        </w:rPr>
        <w:t xml:space="preserve">-programma, dat </w:t>
      </w:r>
      <w:r>
        <w:rPr>
          <w:rFonts w:ascii="Verdana" w:hAnsi="Verdana"/>
          <w:iCs/>
          <w:sz w:val="18"/>
          <w:szCs w:val="18"/>
        </w:rPr>
        <w:t xml:space="preserve">middelen zal </w:t>
      </w:r>
      <w:r w:rsidRPr="000A6BAD">
        <w:rPr>
          <w:rFonts w:ascii="Verdana" w:hAnsi="Verdana"/>
          <w:iCs/>
          <w:sz w:val="18"/>
          <w:szCs w:val="18"/>
        </w:rPr>
        <w:t>omvatten om gelijkheid en non-discriminatie te handhaven, gender gerelateerd geweld te bestrijden en democratische participatie te bevorderen.</w:t>
      </w:r>
      <w:r>
        <w:rPr>
          <w:rFonts w:ascii="Verdana" w:hAnsi="Verdana"/>
          <w:iCs/>
          <w:sz w:val="18"/>
          <w:szCs w:val="18"/>
        </w:rPr>
        <w:t xml:space="preserve"> </w:t>
      </w:r>
    </w:p>
    <w:p w:rsidR="005434E4" w:rsidP="005434E4" w:rsidRDefault="005434E4" w14:paraId="0ADA4530" w14:textId="77777777">
      <w:pPr>
        <w:pStyle w:val="PlainText"/>
        <w:spacing w:line="360" w:lineRule="auto"/>
        <w:rPr>
          <w:rFonts w:ascii="Verdana" w:hAnsi="Verdana"/>
          <w:iCs/>
          <w:sz w:val="18"/>
          <w:szCs w:val="18"/>
        </w:rPr>
      </w:pPr>
    </w:p>
    <w:p w:rsidR="005434E4" w:rsidP="005434E4" w:rsidRDefault="005434E4" w14:paraId="4E52C665" w14:textId="0F1CDC67">
      <w:pPr>
        <w:pStyle w:val="PlainText"/>
        <w:spacing w:line="360" w:lineRule="auto"/>
        <w:rPr>
          <w:rFonts w:ascii="Verdana" w:hAnsi="Verdana"/>
          <w:sz w:val="18"/>
          <w:szCs w:val="18"/>
        </w:rPr>
      </w:pPr>
      <w:r w:rsidRPr="00C53116">
        <w:rPr>
          <w:rFonts w:ascii="Verdana" w:hAnsi="Verdana"/>
          <w:sz w:val="18"/>
          <w:szCs w:val="18"/>
        </w:rPr>
        <w:t>Nederland is van mening dat de benodigde EU-middelen gevonden dienen te worden binnen de in de Raad afgesproken financiële kaders van de EU-begroting 20</w:t>
      </w:r>
      <w:r>
        <w:rPr>
          <w:rFonts w:ascii="Verdana" w:hAnsi="Verdana"/>
          <w:sz w:val="18"/>
          <w:szCs w:val="18"/>
        </w:rPr>
        <w:t>21</w:t>
      </w:r>
      <w:r w:rsidRPr="00C53116">
        <w:rPr>
          <w:rFonts w:ascii="Verdana" w:hAnsi="Verdana"/>
          <w:sz w:val="18"/>
          <w:szCs w:val="18"/>
        </w:rPr>
        <w:t>-202</w:t>
      </w:r>
      <w:r>
        <w:rPr>
          <w:rFonts w:ascii="Verdana" w:hAnsi="Verdana"/>
          <w:sz w:val="18"/>
          <w:szCs w:val="18"/>
        </w:rPr>
        <w:t>7</w:t>
      </w:r>
      <w:r w:rsidRPr="00C53116">
        <w:rPr>
          <w:rFonts w:ascii="Verdana" w:hAnsi="Verdana"/>
          <w:sz w:val="18"/>
          <w:szCs w:val="18"/>
        </w:rPr>
        <w:t xml:space="preserve"> en dat deze moeten passen bij een prudente ontwikkeling van de jaarbegroting.</w:t>
      </w:r>
      <w:r>
        <w:rPr>
          <w:rFonts w:ascii="Verdana" w:hAnsi="Verdana"/>
          <w:sz w:val="18"/>
          <w:szCs w:val="18"/>
        </w:rPr>
        <w:t xml:space="preserve"> </w:t>
      </w:r>
      <w:r w:rsidRPr="00E479C5">
        <w:rPr>
          <w:rFonts w:ascii="Verdana" w:hAnsi="Verdana"/>
          <w:sz w:val="18"/>
          <w:szCs w:val="18"/>
        </w:rPr>
        <w:t>Het kabinet wil niet vooruit lopen op de integrale afweging van middelen na 2027</w:t>
      </w:r>
      <w:r>
        <w:rPr>
          <w:rFonts w:ascii="Verdana" w:hAnsi="Verdana"/>
          <w:sz w:val="18"/>
          <w:szCs w:val="18"/>
        </w:rPr>
        <w:t xml:space="preserve">. </w:t>
      </w:r>
      <w:r w:rsidRPr="00C53116">
        <w:rPr>
          <w:rFonts w:ascii="Verdana" w:hAnsi="Verdana"/>
          <w:sz w:val="18"/>
          <w:szCs w:val="18"/>
        </w:rPr>
        <w:t>Eventuele budgettaire gevolgen worden ingepast op de begroting van het beleidsverantwoordelijke departement, conform de regels van de budgetdiscipline.</w:t>
      </w:r>
    </w:p>
    <w:p w:rsidRPr="005A1338" w:rsidR="000A6BAD" w:rsidP="000A6BAD" w:rsidRDefault="000A6BAD" w14:paraId="55C3A64C" w14:textId="77777777">
      <w:pPr>
        <w:spacing w:after="0" w:line="360" w:lineRule="auto"/>
        <w:rPr>
          <w:rFonts w:ascii="Verdana" w:hAnsi="Verdana"/>
          <w:i/>
          <w:sz w:val="18"/>
          <w:szCs w:val="18"/>
        </w:rPr>
      </w:pPr>
    </w:p>
    <w:p w:rsidRPr="005A1338" w:rsidR="00FA4979" w:rsidP="00FA4979" w:rsidRDefault="00FA4979" w14:paraId="3F3FBAA9" w14:textId="77777777">
      <w:pPr>
        <w:numPr>
          <w:ilvl w:val="0"/>
          <w:numId w:val="4"/>
        </w:numPr>
        <w:spacing w:after="0" w:line="360" w:lineRule="auto"/>
        <w:rPr>
          <w:rFonts w:ascii="Verdana" w:hAnsi="Verdana"/>
          <w:i/>
          <w:sz w:val="18"/>
          <w:szCs w:val="18"/>
        </w:rPr>
      </w:pPr>
      <w:r w:rsidRPr="005A1338">
        <w:rPr>
          <w:rFonts w:ascii="Verdana" w:hAnsi="Verdana"/>
          <w:i/>
          <w:sz w:val="18"/>
          <w:szCs w:val="18"/>
        </w:rPr>
        <w:t>Gevolgen voor regeldruk, concurrentiekracht en geopolitieke aspecten</w:t>
      </w:r>
    </w:p>
    <w:p w:rsidR="007F79CC" w:rsidP="00FA4979" w:rsidRDefault="007F79CC" w14:paraId="08880FBA" w14:textId="6FE89F1B">
      <w:pPr>
        <w:spacing w:line="360" w:lineRule="auto"/>
        <w:rPr>
          <w:rFonts w:ascii="Verdana" w:hAnsi="Verdana"/>
          <w:sz w:val="18"/>
          <w:szCs w:val="18"/>
        </w:rPr>
      </w:pPr>
      <w:r w:rsidRPr="007F79CC">
        <w:rPr>
          <w:rFonts w:ascii="Verdana" w:hAnsi="Verdana"/>
          <w:sz w:val="18"/>
          <w:szCs w:val="18"/>
        </w:rPr>
        <w:t xml:space="preserve">Op basis van de mededeling is de impact op de regeldruk nu nog niet volledig te overzien en in te schatten. Bij eventuele voorstellen </w:t>
      </w:r>
      <w:r w:rsidR="00D22A5C">
        <w:rPr>
          <w:rFonts w:ascii="Verdana" w:hAnsi="Verdana"/>
          <w:sz w:val="18"/>
          <w:szCs w:val="18"/>
        </w:rPr>
        <w:t xml:space="preserve">die nader invulling geven aan deze mededeling </w:t>
      </w:r>
      <w:r w:rsidRPr="007F79CC">
        <w:rPr>
          <w:rFonts w:ascii="Verdana" w:hAnsi="Verdana"/>
          <w:sz w:val="18"/>
          <w:szCs w:val="18"/>
        </w:rPr>
        <w:t xml:space="preserve">zal </w:t>
      </w:r>
      <w:r w:rsidR="00D22A5C">
        <w:rPr>
          <w:rFonts w:ascii="Verdana" w:hAnsi="Verdana"/>
          <w:sz w:val="18"/>
          <w:szCs w:val="18"/>
        </w:rPr>
        <w:t xml:space="preserve">de regeldruk </w:t>
      </w:r>
      <w:r w:rsidRPr="007F79CC" w:rsidR="00D22A5C">
        <w:rPr>
          <w:rFonts w:ascii="Verdana" w:hAnsi="Verdana"/>
          <w:sz w:val="18"/>
          <w:szCs w:val="18"/>
        </w:rPr>
        <w:t>in kaart worden gebracht</w:t>
      </w:r>
      <w:r w:rsidR="00D22A5C">
        <w:rPr>
          <w:rFonts w:ascii="Verdana" w:hAnsi="Verdana"/>
          <w:sz w:val="18"/>
          <w:szCs w:val="18"/>
        </w:rPr>
        <w:t xml:space="preserve"> en worden meegewogen bij de standpuntbepaling van het kabinet</w:t>
      </w:r>
      <w:r w:rsidRPr="007F79CC">
        <w:rPr>
          <w:rFonts w:ascii="Verdana" w:hAnsi="Verdana"/>
          <w:sz w:val="18"/>
          <w:szCs w:val="18"/>
        </w:rPr>
        <w:t xml:space="preserve">. </w:t>
      </w:r>
      <w:r w:rsidR="00D22A5C">
        <w:rPr>
          <w:rFonts w:ascii="Verdana" w:hAnsi="Verdana"/>
          <w:sz w:val="18"/>
          <w:szCs w:val="18"/>
        </w:rPr>
        <w:t xml:space="preserve">Eén van deze voorstellen zou betrekking kunnen hebben op het formuleren van </w:t>
      </w:r>
      <w:r w:rsidRPr="005434E4">
        <w:rPr>
          <w:rFonts w:ascii="Verdana" w:hAnsi="Verdana"/>
          <w:sz w:val="18"/>
          <w:szCs w:val="18"/>
        </w:rPr>
        <w:t xml:space="preserve">nieuwe indicatoren en </w:t>
      </w:r>
      <w:r w:rsidR="00D22A5C">
        <w:rPr>
          <w:rFonts w:ascii="Verdana" w:hAnsi="Verdana"/>
          <w:sz w:val="18"/>
          <w:szCs w:val="18"/>
        </w:rPr>
        <w:t xml:space="preserve">het verzamelen van </w:t>
      </w:r>
      <w:r w:rsidRPr="005434E4">
        <w:rPr>
          <w:rFonts w:ascii="Verdana" w:hAnsi="Verdana"/>
          <w:sz w:val="18"/>
          <w:szCs w:val="18"/>
        </w:rPr>
        <w:t xml:space="preserve">statistische informatie </w:t>
      </w:r>
      <w:r w:rsidR="00D22A5C">
        <w:rPr>
          <w:rFonts w:ascii="Verdana" w:hAnsi="Verdana"/>
          <w:sz w:val="18"/>
          <w:szCs w:val="18"/>
        </w:rPr>
        <w:t>ten behoeve van een Eurobarometer en LGBTIQ+ survey. Indien op grond hiervan informatie</w:t>
      </w:r>
      <w:r w:rsidRPr="005434E4" w:rsidR="00D22A5C">
        <w:rPr>
          <w:rFonts w:ascii="Verdana" w:hAnsi="Verdana"/>
          <w:sz w:val="18"/>
          <w:szCs w:val="18"/>
        </w:rPr>
        <w:t xml:space="preserve"> </w:t>
      </w:r>
      <w:r w:rsidRPr="005434E4">
        <w:rPr>
          <w:rFonts w:ascii="Verdana" w:hAnsi="Verdana"/>
          <w:sz w:val="18"/>
          <w:szCs w:val="18"/>
        </w:rPr>
        <w:t>verzameld</w:t>
      </w:r>
      <w:r w:rsidR="00D22A5C">
        <w:rPr>
          <w:rFonts w:ascii="Verdana" w:hAnsi="Verdana"/>
          <w:sz w:val="18"/>
          <w:szCs w:val="18"/>
        </w:rPr>
        <w:t xml:space="preserve"> zou</w:t>
      </w:r>
      <w:r w:rsidRPr="005434E4">
        <w:rPr>
          <w:rFonts w:ascii="Verdana" w:hAnsi="Verdana"/>
          <w:sz w:val="18"/>
          <w:szCs w:val="18"/>
        </w:rPr>
        <w:t xml:space="preserve"> moeten worden die niet aansluiten bij de bestaande monitoringskaders, </w:t>
      </w:r>
      <w:r w:rsidR="00D22A5C">
        <w:rPr>
          <w:rFonts w:ascii="Verdana" w:hAnsi="Verdana"/>
          <w:sz w:val="18"/>
          <w:szCs w:val="18"/>
        </w:rPr>
        <w:t xml:space="preserve">kan </w:t>
      </w:r>
      <w:r>
        <w:rPr>
          <w:rFonts w:ascii="Verdana" w:hAnsi="Verdana"/>
          <w:sz w:val="18"/>
          <w:szCs w:val="18"/>
        </w:rPr>
        <w:t xml:space="preserve">de regeldruk toenemen. </w:t>
      </w:r>
    </w:p>
    <w:p w:rsidR="005434E4" w:rsidP="005434E4" w:rsidRDefault="005434E4" w14:paraId="6EB52E2C" w14:textId="330BC37A">
      <w:pPr>
        <w:spacing w:line="360" w:lineRule="auto"/>
        <w:rPr>
          <w:rFonts w:ascii="Verdana" w:hAnsi="Verdana"/>
          <w:sz w:val="18"/>
          <w:szCs w:val="18"/>
        </w:rPr>
      </w:pPr>
      <w:r>
        <w:rPr>
          <w:rFonts w:ascii="Verdana" w:hAnsi="Verdana"/>
          <w:sz w:val="18"/>
          <w:szCs w:val="18"/>
        </w:rPr>
        <w:t xml:space="preserve">De strategie draagt bij aan het EU concurrentievermogen. </w:t>
      </w:r>
      <w:r w:rsidRPr="005434E4">
        <w:rPr>
          <w:rFonts w:ascii="Verdana" w:hAnsi="Verdana"/>
          <w:sz w:val="18"/>
          <w:szCs w:val="18"/>
        </w:rPr>
        <w:t xml:space="preserve">Gelijke kansen voor </w:t>
      </w:r>
      <w:r>
        <w:rPr>
          <w:rFonts w:ascii="Verdana" w:hAnsi="Verdana"/>
          <w:sz w:val="18"/>
          <w:szCs w:val="18"/>
        </w:rPr>
        <w:t xml:space="preserve">lhbtiq+ </w:t>
      </w:r>
      <w:r w:rsidRPr="005434E4">
        <w:rPr>
          <w:rFonts w:ascii="Verdana" w:hAnsi="Verdana"/>
          <w:sz w:val="18"/>
          <w:szCs w:val="18"/>
        </w:rPr>
        <w:t xml:space="preserve">personen versterken de sociale cohesie en diverse samenlevingen bevorderen ondernemerschap en innovatie. </w:t>
      </w:r>
      <w:r>
        <w:rPr>
          <w:rFonts w:ascii="Verdana" w:hAnsi="Verdana"/>
          <w:sz w:val="18"/>
          <w:szCs w:val="18"/>
        </w:rPr>
        <w:t xml:space="preserve">Volgens de strategie </w:t>
      </w:r>
      <w:r w:rsidRPr="005434E4">
        <w:rPr>
          <w:rFonts w:ascii="Verdana" w:hAnsi="Verdana"/>
          <w:sz w:val="18"/>
          <w:szCs w:val="18"/>
        </w:rPr>
        <w:t xml:space="preserve">loopt de EU </w:t>
      </w:r>
      <w:r>
        <w:rPr>
          <w:rFonts w:ascii="Verdana" w:hAnsi="Verdana"/>
          <w:sz w:val="18"/>
          <w:szCs w:val="18"/>
        </w:rPr>
        <w:t xml:space="preserve">momenteel </w:t>
      </w:r>
      <w:r w:rsidRPr="005434E4">
        <w:rPr>
          <w:rFonts w:ascii="Verdana" w:hAnsi="Verdana"/>
          <w:sz w:val="18"/>
          <w:szCs w:val="18"/>
        </w:rPr>
        <w:t xml:space="preserve">jaarlijks tot 89 miljoen euro aan bbp mis als gevolg van discriminatie op grond van seksuele </w:t>
      </w:r>
      <w:r w:rsidR="00EA78E5">
        <w:rPr>
          <w:rFonts w:ascii="Verdana" w:hAnsi="Verdana"/>
          <w:sz w:val="18"/>
          <w:szCs w:val="18"/>
        </w:rPr>
        <w:t>gerichtheid</w:t>
      </w:r>
      <w:r w:rsidRPr="005434E4">
        <w:rPr>
          <w:rFonts w:ascii="Verdana" w:hAnsi="Verdana"/>
          <w:sz w:val="18"/>
          <w:szCs w:val="18"/>
        </w:rPr>
        <w:t xml:space="preserve">. </w:t>
      </w:r>
    </w:p>
    <w:p w:rsidR="005434E4" w:rsidP="00E15ECC" w:rsidRDefault="00A57EB7" w14:paraId="253F7DB3" w14:textId="4FE709E0">
      <w:pPr>
        <w:spacing w:line="360" w:lineRule="auto"/>
        <w:rPr>
          <w:rFonts w:ascii="Verdana" w:hAnsi="Verdana"/>
          <w:sz w:val="18"/>
          <w:szCs w:val="18"/>
        </w:rPr>
      </w:pPr>
      <w:r>
        <w:rPr>
          <w:rFonts w:ascii="Verdana" w:hAnsi="Verdana"/>
          <w:sz w:val="18"/>
          <w:szCs w:val="18"/>
        </w:rPr>
        <w:t xml:space="preserve">De strategie heeft ook geopolitieke gevolgen. </w:t>
      </w:r>
      <w:r w:rsidRPr="00A57EB7">
        <w:rPr>
          <w:rFonts w:ascii="Verdana" w:hAnsi="Verdana"/>
          <w:sz w:val="18"/>
          <w:szCs w:val="18"/>
        </w:rPr>
        <w:t xml:space="preserve">De EU wil haar externe betrekkingen inzetten om </w:t>
      </w:r>
      <w:proofErr w:type="spellStart"/>
      <w:r>
        <w:rPr>
          <w:rFonts w:ascii="Verdana" w:hAnsi="Verdana"/>
          <w:sz w:val="18"/>
          <w:szCs w:val="18"/>
        </w:rPr>
        <w:t>lh</w:t>
      </w:r>
      <w:r w:rsidR="00EA78E5">
        <w:rPr>
          <w:rFonts w:ascii="Verdana" w:hAnsi="Verdana"/>
          <w:sz w:val="18"/>
          <w:szCs w:val="18"/>
        </w:rPr>
        <w:t>b</w:t>
      </w:r>
      <w:r>
        <w:rPr>
          <w:rFonts w:ascii="Verdana" w:hAnsi="Verdana"/>
          <w:sz w:val="18"/>
          <w:szCs w:val="18"/>
        </w:rPr>
        <w:t>tiq</w:t>
      </w:r>
      <w:proofErr w:type="spellEnd"/>
      <w:r>
        <w:rPr>
          <w:rFonts w:ascii="Verdana" w:hAnsi="Verdana"/>
          <w:sz w:val="18"/>
          <w:szCs w:val="18"/>
        </w:rPr>
        <w:t>+</w:t>
      </w:r>
      <w:r w:rsidR="000E7CDB">
        <w:rPr>
          <w:rFonts w:ascii="Verdana" w:hAnsi="Verdana"/>
          <w:sz w:val="18"/>
          <w:szCs w:val="18"/>
        </w:rPr>
        <w:t>-</w:t>
      </w:r>
      <w:r w:rsidRPr="00A57EB7">
        <w:rPr>
          <w:rFonts w:ascii="Verdana" w:hAnsi="Verdana"/>
          <w:sz w:val="18"/>
          <w:szCs w:val="18"/>
        </w:rPr>
        <w:t xml:space="preserve">rechten </w:t>
      </w:r>
      <w:r>
        <w:rPr>
          <w:rFonts w:ascii="Verdana" w:hAnsi="Verdana"/>
          <w:sz w:val="18"/>
          <w:szCs w:val="18"/>
        </w:rPr>
        <w:t xml:space="preserve">wereldwijd </w:t>
      </w:r>
      <w:r w:rsidRPr="00A57EB7">
        <w:rPr>
          <w:rFonts w:ascii="Verdana" w:hAnsi="Verdana"/>
          <w:sz w:val="18"/>
          <w:szCs w:val="18"/>
        </w:rPr>
        <w:t xml:space="preserve">te bevorderen. </w:t>
      </w:r>
      <w:r>
        <w:rPr>
          <w:rFonts w:ascii="Verdana" w:hAnsi="Verdana"/>
          <w:sz w:val="18"/>
          <w:szCs w:val="18"/>
        </w:rPr>
        <w:t>Op multilateraal niveau zal de EU werken aan allianties om gelijkheid te bevorderen in de VN, OESO en de Raad</w:t>
      </w:r>
      <w:r w:rsidR="00786CCE">
        <w:rPr>
          <w:rFonts w:ascii="Verdana" w:hAnsi="Verdana"/>
          <w:sz w:val="18"/>
          <w:szCs w:val="18"/>
        </w:rPr>
        <w:t xml:space="preserve"> van Europa</w:t>
      </w:r>
      <w:r>
        <w:rPr>
          <w:rFonts w:ascii="Verdana" w:hAnsi="Verdana"/>
          <w:sz w:val="18"/>
          <w:szCs w:val="18"/>
        </w:rPr>
        <w:t xml:space="preserve">. </w:t>
      </w:r>
      <w:r w:rsidR="00E15ECC">
        <w:rPr>
          <w:rFonts w:ascii="Verdana" w:hAnsi="Verdana"/>
          <w:sz w:val="18"/>
          <w:szCs w:val="18"/>
        </w:rPr>
        <w:t>Ook o</w:t>
      </w:r>
      <w:r w:rsidRPr="00E15ECC" w:rsidR="00E15ECC">
        <w:rPr>
          <w:rFonts w:ascii="Verdana" w:hAnsi="Verdana"/>
          <w:sz w:val="18"/>
          <w:szCs w:val="18"/>
        </w:rPr>
        <w:t xml:space="preserve">p bilateraal niveau zal de EU haar inspanningen opvoeren </w:t>
      </w:r>
      <w:r w:rsidR="00CD2C56">
        <w:rPr>
          <w:rFonts w:ascii="Verdana" w:hAnsi="Verdana"/>
          <w:sz w:val="18"/>
          <w:szCs w:val="18"/>
        </w:rPr>
        <w:t xml:space="preserve">om </w:t>
      </w:r>
      <w:r w:rsidRPr="00E15ECC" w:rsidR="00E15ECC">
        <w:rPr>
          <w:rFonts w:ascii="Verdana" w:hAnsi="Verdana"/>
          <w:sz w:val="18"/>
          <w:szCs w:val="18"/>
        </w:rPr>
        <w:t xml:space="preserve">vormen van discriminatie te bestrijden, met inbegrip van discriminatie op grond van seksuele </w:t>
      </w:r>
      <w:r w:rsidR="00AC79D7">
        <w:rPr>
          <w:rFonts w:ascii="Verdana" w:hAnsi="Verdana"/>
          <w:sz w:val="18"/>
          <w:szCs w:val="18"/>
        </w:rPr>
        <w:t>gerichtheid</w:t>
      </w:r>
      <w:r w:rsidRPr="00E15ECC" w:rsidR="00E15ECC">
        <w:rPr>
          <w:rFonts w:ascii="Verdana" w:hAnsi="Verdana"/>
          <w:sz w:val="18"/>
          <w:szCs w:val="18"/>
        </w:rPr>
        <w:t xml:space="preserve"> en genderidentiteit. Bovendien zal de EU ervoor blijven zorgen dat humanitaire hulp </w:t>
      </w:r>
      <w:r w:rsidR="00E15ECC">
        <w:rPr>
          <w:rFonts w:ascii="Verdana" w:hAnsi="Verdana"/>
          <w:sz w:val="18"/>
          <w:szCs w:val="18"/>
        </w:rPr>
        <w:t>blijft</w:t>
      </w:r>
      <w:r w:rsidRPr="00E15ECC" w:rsidR="00E15ECC">
        <w:rPr>
          <w:rFonts w:ascii="Verdana" w:hAnsi="Verdana"/>
          <w:sz w:val="18"/>
          <w:szCs w:val="18"/>
        </w:rPr>
        <w:t xml:space="preserve"> voldoen aan de specifieke behoeften van kwetsbare </w:t>
      </w:r>
      <w:r w:rsidR="00E15ECC">
        <w:rPr>
          <w:rFonts w:ascii="Verdana" w:hAnsi="Verdana"/>
          <w:sz w:val="18"/>
          <w:szCs w:val="18"/>
        </w:rPr>
        <w:t xml:space="preserve">lhbtiq+ </w:t>
      </w:r>
      <w:r w:rsidRPr="00E15ECC" w:rsidR="00E15ECC">
        <w:rPr>
          <w:rFonts w:ascii="Verdana" w:hAnsi="Verdana"/>
          <w:sz w:val="18"/>
          <w:szCs w:val="18"/>
        </w:rPr>
        <w:t>personen</w:t>
      </w:r>
      <w:r w:rsidR="00E15ECC">
        <w:rPr>
          <w:rFonts w:ascii="Verdana" w:hAnsi="Verdana"/>
          <w:sz w:val="18"/>
          <w:szCs w:val="18"/>
        </w:rPr>
        <w:t>.</w:t>
      </w:r>
    </w:p>
    <w:p w:rsidRPr="005A1338" w:rsidR="007977C2" w:rsidP="00FA4979" w:rsidRDefault="007977C2" w14:paraId="7B5CAEB5" w14:textId="77777777">
      <w:pPr>
        <w:rPr>
          <w:rFonts w:ascii="Verdana" w:hAnsi="Verdana"/>
          <w:sz w:val="18"/>
          <w:szCs w:val="18"/>
        </w:rPr>
      </w:pPr>
    </w:p>
    <w:sectPr w:rsidRPr="005A1338" w:rsidR="007977C2" w:rsidSect="00A566EE">
      <w:footerReference w:type="even" r:id="rId13"/>
      <w:footerReference w:type="default" r:id="rId14"/>
      <w:footerReference w:type="first" r:id="rId15"/>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4113" w14:textId="77777777" w:rsidR="00BF6283" w:rsidRDefault="00BF6283" w:rsidP="00A566EE">
      <w:pPr>
        <w:spacing w:after="0" w:line="240" w:lineRule="auto"/>
      </w:pPr>
      <w:r>
        <w:separator/>
      </w:r>
    </w:p>
  </w:endnote>
  <w:endnote w:type="continuationSeparator" w:id="0">
    <w:p w14:paraId="055EC177" w14:textId="77777777" w:rsidR="00BF6283" w:rsidRDefault="00BF6283" w:rsidP="00A56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5133" w14:textId="04B15678" w:rsidR="00A566EE" w:rsidRDefault="00A07C61">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224EDB63" wp14:editId="57648FC5">
              <wp:simplePos x="635" y="635"/>
              <wp:positionH relativeFrom="page">
                <wp:align>left</wp:align>
              </wp:positionH>
              <wp:positionV relativeFrom="page">
                <wp:align>bottom</wp:align>
              </wp:positionV>
              <wp:extent cx="986155" cy="357505"/>
              <wp:effectExtent l="0" t="0" r="4445" b="0"/>
              <wp:wrapNone/>
              <wp:docPr id="566642881"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5E69FD19" w14:textId="231F8D50" w:rsidR="00A07C61" w:rsidRPr="00A07C61" w:rsidRDefault="00A07C61" w:rsidP="00A07C61">
                          <w:pPr>
                            <w:spacing w:after="0"/>
                            <w:rPr>
                              <w:rFonts w:ascii="Calibri" w:eastAsia="Calibri" w:hAnsi="Calibri" w:cs="Calibri"/>
                              <w:noProof/>
                              <w:color w:val="000000"/>
                              <w:sz w:val="20"/>
                              <w:szCs w:val="20"/>
                            </w:rPr>
                          </w:pPr>
                          <w:r w:rsidRPr="00A07C6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4EDB63"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5E69FD19" w14:textId="231F8D50" w:rsidR="00A07C61" w:rsidRPr="00A07C61" w:rsidRDefault="00A07C61" w:rsidP="00A07C61">
                    <w:pPr>
                      <w:spacing w:after="0"/>
                      <w:rPr>
                        <w:rFonts w:ascii="Calibri" w:eastAsia="Calibri" w:hAnsi="Calibri" w:cs="Calibri"/>
                        <w:noProof/>
                        <w:color w:val="000000"/>
                        <w:sz w:val="20"/>
                        <w:szCs w:val="20"/>
                      </w:rPr>
                    </w:pPr>
                    <w:r w:rsidRPr="00A07C61">
                      <w:rPr>
                        <w:rFonts w:ascii="Calibri" w:eastAsia="Calibri" w:hAnsi="Calibri" w:cs="Calibri"/>
                        <w:noProof/>
                        <w:color w:val="000000"/>
                        <w:sz w:val="20"/>
                        <w:szCs w:val="20"/>
                      </w:rPr>
                      <w:t>Intern gebruik</w:t>
                    </w:r>
                  </w:p>
                </w:txbxContent>
              </v:textbox>
              <w10:wrap anchorx="page" anchory="page"/>
            </v:shape>
          </w:pict>
        </mc:Fallback>
      </mc:AlternateContent>
    </w:r>
    <w:r w:rsidR="00A566EE">
      <w:rPr>
        <w:rStyle w:val="PageNumber"/>
      </w:rPr>
      <w:fldChar w:fldCharType="begin"/>
    </w:r>
    <w:r w:rsidR="00A566EE">
      <w:rPr>
        <w:rStyle w:val="PageNumber"/>
      </w:rPr>
      <w:instrText xml:space="preserve">PAGE  </w:instrText>
    </w:r>
    <w:r w:rsidR="00A566EE">
      <w:rPr>
        <w:rStyle w:val="PageNumber"/>
      </w:rPr>
      <w:fldChar w:fldCharType="separate"/>
    </w:r>
    <w:r w:rsidR="00A566EE">
      <w:rPr>
        <w:rStyle w:val="PageNumber"/>
        <w:noProof/>
      </w:rPr>
      <w:t>10</w:t>
    </w:r>
    <w:r w:rsidR="00A566EE">
      <w:rPr>
        <w:rStyle w:val="PageNumber"/>
      </w:rPr>
      <w:fldChar w:fldCharType="end"/>
    </w:r>
  </w:p>
  <w:p w14:paraId="1A4104B2" w14:textId="77777777" w:rsidR="00A566EE" w:rsidRDefault="00A566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8EB8" w14:textId="50AF0B1E" w:rsidR="00A566EE" w:rsidRDefault="00A07C61">
    <w:pPr>
      <w:pStyle w:val="Footer"/>
    </w:pPr>
    <w:r>
      <w:rPr>
        <w:noProof/>
      </w:rPr>
      <mc:AlternateContent>
        <mc:Choice Requires="wps">
          <w:drawing>
            <wp:anchor distT="0" distB="0" distL="0" distR="0" simplePos="0" relativeHeight="251660288" behindDoc="0" locked="0" layoutInCell="1" allowOverlap="1" wp14:anchorId="664A4D2C" wp14:editId="06B2F742">
              <wp:simplePos x="635" y="635"/>
              <wp:positionH relativeFrom="page">
                <wp:align>left</wp:align>
              </wp:positionH>
              <wp:positionV relativeFrom="page">
                <wp:align>bottom</wp:align>
              </wp:positionV>
              <wp:extent cx="986155" cy="357505"/>
              <wp:effectExtent l="0" t="0" r="4445" b="0"/>
              <wp:wrapNone/>
              <wp:docPr id="1830991532"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45EB6DB4" w14:textId="78E5504E" w:rsidR="00A07C61" w:rsidRPr="00A07C61" w:rsidRDefault="00A07C61" w:rsidP="00A07C61">
                          <w:pPr>
                            <w:spacing w:after="0"/>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4A4D2C"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" filled="f" stroked="f">
              <v:textbox style="mso-fit-shape-to-text:t" inset="20pt,0,0,15pt">
                <w:txbxContent>
                  <w:p w14:paraId="45EB6DB4" w14:textId="78E5504E" w:rsidR="00A07C61" w:rsidRPr="00A07C61" w:rsidRDefault="00A07C61" w:rsidP="00A07C61">
                    <w:pPr>
                      <w:spacing w:after="0"/>
                      <w:rPr>
                        <w:rFonts w:ascii="Calibri" w:eastAsia="Calibri" w:hAnsi="Calibri" w:cs="Calibri"/>
                        <w:noProof/>
                        <w:color w:val="000000"/>
                        <w:sz w:val="20"/>
                        <w:szCs w:val="20"/>
                      </w:rPr>
                    </w:pPr>
                  </w:p>
                </w:txbxContent>
              </v:textbox>
              <w10:wrap anchorx="page" anchory="page"/>
            </v:shape>
          </w:pict>
        </mc:Fallback>
      </mc:AlternateContent>
    </w:r>
    <w:r w:rsidR="00A566EE">
      <w:fldChar w:fldCharType="begin"/>
    </w:r>
    <w:r w:rsidR="00A566EE">
      <w:instrText xml:space="preserve"> PAGE  \* LOWER </w:instrText>
    </w:r>
    <w:r w:rsidR="00A566EE">
      <w:fldChar w:fldCharType="separate"/>
    </w:r>
    <w:r w:rsidR="00A566EE">
      <w:rPr>
        <w:noProof/>
      </w:rPr>
      <w:t>5</w:t>
    </w:r>
    <w:r w:rsidR="00A566E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FFDDA" w14:textId="2677CF24" w:rsidR="00A07C61" w:rsidRDefault="00A07C61">
    <w:pPr>
      <w:pStyle w:val="Footer"/>
    </w:pPr>
    <w:r>
      <w:rPr>
        <w:noProof/>
      </w:rPr>
      <mc:AlternateContent>
        <mc:Choice Requires="wps">
          <w:drawing>
            <wp:anchor distT="0" distB="0" distL="0" distR="0" simplePos="0" relativeHeight="251658240" behindDoc="0" locked="0" layoutInCell="1" allowOverlap="1" wp14:anchorId="5D526C12" wp14:editId="5308B9F5">
              <wp:simplePos x="635" y="635"/>
              <wp:positionH relativeFrom="page">
                <wp:align>left</wp:align>
              </wp:positionH>
              <wp:positionV relativeFrom="page">
                <wp:align>bottom</wp:align>
              </wp:positionV>
              <wp:extent cx="986155" cy="357505"/>
              <wp:effectExtent l="0" t="0" r="4445" b="0"/>
              <wp:wrapNone/>
              <wp:docPr id="38925580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79399D5F" w14:textId="32573DEC" w:rsidR="00A07C61" w:rsidRPr="00A07C61" w:rsidRDefault="00A07C61" w:rsidP="00A07C61">
                          <w:pPr>
                            <w:spacing w:after="0"/>
                            <w:rPr>
                              <w:rFonts w:ascii="Calibri" w:eastAsia="Calibri" w:hAnsi="Calibri" w:cs="Calibri"/>
                              <w:noProof/>
                              <w:color w:val="000000"/>
                              <w:sz w:val="20"/>
                              <w:szCs w:val="20"/>
                            </w:rPr>
                          </w:pPr>
                          <w:r w:rsidRPr="00A07C61">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526C12"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" filled="f" stroked="f">
              <v:textbox style="mso-fit-shape-to-text:t" inset="20pt,0,0,15pt">
                <w:txbxContent>
                  <w:p w14:paraId="79399D5F" w14:textId="32573DEC" w:rsidR="00A07C61" w:rsidRPr="00A07C61" w:rsidRDefault="00A07C61" w:rsidP="00A07C61">
                    <w:pPr>
                      <w:spacing w:after="0"/>
                      <w:rPr>
                        <w:rFonts w:ascii="Calibri" w:eastAsia="Calibri" w:hAnsi="Calibri" w:cs="Calibri"/>
                        <w:noProof/>
                        <w:color w:val="000000"/>
                        <w:sz w:val="20"/>
                        <w:szCs w:val="20"/>
                      </w:rPr>
                    </w:pPr>
                    <w:r w:rsidRPr="00A07C61">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94EB1" w14:textId="77777777" w:rsidR="00BF6283" w:rsidRDefault="00BF6283" w:rsidP="00A566EE">
      <w:pPr>
        <w:spacing w:after="0" w:line="240" w:lineRule="auto"/>
      </w:pPr>
      <w:r>
        <w:separator/>
      </w:r>
    </w:p>
  </w:footnote>
  <w:footnote w:type="continuationSeparator" w:id="0">
    <w:p w14:paraId="7A06D959" w14:textId="77777777" w:rsidR="00BF6283" w:rsidRDefault="00BF6283" w:rsidP="00A566EE">
      <w:pPr>
        <w:spacing w:after="0" w:line="240" w:lineRule="auto"/>
      </w:pPr>
      <w:r>
        <w:continuationSeparator/>
      </w:r>
    </w:p>
  </w:footnote>
  <w:footnote w:id="1">
    <w:p w14:paraId="70AAADEE" w14:textId="38635370" w:rsidR="003B3E07" w:rsidRDefault="003B3E07" w:rsidP="005077FA">
      <w:pPr>
        <w:pStyle w:val="FootnoteText"/>
        <w:spacing w:line="240" w:lineRule="auto"/>
      </w:pPr>
      <w:r w:rsidRPr="005077FA">
        <w:rPr>
          <w:rStyle w:val="FootnoteReference"/>
          <w:rFonts w:ascii="Verdana" w:hAnsi="Verdana"/>
          <w:sz w:val="16"/>
          <w:szCs w:val="16"/>
        </w:rPr>
        <w:footnoteRef/>
      </w:r>
      <w:r>
        <w:t xml:space="preserve"> </w:t>
      </w:r>
      <w:r w:rsidRPr="00477B88">
        <w:rPr>
          <w:rFonts w:ascii="Verdana" w:hAnsi="Verdana"/>
          <w:sz w:val="16"/>
          <w:szCs w:val="16"/>
        </w:rPr>
        <w:t xml:space="preserve">Lhbtiq+ is een verzamelnaam voor een groep zeer verschillende mensen en staat voor lesbische vrouwen, homoseksuele mannen, bi+ personen, transgender personen, intersekse personen en queer personen. De plus staat voor personen die een andere, niet in voorstaande termen genoemde seksuele oriëntatie of genderidentiteit hebben. Waaronder zij die non-binair of aseksueel zijn. In de strategie van de Commissie worden verschillende Engelse vormen (LGBTI, LGBTIQ en LGBTIQ+) door elkaar gebruikt, afhankelijk van de terminologie die wordt gebruikt in het specifieke document, initiatief of beleidsterrein waarnaar wordt verwezen. In dit fiche gebruiken wij de afkorting </w:t>
      </w:r>
      <w:proofErr w:type="spellStart"/>
      <w:r w:rsidRPr="00477B88">
        <w:rPr>
          <w:rFonts w:ascii="Verdana" w:hAnsi="Verdana"/>
          <w:sz w:val="16"/>
          <w:szCs w:val="16"/>
        </w:rPr>
        <w:t>lhbtiq</w:t>
      </w:r>
      <w:proofErr w:type="spellEnd"/>
      <w:r w:rsidRPr="00477B88">
        <w:rPr>
          <w:rFonts w:ascii="Verdana" w:hAnsi="Verdana"/>
          <w:sz w:val="16"/>
          <w:szCs w:val="16"/>
        </w:rPr>
        <w:t>+, behalve als er direct wordt verwezen naar de Engelstalige titels van de Commissie strategieën</w:t>
      </w:r>
      <w:r>
        <w:rPr>
          <w:rFonts w:ascii="Verdana" w:hAnsi="Verdana"/>
          <w:sz w:val="16"/>
          <w:szCs w:val="16"/>
        </w:rPr>
        <w:t xml:space="preserve"> of de Nederlandse vertaling daarvan</w:t>
      </w:r>
      <w:r w:rsidRPr="00477B88">
        <w:rPr>
          <w:rFonts w:ascii="Verdana" w:hAnsi="Verdana"/>
          <w:sz w:val="16"/>
          <w:szCs w:val="16"/>
        </w:rPr>
        <w:t>.</w:t>
      </w:r>
    </w:p>
  </w:footnote>
  <w:footnote w:id="2">
    <w:p w14:paraId="60DCF721" w14:textId="77777777" w:rsidR="00162A7D" w:rsidRPr="00477B88" w:rsidRDefault="00162A7D">
      <w:pPr>
        <w:pStyle w:val="FootnoteText"/>
        <w:rPr>
          <w:rFonts w:ascii="Verdana" w:eastAsiaTheme="minorHAnsi" w:hAnsi="Verdana" w:cs="Noto Sans"/>
          <w:sz w:val="16"/>
          <w:szCs w:val="16"/>
          <w:shd w:val="clear" w:color="auto" w:fill="FFFFFF"/>
          <w:lang w:val="en-US" w:eastAsia="en-US"/>
        </w:rPr>
      </w:pPr>
      <w:r w:rsidRPr="00477B88">
        <w:rPr>
          <w:rStyle w:val="FootnoteReference"/>
          <w:rFonts w:ascii="Verdana" w:hAnsi="Verdana"/>
          <w:sz w:val="16"/>
          <w:szCs w:val="16"/>
        </w:rPr>
        <w:footnoteRef/>
      </w:r>
      <w:r w:rsidRPr="00477B88">
        <w:rPr>
          <w:rFonts w:ascii="Verdana" w:hAnsi="Verdana"/>
          <w:sz w:val="16"/>
          <w:szCs w:val="16"/>
          <w:lang w:val="en-US"/>
        </w:rPr>
        <w:t xml:space="preserve"> </w:t>
      </w:r>
      <w:r w:rsidRPr="00477B88">
        <w:rPr>
          <w:rFonts w:ascii="Verdana" w:eastAsiaTheme="minorHAnsi" w:hAnsi="Verdana" w:cs="Noto Sans"/>
          <w:sz w:val="16"/>
          <w:szCs w:val="16"/>
          <w:shd w:val="clear" w:color="auto" w:fill="FFFFFF"/>
          <w:lang w:val="en-US" w:eastAsia="en-US"/>
        </w:rPr>
        <w:t>OECD (2025), </w:t>
      </w:r>
      <w:r w:rsidRPr="00477B88">
        <w:rPr>
          <w:rFonts w:ascii="Verdana" w:eastAsiaTheme="minorHAnsi" w:hAnsi="Verdana" w:cs="Noto Sans"/>
          <w:i/>
          <w:iCs/>
          <w:sz w:val="16"/>
          <w:szCs w:val="16"/>
          <w:bdr w:val="none" w:sz="0" w:space="0" w:color="auto" w:frame="1"/>
          <w:shd w:val="clear" w:color="auto" w:fill="FFFFFF"/>
          <w:lang w:val="en-US" w:eastAsia="en-US"/>
        </w:rPr>
        <w:t>Combatting Discrimination in the European Union</w:t>
      </w:r>
      <w:r w:rsidRPr="00477B88">
        <w:rPr>
          <w:rFonts w:ascii="Verdana" w:eastAsiaTheme="minorHAnsi" w:hAnsi="Verdana" w:cs="Noto Sans"/>
          <w:sz w:val="16"/>
          <w:szCs w:val="16"/>
          <w:shd w:val="clear" w:color="auto" w:fill="FFFFFF"/>
          <w:lang w:val="en-US" w:eastAsia="en-US"/>
        </w:rPr>
        <w:t>, OECD Publishing, Paris, </w:t>
      </w:r>
    </w:p>
    <w:p w14:paraId="742F351A" w14:textId="448CBFAE" w:rsidR="00162A7D" w:rsidRPr="00477B88" w:rsidRDefault="00162A7D">
      <w:pPr>
        <w:pStyle w:val="FootnoteText"/>
        <w:rPr>
          <w:rFonts w:ascii="Verdana" w:hAnsi="Verdana"/>
          <w:sz w:val="16"/>
          <w:szCs w:val="16"/>
          <w:lang w:val="en-US"/>
        </w:rPr>
      </w:pPr>
      <w:r>
        <w:fldChar w:fldCharType="begin"/>
      </w:r>
      <w:r w:rsidRPr="008949A8">
        <w:rPr>
          <w:lang w:val="en-US"/>
        </w:rPr>
        <w:instrText>HYPERLINK "https://doi.org/10.1787/29c2c36a-en"</w:instrText>
      </w:r>
      <w:r>
        <w:fldChar w:fldCharType="separate"/>
      </w:r>
      <w:r w:rsidRPr="00477B88">
        <w:rPr>
          <w:rStyle w:val="Hyperlink"/>
          <w:rFonts w:ascii="Verdana" w:eastAsiaTheme="minorHAnsi" w:hAnsi="Verdana" w:cs="Noto Sans"/>
          <w:color w:val="auto"/>
          <w:sz w:val="16"/>
          <w:szCs w:val="16"/>
          <w:bdr w:val="none" w:sz="0" w:space="0" w:color="auto" w:frame="1"/>
          <w:shd w:val="clear" w:color="auto" w:fill="FFFFFF"/>
          <w:lang w:val="en-US" w:eastAsia="en-US"/>
        </w:rPr>
        <w:t>https://doi.org/10.1787/29c2c36a-en</w:t>
      </w:r>
      <w:r>
        <w:fldChar w:fldCharType="end"/>
      </w:r>
      <w:r w:rsidRPr="00477B88">
        <w:rPr>
          <w:rFonts w:ascii="Verdana" w:eastAsiaTheme="minorHAnsi" w:hAnsi="Verdana" w:cs="Noto Sans"/>
          <w:sz w:val="16"/>
          <w:szCs w:val="16"/>
          <w:shd w:val="clear" w:color="auto" w:fill="FFFFFF"/>
          <w:lang w:val="en-US" w:eastAsia="en-US"/>
        </w:rPr>
        <w:t>.</w:t>
      </w:r>
    </w:p>
  </w:footnote>
  <w:footnote w:id="3">
    <w:p w14:paraId="099A2BB8" w14:textId="3EE02A16" w:rsidR="005A1338" w:rsidRPr="00477B88" w:rsidRDefault="005A1338" w:rsidP="00131C17">
      <w:pPr>
        <w:spacing w:line="276" w:lineRule="auto"/>
        <w:rPr>
          <w:rFonts w:ascii="Verdana" w:hAnsi="Verdana"/>
          <w:sz w:val="16"/>
          <w:szCs w:val="16"/>
        </w:rPr>
      </w:pPr>
      <w:r w:rsidRPr="00477B88">
        <w:rPr>
          <w:rStyle w:val="FootnoteReference"/>
          <w:rFonts w:ascii="Verdana" w:hAnsi="Verdana"/>
          <w:sz w:val="16"/>
          <w:szCs w:val="16"/>
        </w:rPr>
        <w:footnoteRef/>
      </w:r>
      <w:r w:rsidRPr="00477B88">
        <w:rPr>
          <w:rFonts w:ascii="Verdana" w:hAnsi="Verdana"/>
          <w:sz w:val="16"/>
          <w:szCs w:val="16"/>
        </w:rPr>
        <w:t xml:space="preserve"> </w:t>
      </w:r>
      <w:r w:rsidRPr="00477B88">
        <w:rPr>
          <w:rFonts w:ascii="Verdana" w:eastAsia="Calibri" w:hAnsi="Verdana" w:cs="Calibri"/>
          <w:sz w:val="16"/>
          <w:szCs w:val="16"/>
        </w:rPr>
        <w:t>Kamerstuk II: 2024/2025: 30420-418, brief dd. 11 juni 2025</w:t>
      </w:r>
    </w:p>
  </w:footnote>
  <w:footnote w:id="4">
    <w:p w14:paraId="0FF6E4C1" w14:textId="646D9FE9" w:rsidR="005A1338" w:rsidRPr="00477B88" w:rsidRDefault="005A1338" w:rsidP="00131C17">
      <w:pPr>
        <w:pStyle w:val="FootnoteText"/>
        <w:spacing w:line="276" w:lineRule="auto"/>
        <w:rPr>
          <w:rFonts w:ascii="Verdana" w:hAnsi="Verdana"/>
          <w:sz w:val="16"/>
          <w:szCs w:val="16"/>
        </w:rPr>
      </w:pPr>
      <w:r w:rsidRPr="00477B88">
        <w:rPr>
          <w:rStyle w:val="FootnoteReference"/>
          <w:rFonts w:ascii="Verdana" w:hAnsi="Verdana"/>
          <w:sz w:val="16"/>
          <w:szCs w:val="16"/>
        </w:rPr>
        <w:footnoteRef/>
      </w:r>
      <w:r w:rsidRPr="00477B88">
        <w:rPr>
          <w:rFonts w:ascii="Verdana" w:hAnsi="Verdana"/>
          <w:sz w:val="16"/>
          <w:szCs w:val="16"/>
        </w:rPr>
        <w:t xml:space="preserve"> </w:t>
      </w:r>
      <w:hyperlink r:id="rId1">
        <w:r w:rsidRPr="00477B88">
          <w:rPr>
            <w:rStyle w:val="Hyperlink"/>
            <w:rFonts w:ascii="Verdana" w:eastAsia="Calibri" w:hAnsi="Verdana" w:cs="Calibri"/>
            <w:sz w:val="16"/>
            <w:szCs w:val="16"/>
          </w:rPr>
          <w:t>Emancipatiemonitor 2024 | CBS</w:t>
        </w:r>
      </w:hyperlink>
      <w:r w:rsidRPr="00477B88">
        <w:rPr>
          <w:rFonts w:ascii="Verdana" w:eastAsia="Calibri" w:hAnsi="Verdana" w:cs="Calibri"/>
          <w:sz w:val="16"/>
          <w:szCs w:val="16"/>
        </w:rPr>
        <w:t xml:space="preserve"> en </w:t>
      </w:r>
      <w:hyperlink r:id="rId2">
        <w:proofErr w:type="spellStart"/>
        <w:r w:rsidRPr="00477B88">
          <w:rPr>
            <w:rStyle w:val="Hyperlink"/>
            <w:rFonts w:ascii="Verdana" w:eastAsia="Calibri" w:hAnsi="Verdana" w:cs="Calibri"/>
            <w:sz w:val="16"/>
            <w:szCs w:val="16"/>
          </w:rPr>
          <w:t>Lhbtiqa</w:t>
        </w:r>
        <w:proofErr w:type="spellEnd"/>
        <w:r w:rsidRPr="00477B88">
          <w:rPr>
            <w:rStyle w:val="Hyperlink"/>
            <w:rFonts w:ascii="Verdana" w:eastAsia="Calibri" w:hAnsi="Verdana" w:cs="Calibri"/>
            <w:sz w:val="16"/>
            <w:szCs w:val="16"/>
          </w:rPr>
          <w:t>+-monitor 2024 | Rapport | Rijksoverheid.nl</w:t>
        </w:r>
      </w:hyperlink>
    </w:p>
  </w:footnote>
  <w:footnote w:id="5">
    <w:p w14:paraId="6F2670A8" w14:textId="77777777" w:rsidR="00E51234" w:rsidRPr="00477B88" w:rsidRDefault="00E51234" w:rsidP="00E51234">
      <w:pPr>
        <w:rPr>
          <w:rFonts w:ascii="Verdana" w:hAnsi="Verdana"/>
          <w:sz w:val="16"/>
          <w:szCs w:val="16"/>
        </w:rPr>
      </w:pPr>
      <w:r w:rsidRPr="00477B88">
        <w:rPr>
          <w:rStyle w:val="FootnoteReference"/>
          <w:rFonts w:ascii="Verdana" w:hAnsi="Verdana"/>
          <w:sz w:val="16"/>
          <w:szCs w:val="16"/>
        </w:rPr>
        <w:footnoteRef/>
      </w:r>
      <w:r w:rsidRPr="00477B88">
        <w:rPr>
          <w:rFonts w:ascii="Verdana" w:hAnsi="Verdana"/>
          <w:sz w:val="16"/>
          <w:szCs w:val="16"/>
        </w:rPr>
        <w:t xml:space="preserve"> Europese Commissie: </w:t>
      </w:r>
      <w:hyperlink r:id="rId3">
        <w:r w:rsidRPr="00477B88">
          <w:rPr>
            <w:rStyle w:val="Hyperlink"/>
            <w:rFonts w:ascii="Verdana" w:eastAsia="Calibri" w:hAnsi="Verdana" w:cs="Calibri"/>
            <w:sz w:val="16"/>
            <w:szCs w:val="16"/>
          </w:rPr>
          <w:t>lgbtiq_strategy_2020-2025_en.pdf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DB016A3"/>
    <w:multiLevelType w:val="hybridMultilevel"/>
    <w:tmpl w:val="3C82A9D4"/>
    <w:lvl w:ilvl="0" w:tplc="AEB6FB20">
      <w:start w:val="1"/>
      <w:numFmt w:val="decimal"/>
      <w:lvlText w:val="%1)"/>
      <w:lvlJc w:val="left"/>
      <w:pPr>
        <w:ind w:left="1020" w:hanging="360"/>
      </w:pPr>
    </w:lvl>
    <w:lvl w:ilvl="1" w:tplc="C7129C8A">
      <w:start w:val="1"/>
      <w:numFmt w:val="decimal"/>
      <w:lvlText w:val="%2)"/>
      <w:lvlJc w:val="left"/>
      <w:pPr>
        <w:ind w:left="1020" w:hanging="360"/>
      </w:pPr>
    </w:lvl>
    <w:lvl w:ilvl="2" w:tplc="FF6C9BD0">
      <w:start w:val="1"/>
      <w:numFmt w:val="decimal"/>
      <w:lvlText w:val="%3)"/>
      <w:lvlJc w:val="left"/>
      <w:pPr>
        <w:ind w:left="1020" w:hanging="360"/>
      </w:pPr>
    </w:lvl>
    <w:lvl w:ilvl="3" w:tplc="14C63906">
      <w:start w:val="1"/>
      <w:numFmt w:val="decimal"/>
      <w:lvlText w:val="%4)"/>
      <w:lvlJc w:val="left"/>
      <w:pPr>
        <w:ind w:left="1020" w:hanging="360"/>
      </w:pPr>
    </w:lvl>
    <w:lvl w:ilvl="4" w:tplc="E6E0E3F6">
      <w:start w:val="1"/>
      <w:numFmt w:val="decimal"/>
      <w:lvlText w:val="%5)"/>
      <w:lvlJc w:val="left"/>
      <w:pPr>
        <w:ind w:left="1020" w:hanging="360"/>
      </w:pPr>
    </w:lvl>
    <w:lvl w:ilvl="5" w:tplc="FE083052">
      <w:start w:val="1"/>
      <w:numFmt w:val="decimal"/>
      <w:lvlText w:val="%6)"/>
      <w:lvlJc w:val="left"/>
      <w:pPr>
        <w:ind w:left="1020" w:hanging="360"/>
      </w:pPr>
    </w:lvl>
    <w:lvl w:ilvl="6" w:tplc="057CBEE2">
      <w:start w:val="1"/>
      <w:numFmt w:val="decimal"/>
      <w:lvlText w:val="%7)"/>
      <w:lvlJc w:val="left"/>
      <w:pPr>
        <w:ind w:left="1020" w:hanging="360"/>
      </w:pPr>
    </w:lvl>
    <w:lvl w:ilvl="7" w:tplc="9B1C08D0">
      <w:start w:val="1"/>
      <w:numFmt w:val="decimal"/>
      <w:lvlText w:val="%8)"/>
      <w:lvlJc w:val="left"/>
      <w:pPr>
        <w:ind w:left="1020" w:hanging="360"/>
      </w:pPr>
    </w:lvl>
    <w:lvl w:ilvl="8" w:tplc="58AE6C6A">
      <w:start w:val="1"/>
      <w:numFmt w:val="decimal"/>
      <w:lvlText w:val="%9)"/>
      <w:lvlJc w:val="left"/>
      <w:pPr>
        <w:ind w:left="1020" w:hanging="360"/>
      </w:pPr>
    </w:lvl>
  </w:abstractNum>
  <w:abstractNum w:abstractNumId="6"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01F4847"/>
    <w:multiLevelType w:val="hybridMultilevel"/>
    <w:tmpl w:val="F718E9B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2685355"/>
    <w:multiLevelType w:val="hybridMultilevel"/>
    <w:tmpl w:val="502AC83C"/>
    <w:lvl w:ilvl="0" w:tplc="3D2656A4">
      <w:start w:val="1"/>
      <w:numFmt w:val="decimal"/>
      <w:lvlText w:val="%1)"/>
      <w:lvlJc w:val="left"/>
      <w:pPr>
        <w:ind w:left="720" w:hanging="360"/>
      </w:pPr>
    </w:lvl>
    <w:lvl w:ilvl="1" w:tplc="493A94C2">
      <w:start w:val="1"/>
      <w:numFmt w:val="decimal"/>
      <w:lvlText w:val="%2)"/>
      <w:lvlJc w:val="left"/>
      <w:pPr>
        <w:ind w:left="720" w:hanging="360"/>
      </w:pPr>
    </w:lvl>
    <w:lvl w:ilvl="2" w:tplc="7412621A">
      <w:start w:val="1"/>
      <w:numFmt w:val="decimal"/>
      <w:lvlText w:val="%3)"/>
      <w:lvlJc w:val="left"/>
      <w:pPr>
        <w:ind w:left="720" w:hanging="360"/>
      </w:pPr>
    </w:lvl>
    <w:lvl w:ilvl="3" w:tplc="FCEA43DA">
      <w:start w:val="1"/>
      <w:numFmt w:val="decimal"/>
      <w:lvlText w:val="%4)"/>
      <w:lvlJc w:val="left"/>
      <w:pPr>
        <w:ind w:left="720" w:hanging="360"/>
      </w:pPr>
    </w:lvl>
    <w:lvl w:ilvl="4" w:tplc="53DEF0B2">
      <w:start w:val="1"/>
      <w:numFmt w:val="decimal"/>
      <w:lvlText w:val="%5)"/>
      <w:lvlJc w:val="left"/>
      <w:pPr>
        <w:ind w:left="720" w:hanging="360"/>
      </w:pPr>
    </w:lvl>
    <w:lvl w:ilvl="5" w:tplc="9CCE09D0">
      <w:start w:val="1"/>
      <w:numFmt w:val="decimal"/>
      <w:lvlText w:val="%6)"/>
      <w:lvlJc w:val="left"/>
      <w:pPr>
        <w:ind w:left="720" w:hanging="360"/>
      </w:pPr>
    </w:lvl>
    <w:lvl w:ilvl="6" w:tplc="AF4A5988">
      <w:start w:val="1"/>
      <w:numFmt w:val="decimal"/>
      <w:lvlText w:val="%7)"/>
      <w:lvlJc w:val="left"/>
      <w:pPr>
        <w:ind w:left="720" w:hanging="360"/>
      </w:pPr>
    </w:lvl>
    <w:lvl w:ilvl="7" w:tplc="4CC450F0">
      <w:start w:val="1"/>
      <w:numFmt w:val="decimal"/>
      <w:lvlText w:val="%8)"/>
      <w:lvlJc w:val="left"/>
      <w:pPr>
        <w:ind w:left="720" w:hanging="360"/>
      </w:pPr>
    </w:lvl>
    <w:lvl w:ilvl="8" w:tplc="668ECF26">
      <w:start w:val="1"/>
      <w:numFmt w:val="decimal"/>
      <w:lvlText w:val="%9)"/>
      <w:lvlJc w:val="left"/>
      <w:pPr>
        <w:ind w:left="720" w:hanging="360"/>
      </w:pPr>
    </w:lvl>
  </w:abstractNum>
  <w:abstractNum w:abstractNumId="11"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64554350">
    <w:abstractNumId w:val="0"/>
  </w:num>
  <w:num w:numId="2" w16cid:durableId="530849523">
    <w:abstractNumId w:val="8"/>
  </w:num>
  <w:num w:numId="3" w16cid:durableId="1483035464">
    <w:abstractNumId w:val="12"/>
  </w:num>
  <w:num w:numId="4" w16cid:durableId="1079516967">
    <w:abstractNumId w:val="6"/>
  </w:num>
  <w:num w:numId="5" w16cid:durableId="1968581050">
    <w:abstractNumId w:val="3"/>
  </w:num>
  <w:num w:numId="6" w16cid:durableId="1110198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4"/>
  </w:num>
  <w:num w:numId="8" w16cid:durableId="753937102">
    <w:abstractNumId w:val="1"/>
  </w:num>
  <w:num w:numId="9" w16cid:durableId="442841416">
    <w:abstractNumId w:val="13"/>
  </w:num>
  <w:num w:numId="10" w16cid:durableId="1582832538">
    <w:abstractNumId w:val="11"/>
  </w:num>
  <w:num w:numId="11" w16cid:durableId="310258348">
    <w:abstractNumId w:val="7"/>
  </w:num>
  <w:num w:numId="12" w16cid:durableId="1936086142">
    <w:abstractNumId w:val="2"/>
  </w:num>
  <w:num w:numId="13" w16cid:durableId="1801417599">
    <w:abstractNumId w:val="9"/>
  </w:num>
  <w:num w:numId="14" w16cid:durableId="1360202543">
    <w:abstractNumId w:val="10"/>
  </w:num>
  <w:num w:numId="15" w16cid:durableId="1614049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B7E1E4"/>
    <w:rsid w:val="000314FD"/>
    <w:rsid w:val="000349A4"/>
    <w:rsid w:val="00061812"/>
    <w:rsid w:val="00070472"/>
    <w:rsid w:val="00072BD1"/>
    <w:rsid w:val="00094C13"/>
    <w:rsid w:val="00096E02"/>
    <w:rsid w:val="000A6BAD"/>
    <w:rsid w:val="000D05DB"/>
    <w:rsid w:val="000E6A56"/>
    <w:rsid w:val="000E7CDB"/>
    <w:rsid w:val="00131C17"/>
    <w:rsid w:val="00155332"/>
    <w:rsid w:val="00155F64"/>
    <w:rsid w:val="001575F7"/>
    <w:rsid w:val="00162A7D"/>
    <w:rsid w:val="00176954"/>
    <w:rsid w:val="00193F15"/>
    <w:rsid w:val="001A0FD8"/>
    <w:rsid w:val="001C5165"/>
    <w:rsid w:val="001D3E99"/>
    <w:rsid w:val="00222230"/>
    <w:rsid w:val="002315EC"/>
    <w:rsid w:val="00236C11"/>
    <w:rsid w:val="0027657E"/>
    <w:rsid w:val="002F1ECF"/>
    <w:rsid w:val="00300961"/>
    <w:rsid w:val="003100F6"/>
    <w:rsid w:val="00323BE1"/>
    <w:rsid w:val="00351B35"/>
    <w:rsid w:val="003930B5"/>
    <w:rsid w:val="003B3E07"/>
    <w:rsid w:val="003B5A95"/>
    <w:rsid w:val="003C0F31"/>
    <w:rsid w:val="003C6AFA"/>
    <w:rsid w:val="003D0CC2"/>
    <w:rsid w:val="003D4AFE"/>
    <w:rsid w:val="00401156"/>
    <w:rsid w:val="00451670"/>
    <w:rsid w:val="00477B88"/>
    <w:rsid w:val="004A07DD"/>
    <w:rsid w:val="004B38B7"/>
    <w:rsid w:val="004C25E7"/>
    <w:rsid w:val="00501DC8"/>
    <w:rsid w:val="005077FA"/>
    <w:rsid w:val="0052722E"/>
    <w:rsid w:val="00541855"/>
    <w:rsid w:val="005434E4"/>
    <w:rsid w:val="00555E02"/>
    <w:rsid w:val="00556AB7"/>
    <w:rsid w:val="005655F5"/>
    <w:rsid w:val="005A1338"/>
    <w:rsid w:val="005B0A67"/>
    <w:rsid w:val="005E6E8B"/>
    <w:rsid w:val="00641A27"/>
    <w:rsid w:val="00647256"/>
    <w:rsid w:val="006A3470"/>
    <w:rsid w:val="006A724E"/>
    <w:rsid w:val="006D1A73"/>
    <w:rsid w:val="006E781A"/>
    <w:rsid w:val="00700EBE"/>
    <w:rsid w:val="007059FF"/>
    <w:rsid w:val="00711867"/>
    <w:rsid w:val="007377CF"/>
    <w:rsid w:val="00754681"/>
    <w:rsid w:val="00766695"/>
    <w:rsid w:val="00777D78"/>
    <w:rsid w:val="007839D4"/>
    <w:rsid w:val="00786CCE"/>
    <w:rsid w:val="007977C2"/>
    <w:rsid w:val="007A7422"/>
    <w:rsid w:val="007F79CC"/>
    <w:rsid w:val="00812A97"/>
    <w:rsid w:val="00821E16"/>
    <w:rsid w:val="00842534"/>
    <w:rsid w:val="0084751A"/>
    <w:rsid w:val="0085208F"/>
    <w:rsid w:val="0088788E"/>
    <w:rsid w:val="008949A8"/>
    <w:rsid w:val="008A7B92"/>
    <w:rsid w:val="008B0CA2"/>
    <w:rsid w:val="008B69CD"/>
    <w:rsid w:val="0094152E"/>
    <w:rsid w:val="00947D71"/>
    <w:rsid w:val="00982A7F"/>
    <w:rsid w:val="0099449E"/>
    <w:rsid w:val="009F112F"/>
    <w:rsid w:val="009F5DCE"/>
    <w:rsid w:val="00A07C61"/>
    <w:rsid w:val="00A22301"/>
    <w:rsid w:val="00A238FC"/>
    <w:rsid w:val="00A3575F"/>
    <w:rsid w:val="00A442A4"/>
    <w:rsid w:val="00A566EE"/>
    <w:rsid w:val="00A57EB7"/>
    <w:rsid w:val="00A64AB3"/>
    <w:rsid w:val="00A8340E"/>
    <w:rsid w:val="00AB79B2"/>
    <w:rsid w:val="00AC6CAC"/>
    <w:rsid w:val="00AC79D7"/>
    <w:rsid w:val="00AF70CC"/>
    <w:rsid w:val="00B371DD"/>
    <w:rsid w:val="00B529C9"/>
    <w:rsid w:val="00B61630"/>
    <w:rsid w:val="00B80F31"/>
    <w:rsid w:val="00B95611"/>
    <w:rsid w:val="00B96D5D"/>
    <w:rsid w:val="00BC37C3"/>
    <w:rsid w:val="00BF31AF"/>
    <w:rsid w:val="00BF6283"/>
    <w:rsid w:val="00C62A65"/>
    <w:rsid w:val="00C70EB7"/>
    <w:rsid w:val="00CD2C56"/>
    <w:rsid w:val="00CE6FC1"/>
    <w:rsid w:val="00D0022F"/>
    <w:rsid w:val="00D120D3"/>
    <w:rsid w:val="00D22A5C"/>
    <w:rsid w:val="00D42EEC"/>
    <w:rsid w:val="00D560BA"/>
    <w:rsid w:val="00D67BF9"/>
    <w:rsid w:val="00DD7653"/>
    <w:rsid w:val="00E1481B"/>
    <w:rsid w:val="00E15ECC"/>
    <w:rsid w:val="00E51234"/>
    <w:rsid w:val="00E92E9A"/>
    <w:rsid w:val="00EA2CA8"/>
    <w:rsid w:val="00EA78E5"/>
    <w:rsid w:val="00EB615A"/>
    <w:rsid w:val="00F409E1"/>
    <w:rsid w:val="00F70877"/>
    <w:rsid w:val="00F7096B"/>
    <w:rsid w:val="00F844BC"/>
    <w:rsid w:val="00F94FA5"/>
    <w:rsid w:val="00FA4979"/>
    <w:rsid w:val="00FC5FC9"/>
    <w:rsid w:val="00FE21A6"/>
    <w:rsid w:val="00FE27C8"/>
    <w:rsid w:val="0F2B5860"/>
    <w:rsid w:val="36B7E1E4"/>
    <w:rsid w:val="5B3CBD80"/>
    <w:rsid w:val="6C654F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CBD80"/>
  <w15:chartTrackingRefBased/>
  <w15:docId w15:val="{C97CB202-8EB5-4CBE-809D-5713F1600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D3"/>
  </w:style>
  <w:style w:type="paragraph" w:styleId="Heading1">
    <w:name w:val="heading 1"/>
    <w:basedOn w:val="Normal"/>
    <w:next w:val="Normal"/>
    <w:link w:val="Heading1Char"/>
    <w:qFormat/>
    <w:rsid w:val="00A566EE"/>
    <w:pPr>
      <w:keepNext/>
      <w:numPr>
        <w:numId w:val="1"/>
      </w:numPr>
      <w:spacing w:after="560" w:line="280" w:lineRule="atLeast"/>
      <w:outlineLvl w:val="0"/>
    </w:pPr>
    <w:rPr>
      <w:rFonts w:ascii="Times New Roman" w:eastAsia="Times New Roman" w:hAnsi="Times New Roman" w:cs="Times New Roman"/>
      <w:sz w:val="28"/>
      <w:szCs w:val="20"/>
      <w:lang w:eastAsia="zh-CN"/>
    </w:rPr>
  </w:style>
  <w:style w:type="paragraph" w:styleId="Heading2">
    <w:name w:val="heading 2"/>
    <w:basedOn w:val="Heading1"/>
    <w:next w:val="Normal"/>
    <w:link w:val="Heading2Char"/>
    <w:qFormat/>
    <w:rsid w:val="00A566EE"/>
    <w:pPr>
      <w:numPr>
        <w:ilvl w:val="1"/>
      </w:numPr>
      <w:spacing w:after="280"/>
      <w:outlineLvl w:val="1"/>
    </w:pPr>
    <w:rPr>
      <w:b/>
      <w:sz w:val="22"/>
    </w:rPr>
  </w:style>
  <w:style w:type="paragraph" w:styleId="Heading3">
    <w:name w:val="heading 3"/>
    <w:basedOn w:val="Heading2"/>
    <w:next w:val="Normal"/>
    <w:link w:val="Heading3Char"/>
    <w:qFormat/>
    <w:rsid w:val="00A566EE"/>
    <w:pPr>
      <w:numPr>
        <w:ilvl w:val="2"/>
      </w:numPr>
      <w:spacing w:after="0"/>
      <w:outlineLvl w:val="2"/>
    </w:pPr>
    <w:rPr>
      <w:b w:val="0"/>
      <w:i/>
    </w:rPr>
  </w:style>
  <w:style w:type="paragraph" w:styleId="Heading4">
    <w:name w:val="heading 4"/>
    <w:basedOn w:val="Heading3"/>
    <w:next w:val="Normal"/>
    <w:link w:val="Heading4Char"/>
    <w:qFormat/>
    <w:rsid w:val="00A566EE"/>
    <w:pPr>
      <w:numPr>
        <w:ilvl w:val="3"/>
      </w:numPr>
      <w:outlineLvl w:val="3"/>
    </w:pPr>
  </w:style>
  <w:style w:type="paragraph" w:styleId="Heading5">
    <w:name w:val="heading 5"/>
    <w:basedOn w:val="Normal"/>
    <w:next w:val="Normal"/>
    <w:link w:val="Heading5Char"/>
    <w:qFormat/>
    <w:rsid w:val="00A566EE"/>
    <w:pPr>
      <w:numPr>
        <w:ilvl w:val="4"/>
        <w:numId w:val="1"/>
      </w:numPr>
      <w:spacing w:before="240" w:after="60" w:line="280" w:lineRule="atLeast"/>
      <w:outlineLvl w:val="4"/>
    </w:pPr>
    <w:rPr>
      <w:rFonts w:ascii="Arial" w:eastAsia="Times New Roman" w:hAnsi="Arial" w:cs="Times New Roman"/>
      <w:szCs w:val="20"/>
      <w:lang w:eastAsia="zh-CN"/>
    </w:rPr>
  </w:style>
  <w:style w:type="paragraph" w:styleId="Heading6">
    <w:name w:val="heading 6"/>
    <w:basedOn w:val="Normal"/>
    <w:next w:val="Normal"/>
    <w:link w:val="Heading6Char"/>
    <w:qFormat/>
    <w:rsid w:val="00A566EE"/>
    <w:pPr>
      <w:numPr>
        <w:ilvl w:val="5"/>
        <w:numId w:val="1"/>
      </w:numPr>
      <w:spacing w:before="240" w:after="60" w:line="280" w:lineRule="atLeast"/>
      <w:outlineLvl w:val="5"/>
    </w:pPr>
    <w:rPr>
      <w:rFonts w:ascii="Arial" w:eastAsia="Times New Roman" w:hAnsi="Arial" w:cs="Times New Roman"/>
      <w:i/>
      <w:szCs w:val="20"/>
      <w:lang w:eastAsia="zh-CN"/>
    </w:rPr>
  </w:style>
  <w:style w:type="paragraph" w:styleId="Heading7">
    <w:name w:val="heading 7"/>
    <w:basedOn w:val="Normal"/>
    <w:next w:val="Normal"/>
    <w:link w:val="Heading7Char"/>
    <w:qFormat/>
    <w:rsid w:val="00A566EE"/>
    <w:pPr>
      <w:numPr>
        <w:ilvl w:val="6"/>
        <w:numId w:val="1"/>
      </w:numPr>
      <w:spacing w:before="240" w:after="60" w:line="280" w:lineRule="atLeast"/>
      <w:outlineLvl w:val="6"/>
    </w:pPr>
    <w:rPr>
      <w:rFonts w:ascii="Arial" w:eastAsia="Times New Roman" w:hAnsi="Arial" w:cs="Times New Roman"/>
      <w:sz w:val="20"/>
      <w:szCs w:val="20"/>
      <w:lang w:eastAsia="zh-CN"/>
    </w:rPr>
  </w:style>
  <w:style w:type="paragraph" w:styleId="Heading8">
    <w:name w:val="heading 8"/>
    <w:basedOn w:val="Normal"/>
    <w:next w:val="Normal"/>
    <w:link w:val="Heading8Char"/>
    <w:qFormat/>
    <w:rsid w:val="00A566EE"/>
    <w:pPr>
      <w:numPr>
        <w:ilvl w:val="7"/>
        <w:numId w:val="1"/>
      </w:numPr>
      <w:spacing w:before="240" w:after="60" w:line="280" w:lineRule="atLeast"/>
      <w:outlineLvl w:val="7"/>
    </w:pPr>
    <w:rPr>
      <w:rFonts w:ascii="Arial" w:eastAsia="Times New Roman" w:hAnsi="Arial" w:cs="Times New Roman"/>
      <w:i/>
      <w:sz w:val="20"/>
      <w:szCs w:val="20"/>
      <w:lang w:eastAsia="zh-CN"/>
    </w:rPr>
  </w:style>
  <w:style w:type="paragraph" w:styleId="Heading9">
    <w:name w:val="heading 9"/>
    <w:basedOn w:val="Normal"/>
    <w:next w:val="Normal"/>
    <w:link w:val="Heading9Char"/>
    <w:qFormat/>
    <w:rsid w:val="00A566EE"/>
    <w:pPr>
      <w:numPr>
        <w:ilvl w:val="8"/>
        <w:numId w:val="1"/>
      </w:numPr>
      <w:spacing w:before="240" w:after="60" w:line="280" w:lineRule="atLeast"/>
      <w:outlineLvl w:val="8"/>
    </w:pPr>
    <w:rPr>
      <w:rFonts w:ascii="Arial" w:eastAsia="Times New Roman" w:hAnsi="Arial" w:cs="Times New Roman"/>
      <w:i/>
      <w:sz w:val="1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66EE"/>
    <w:rPr>
      <w:rFonts w:ascii="Times New Roman" w:eastAsia="Times New Roman" w:hAnsi="Times New Roman" w:cs="Times New Roman"/>
      <w:sz w:val="28"/>
      <w:szCs w:val="20"/>
      <w:lang w:eastAsia="zh-CN"/>
    </w:rPr>
  </w:style>
  <w:style w:type="character" w:customStyle="1" w:styleId="Heading2Char">
    <w:name w:val="Heading 2 Char"/>
    <w:basedOn w:val="DefaultParagraphFont"/>
    <w:link w:val="Heading2"/>
    <w:rsid w:val="00A566EE"/>
    <w:rPr>
      <w:rFonts w:ascii="Times New Roman" w:eastAsia="Times New Roman" w:hAnsi="Times New Roman" w:cs="Times New Roman"/>
      <w:b/>
      <w:szCs w:val="20"/>
      <w:lang w:eastAsia="zh-CN"/>
    </w:rPr>
  </w:style>
  <w:style w:type="character" w:customStyle="1" w:styleId="Heading3Char">
    <w:name w:val="Heading 3 Char"/>
    <w:basedOn w:val="DefaultParagraphFont"/>
    <w:link w:val="Heading3"/>
    <w:rsid w:val="00A566EE"/>
    <w:rPr>
      <w:rFonts w:ascii="Times New Roman" w:eastAsia="Times New Roman" w:hAnsi="Times New Roman" w:cs="Times New Roman"/>
      <w:i/>
      <w:szCs w:val="20"/>
      <w:lang w:eastAsia="zh-CN"/>
    </w:rPr>
  </w:style>
  <w:style w:type="character" w:customStyle="1" w:styleId="Heading4Char">
    <w:name w:val="Heading 4 Char"/>
    <w:basedOn w:val="DefaultParagraphFont"/>
    <w:link w:val="Heading4"/>
    <w:rsid w:val="00A566EE"/>
    <w:rPr>
      <w:rFonts w:ascii="Times New Roman" w:eastAsia="Times New Roman" w:hAnsi="Times New Roman" w:cs="Times New Roman"/>
      <w:i/>
      <w:szCs w:val="20"/>
      <w:lang w:eastAsia="zh-CN"/>
    </w:rPr>
  </w:style>
  <w:style w:type="character" w:customStyle="1" w:styleId="Heading5Char">
    <w:name w:val="Heading 5 Char"/>
    <w:basedOn w:val="DefaultParagraphFont"/>
    <w:link w:val="Heading5"/>
    <w:rsid w:val="00A566EE"/>
    <w:rPr>
      <w:rFonts w:ascii="Arial" w:eastAsia="Times New Roman" w:hAnsi="Arial" w:cs="Times New Roman"/>
      <w:szCs w:val="20"/>
      <w:lang w:eastAsia="zh-CN"/>
    </w:rPr>
  </w:style>
  <w:style w:type="character" w:customStyle="1" w:styleId="Heading6Char">
    <w:name w:val="Heading 6 Char"/>
    <w:basedOn w:val="DefaultParagraphFont"/>
    <w:link w:val="Heading6"/>
    <w:rsid w:val="00A566EE"/>
    <w:rPr>
      <w:rFonts w:ascii="Arial" w:eastAsia="Times New Roman" w:hAnsi="Arial" w:cs="Times New Roman"/>
      <w:i/>
      <w:szCs w:val="20"/>
      <w:lang w:eastAsia="zh-CN"/>
    </w:rPr>
  </w:style>
  <w:style w:type="character" w:customStyle="1" w:styleId="Heading7Char">
    <w:name w:val="Heading 7 Char"/>
    <w:basedOn w:val="DefaultParagraphFont"/>
    <w:link w:val="Heading7"/>
    <w:rsid w:val="00A566EE"/>
    <w:rPr>
      <w:rFonts w:ascii="Arial" w:eastAsia="Times New Roman" w:hAnsi="Arial" w:cs="Times New Roman"/>
      <w:sz w:val="20"/>
      <w:szCs w:val="20"/>
      <w:lang w:eastAsia="zh-CN"/>
    </w:rPr>
  </w:style>
  <w:style w:type="character" w:customStyle="1" w:styleId="Heading8Char">
    <w:name w:val="Heading 8 Char"/>
    <w:basedOn w:val="DefaultParagraphFont"/>
    <w:link w:val="Heading8"/>
    <w:rsid w:val="00A566EE"/>
    <w:rPr>
      <w:rFonts w:ascii="Arial" w:eastAsia="Times New Roman" w:hAnsi="Arial" w:cs="Times New Roman"/>
      <w:i/>
      <w:sz w:val="20"/>
      <w:szCs w:val="20"/>
      <w:lang w:eastAsia="zh-CN"/>
    </w:rPr>
  </w:style>
  <w:style w:type="character" w:customStyle="1" w:styleId="Heading9Char">
    <w:name w:val="Heading 9 Char"/>
    <w:basedOn w:val="DefaultParagraphFont"/>
    <w:link w:val="Heading9"/>
    <w:rsid w:val="00A566EE"/>
    <w:rPr>
      <w:rFonts w:ascii="Arial" w:eastAsia="Times New Roman" w:hAnsi="Arial" w:cs="Times New Roman"/>
      <w:i/>
      <w:sz w:val="18"/>
      <w:szCs w:val="20"/>
      <w:lang w:eastAsia="zh-CN"/>
    </w:rPr>
  </w:style>
  <w:style w:type="character" w:styleId="PageNumber">
    <w:name w:val="page number"/>
    <w:rsid w:val="00A566EE"/>
    <w:rPr>
      <w:rFonts w:ascii="Univers" w:hAnsi="Univers"/>
      <w:color w:val="auto"/>
      <w:spacing w:val="0"/>
      <w:kern w:val="0"/>
      <w:position w:val="0"/>
      <w:sz w:val="14"/>
      <w:u w:val="none"/>
      <w:vertAlign w:val="baseline"/>
    </w:rPr>
  </w:style>
  <w:style w:type="paragraph" w:styleId="Footer">
    <w:name w:val="footer"/>
    <w:basedOn w:val="Normal"/>
    <w:link w:val="FooterChar"/>
    <w:rsid w:val="00A566EE"/>
    <w:pPr>
      <w:tabs>
        <w:tab w:val="center" w:pos="4252"/>
        <w:tab w:val="right" w:pos="8504"/>
      </w:tabs>
      <w:spacing w:after="360" w:line="240" w:lineRule="exact"/>
      <w:ind w:left="3969"/>
    </w:pPr>
    <w:rPr>
      <w:rFonts w:ascii="Univers" w:eastAsia="Times New Roman" w:hAnsi="Univers" w:cs="Times New Roman"/>
      <w:sz w:val="14"/>
      <w:szCs w:val="20"/>
      <w:lang w:eastAsia="zh-CN"/>
    </w:rPr>
  </w:style>
  <w:style w:type="character" w:customStyle="1" w:styleId="FooterChar">
    <w:name w:val="Footer Char"/>
    <w:basedOn w:val="DefaultParagraphFont"/>
    <w:link w:val="Footer"/>
    <w:rsid w:val="00A566EE"/>
    <w:rPr>
      <w:rFonts w:ascii="Univers" w:eastAsia="Times New Roman" w:hAnsi="Univers" w:cs="Times New Roman"/>
      <w:sz w:val="14"/>
      <w:szCs w:val="20"/>
      <w:lang w:eastAsia="zh-CN"/>
    </w:rPr>
  </w:style>
  <w:style w:type="character" w:styleId="Hyperlink">
    <w:name w:val="Hyperlink"/>
    <w:rsid w:val="00A566EE"/>
    <w:rPr>
      <w:color w:val="0000FF"/>
      <w:u w:val="single"/>
    </w:rPr>
  </w:style>
  <w:style w:type="paragraph" w:styleId="FootnoteText">
    <w:name w:val="footnote text"/>
    <w:basedOn w:val="Normal"/>
    <w:link w:val="FootnoteTextChar"/>
    <w:semiHidden/>
    <w:rsid w:val="00A566EE"/>
    <w:pPr>
      <w:spacing w:after="0" w:line="280" w:lineRule="atLeast"/>
    </w:pPr>
    <w:rPr>
      <w:rFonts w:ascii="Times New Roman" w:eastAsia="Times New Roman" w:hAnsi="Times New Roman" w:cs="Times New Roman"/>
      <w:sz w:val="20"/>
      <w:szCs w:val="20"/>
      <w:lang w:eastAsia="zh-CN"/>
    </w:rPr>
  </w:style>
  <w:style w:type="character" w:customStyle="1" w:styleId="FootnoteTextChar">
    <w:name w:val="Footnote Text Char"/>
    <w:basedOn w:val="DefaultParagraphFont"/>
    <w:link w:val="FootnoteText"/>
    <w:semiHidden/>
    <w:rsid w:val="00A566EE"/>
    <w:rPr>
      <w:rFonts w:ascii="Times New Roman" w:eastAsia="Times New Roman" w:hAnsi="Times New Roman" w:cs="Times New Roman"/>
      <w:sz w:val="20"/>
      <w:szCs w:val="20"/>
      <w:lang w:eastAsia="zh-CN"/>
    </w:rPr>
  </w:style>
  <w:style w:type="character" w:styleId="FootnoteReference">
    <w:name w:val="footnote reference"/>
    <w:semiHidden/>
    <w:rsid w:val="00A566EE"/>
    <w:rPr>
      <w:vertAlign w:val="superscript"/>
    </w:rPr>
  </w:style>
  <w:style w:type="paragraph" w:styleId="ListParagraph">
    <w:name w:val="List Paragraph"/>
    <w:basedOn w:val="Normal"/>
    <w:uiPriority w:val="34"/>
    <w:qFormat/>
    <w:rsid w:val="00A566EE"/>
    <w:pPr>
      <w:spacing w:after="0" w:line="280" w:lineRule="atLeast"/>
      <w:ind w:left="720"/>
    </w:pPr>
    <w:rPr>
      <w:rFonts w:ascii="Times New Roman" w:eastAsia="Times New Roman" w:hAnsi="Times New Roman" w:cs="Times New Roman"/>
      <w:szCs w:val="20"/>
      <w:lang w:eastAsia="zh-CN"/>
    </w:rPr>
  </w:style>
  <w:style w:type="paragraph" w:customStyle="1" w:styleId="Spreekpunten">
    <w:name w:val="Spreekpunten"/>
    <w:basedOn w:val="Normal"/>
    <w:rsid w:val="00A566EE"/>
    <w:pPr>
      <w:numPr>
        <w:numId w:val="5"/>
      </w:numPr>
      <w:spacing w:after="0" w:line="360" w:lineRule="auto"/>
    </w:pPr>
    <w:rPr>
      <w:rFonts w:ascii="Times New Roman" w:eastAsia="Times New Roman" w:hAnsi="Times New Roman" w:cs="Times New Roman"/>
      <w:bCs/>
      <w:sz w:val="28"/>
      <w:szCs w:val="20"/>
      <w:lang w:val="en-GB" w:eastAsia="nl-NL"/>
    </w:rPr>
  </w:style>
  <w:style w:type="paragraph" w:styleId="PlainText">
    <w:name w:val="Plain Text"/>
    <w:basedOn w:val="Normal"/>
    <w:link w:val="PlainTextChar"/>
    <w:uiPriority w:val="99"/>
    <w:unhideWhenUsed/>
    <w:rsid w:val="00A566EE"/>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A566EE"/>
    <w:rPr>
      <w:rFonts w:ascii="Calibri" w:eastAsia="Calibri" w:hAnsi="Calibri" w:cs="Times New Roman"/>
      <w:szCs w:val="21"/>
    </w:rPr>
  </w:style>
  <w:style w:type="paragraph" w:styleId="Header">
    <w:name w:val="header"/>
    <w:basedOn w:val="Normal"/>
    <w:link w:val="HeaderChar"/>
    <w:uiPriority w:val="99"/>
    <w:unhideWhenUsed/>
    <w:rsid w:val="00A566EE"/>
    <w:pPr>
      <w:tabs>
        <w:tab w:val="center" w:pos="4513"/>
        <w:tab w:val="right" w:pos="9026"/>
      </w:tabs>
      <w:spacing w:after="0" w:line="240" w:lineRule="auto"/>
    </w:pPr>
    <w:rPr>
      <w:rFonts w:ascii="Times New Roman" w:eastAsia="Times New Roman" w:hAnsi="Times New Roman" w:cs="Times New Roman"/>
      <w:szCs w:val="20"/>
      <w:lang w:eastAsia="zh-CN"/>
    </w:rPr>
  </w:style>
  <w:style w:type="character" w:customStyle="1" w:styleId="HeaderChar">
    <w:name w:val="Header Char"/>
    <w:basedOn w:val="DefaultParagraphFont"/>
    <w:link w:val="Header"/>
    <w:uiPriority w:val="99"/>
    <w:rsid w:val="00A566EE"/>
    <w:rPr>
      <w:rFonts w:ascii="Times New Roman" w:eastAsia="Times New Roman" w:hAnsi="Times New Roman" w:cs="Times New Roman"/>
      <w:szCs w:val="20"/>
      <w:lang w:eastAsia="zh-CN"/>
    </w:rPr>
  </w:style>
  <w:style w:type="paragraph" w:styleId="NoSpacing">
    <w:name w:val="No Spacing"/>
    <w:link w:val="NoSpacingChar"/>
    <w:uiPriority w:val="1"/>
    <w:qFormat/>
    <w:rsid w:val="00A566E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566EE"/>
    <w:rPr>
      <w:rFonts w:eastAsiaTheme="minorEastAsia"/>
      <w:lang w:val="en-US"/>
    </w:rPr>
  </w:style>
  <w:style w:type="paragraph" w:styleId="CommentText">
    <w:name w:val="annotation text"/>
    <w:basedOn w:val="Normal"/>
    <w:link w:val="CommentTextChar"/>
    <w:uiPriority w:val="99"/>
    <w:unhideWhenUsed/>
    <w:rsid w:val="00B61630"/>
    <w:pPr>
      <w:spacing w:line="240" w:lineRule="auto"/>
    </w:pPr>
    <w:rPr>
      <w:sz w:val="20"/>
      <w:szCs w:val="20"/>
    </w:rPr>
  </w:style>
  <w:style w:type="character" w:customStyle="1" w:styleId="CommentTextChar">
    <w:name w:val="Comment Text Char"/>
    <w:basedOn w:val="DefaultParagraphFont"/>
    <w:link w:val="CommentText"/>
    <w:uiPriority w:val="99"/>
    <w:rsid w:val="00B61630"/>
    <w:rPr>
      <w:sz w:val="20"/>
      <w:szCs w:val="20"/>
    </w:rPr>
  </w:style>
  <w:style w:type="character" w:styleId="CommentReference">
    <w:name w:val="annotation reference"/>
    <w:basedOn w:val="DefaultParagraphFont"/>
    <w:uiPriority w:val="99"/>
    <w:semiHidden/>
    <w:unhideWhenUsed/>
    <w:rsid w:val="00B61630"/>
    <w:rPr>
      <w:sz w:val="16"/>
      <w:szCs w:val="16"/>
    </w:rPr>
  </w:style>
  <w:style w:type="character" w:styleId="UnresolvedMention">
    <w:name w:val="Unresolved Mention"/>
    <w:basedOn w:val="DefaultParagraphFont"/>
    <w:uiPriority w:val="99"/>
    <w:semiHidden/>
    <w:unhideWhenUsed/>
    <w:rsid w:val="0027657E"/>
    <w:rPr>
      <w:color w:val="605E5C"/>
      <w:shd w:val="clear" w:color="auto" w:fill="E1DFDD"/>
    </w:rPr>
  </w:style>
  <w:style w:type="character" w:styleId="FollowedHyperlink">
    <w:name w:val="FollowedHyperlink"/>
    <w:basedOn w:val="DefaultParagraphFont"/>
    <w:uiPriority w:val="99"/>
    <w:semiHidden/>
    <w:unhideWhenUsed/>
    <w:rsid w:val="0094152E"/>
    <w:rPr>
      <w:color w:val="954F72" w:themeColor="followedHyperlink"/>
      <w:u w:val="single"/>
    </w:rPr>
  </w:style>
  <w:style w:type="paragraph" w:styleId="Revision">
    <w:name w:val="Revision"/>
    <w:hidden/>
    <w:uiPriority w:val="99"/>
    <w:semiHidden/>
    <w:rsid w:val="00CD2C56"/>
    <w:pPr>
      <w:spacing w:after="0" w:line="240" w:lineRule="auto"/>
    </w:pPr>
  </w:style>
  <w:style w:type="paragraph" w:styleId="CommentSubject">
    <w:name w:val="annotation subject"/>
    <w:basedOn w:val="CommentText"/>
    <w:next w:val="CommentText"/>
    <w:link w:val="CommentSubjectChar"/>
    <w:uiPriority w:val="99"/>
    <w:semiHidden/>
    <w:unhideWhenUsed/>
    <w:rsid w:val="004C25E7"/>
    <w:rPr>
      <w:b/>
      <w:bCs/>
    </w:rPr>
  </w:style>
  <w:style w:type="character" w:customStyle="1" w:styleId="CommentSubjectChar">
    <w:name w:val="Comment Subject Char"/>
    <w:basedOn w:val="CommentTextChar"/>
    <w:link w:val="CommentSubject"/>
    <w:uiPriority w:val="99"/>
    <w:semiHidden/>
    <w:rsid w:val="004C25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78360">
      <w:bodyDiv w:val="1"/>
      <w:marLeft w:val="0"/>
      <w:marRight w:val="0"/>
      <w:marTop w:val="0"/>
      <w:marBottom w:val="0"/>
      <w:divBdr>
        <w:top w:val="none" w:sz="0" w:space="0" w:color="auto"/>
        <w:left w:val="none" w:sz="0" w:space="0" w:color="auto"/>
        <w:bottom w:val="none" w:sz="0" w:space="0" w:color="auto"/>
        <w:right w:val="none" w:sz="0" w:space="0" w:color="auto"/>
      </w:divBdr>
    </w:div>
    <w:div w:id="899707099">
      <w:bodyDiv w:val="1"/>
      <w:marLeft w:val="0"/>
      <w:marRight w:val="0"/>
      <w:marTop w:val="0"/>
      <w:marBottom w:val="0"/>
      <w:divBdr>
        <w:top w:val="none" w:sz="0" w:space="0" w:color="auto"/>
        <w:left w:val="none" w:sz="0" w:space="0" w:color="auto"/>
        <w:bottom w:val="none" w:sz="0" w:space="0" w:color="auto"/>
        <w:right w:val="none" w:sz="0" w:space="0" w:color="auto"/>
      </w:divBdr>
    </w:div>
    <w:div w:id="1630162156">
      <w:bodyDiv w:val="1"/>
      <w:marLeft w:val="0"/>
      <w:marRight w:val="0"/>
      <w:marTop w:val="0"/>
      <w:marBottom w:val="0"/>
      <w:divBdr>
        <w:top w:val="none" w:sz="0" w:space="0" w:color="auto"/>
        <w:left w:val="none" w:sz="0" w:space="0" w:color="auto"/>
        <w:bottom w:val="none" w:sz="0" w:space="0" w:color="auto"/>
        <w:right w:val="none" w:sz="0" w:space="0" w:color="auto"/>
      </w:divBdr>
    </w:div>
    <w:div w:id="189368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ELEX:52025DC0725"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3.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system/files/2020-11/lgbtiq_strategy_2020-2025_en.pdf" TargetMode="External"/><Relationship Id="rId2" Type="http://schemas.openxmlformats.org/officeDocument/2006/relationships/hyperlink" Target="https://www.rijksoverheid.nl/documenten/rapporten/2024/11/06/rapport-lhbtiqa-monitor-2024" TargetMode="External"/><Relationship Id="rId1" Type="http://schemas.openxmlformats.org/officeDocument/2006/relationships/hyperlink" Target="https://www.cbs.nl/nl-nl/publicatie/2024/46/emancipatiemonitor-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7</ap:Pages>
  <ap:Words>2971</ap:Words>
  <ap:Characters>16346</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2025-10-28T11:39:00.0000000Z</lastPrinted>
  <dcterms:created xsi:type="dcterms:W3CDTF">2025-11-14T10:53:00.0000000Z</dcterms:created>
  <dcterms:modified xsi:type="dcterms:W3CDTF">2025-11-14T10:53:00.0000000Z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ClassificationContentMarkingFooterShapeIds">
    <vt:lpwstr>17339279,21c648c1,6d22b6ac</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_dlc_DocIdItemGuid">
    <vt:lpwstr>1003605d-92c4-49d0-a717-65fe3b102b53</vt:lpwstr>
  </property>
  <property fmtid="{D5CDD505-2E9C-101B-9397-08002B2CF9AE}" pid="7" name="BZForumOrganisation">
    <vt:lpwstr>2;#Not applicable|0049e722-bfb1-4a3f-9d08-af7366a9af40</vt:lpwstr>
  </property>
  <property fmtid="{D5CDD505-2E9C-101B-9397-08002B2CF9AE}" pid="8" name="BZTheme">
    <vt:lpwstr>1;#Not applicable|ec01d90b-9d0f-4785-8785-e1ea615196bf</vt:lpwstr>
  </property>
  <property fmtid="{D5CDD505-2E9C-101B-9397-08002B2CF9AE}" pid="9" name="BZCountryState">
    <vt:lpwstr>3;#Not applicable|ec01d90b-9d0f-4785-8785-e1ea615196bf</vt:lpwstr>
  </property>
  <property fmtid="{D5CDD505-2E9C-101B-9397-08002B2CF9AE}" pid="10" name="BZMarking">
    <vt:lpwstr>5;#NO MARKING|0a4eb9ae-69eb-4d9e-b573-43ab99ef8592</vt:lpwstr>
  </property>
  <property fmtid="{D5CDD505-2E9C-101B-9397-08002B2CF9AE}" pid="11" name="BZClassification">
    <vt:lpwstr>4;#UNCLASSIFIED (U)|284e6a62-15ab-4017-be27-a1e965f4e940</vt:lpwstr>
  </property>
</Properties>
</file>