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78F7" w:rsidR="00AB78F7" w:rsidP="00AB78F7" w:rsidRDefault="00AB78F7" w14:paraId="66BC9042" w14:textId="793D0B4D">
      <w:pPr>
        <w:spacing w:line="360" w:lineRule="auto"/>
        <w:rPr>
          <w:rFonts w:ascii="Verdana" w:hAnsi="Verdana"/>
          <w:b/>
          <w:sz w:val="18"/>
          <w:szCs w:val="18"/>
        </w:rPr>
      </w:pPr>
      <w:bookmarkStart w:name="_Hlk212111437" w:id="0"/>
      <w:bookmarkStart w:name="_Hlk213148276" w:id="1"/>
      <w:r w:rsidRPr="00AB78F7">
        <w:rPr>
          <w:rFonts w:ascii="Verdana" w:hAnsi="Verdana"/>
          <w:b/>
          <w:sz w:val="18"/>
          <w:szCs w:val="18"/>
        </w:rPr>
        <w:t xml:space="preserve">Fiche </w:t>
      </w:r>
      <w:r w:rsidR="00C62380">
        <w:rPr>
          <w:rFonts w:ascii="Verdana" w:hAnsi="Verdana"/>
          <w:b/>
          <w:sz w:val="18"/>
          <w:szCs w:val="18"/>
        </w:rPr>
        <w:t>4</w:t>
      </w:r>
      <w:r w:rsidRPr="00AB78F7">
        <w:rPr>
          <w:rFonts w:ascii="Verdana" w:hAnsi="Verdana"/>
          <w:b/>
          <w:sz w:val="18"/>
          <w:szCs w:val="18"/>
        </w:rPr>
        <w:t xml:space="preserve">: Mededeling Pact voor Middellandse Zeegebied </w:t>
      </w:r>
    </w:p>
    <w:p w:rsidRPr="00AB78F7" w:rsidR="00AB78F7" w:rsidP="00AB78F7" w:rsidRDefault="00AB78F7" w14:paraId="6AF7347A" w14:textId="77777777">
      <w:pPr>
        <w:spacing w:line="360" w:lineRule="auto"/>
        <w:rPr>
          <w:rFonts w:ascii="Verdana" w:hAnsi="Verdana"/>
          <w:b/>
          <w:sz w:val="18"/>
          <w:szCs w:val="18"/>
          <w:u w:val="single"/>
        </w:rPr>
      </w:pPr>
    </w:p>
    <w:p w:rsidRPr="00AB78F7" w:rsidR="00AB78F7" w:rsidP="00AB78F7" w:rsidRDefault="00AB78F7" w14:paraId="28A519DE" w14:textId="77777777">
      <w:pPr>
        <w:numPr>
          <w:ilvl w:val="0"/>
          <w:numId w:val="8"/>
        </w:numPr>
        <w:spacing w:line="360" w:lineRule="auto"/>
        <w:rPr>
          <w:rFonts w:ascii="Verdana" w:hAnsi="Verdana"/>
          <w:bCs/>
          <w:sz w:val="18"/>
          <w:szCs w:val="18"/>
        </w:rPr>
      </w:pPr>
      <w:r w:rsidRPr="00AB78F7">
        <w:rPr>
          <w:rFonts w:ascii="Verdana" w:hAnsi="Verdana"/>
          <w:b/>
          <w:sz w:val="18"/>
          <w:szCs w:val="18"/>
        </w:rPr>
        <w:t>Algemene gegevens</w:t>
      </w:r>
      <w:r w:rsidRPr="00AB78F7">
        <w:rPr>
          <w:rFonts w:ascii="Verdana" w:hAnsi="Verdana"/>
          <w:bCs/>
          <w:sz w:val="18"/>
          <w:szCs w:val="18"/>
        </w:rPr>
        <w:br/>
      </w:r>
    </w:p>
    <w:p w:rsidRPr="00AB78F7" w:rsidR="00AB78F7" w:rsidP="00AB78F7" w:rsidRDefault="00AB78F7" w14:paraId="60DE22B4" w14:textId="77777777">
      <w:pPr>
        <w:numPr>
          <w:ilvl w:val="0"/>
          <w:numId w:val="9"/>
        </w:numPr>
        <w:spacing w:line="360" w:lineRule="auto"/>
        <w:rPr>
          <w:rFonts w:ascii="Verdana" w:hAnsi="Verdana"/>
          <w:bCs/>
          <w:i/>
          <w:iCs/>
          <w:sz w:val="18"/>
          <w:szCs w:val="18"/>
        </w:rPr>
      </w:pPr>
      <w:r w:rsidRPr="00AB78F7">
        <w:rPr>
          <w:rFonts w:ascii="Verdana" w:hAnsi="Verdana"/>
          <w:bCs/>
          <w:i/>
          <w:iCs/>
          <w:sz w:val="18"/>
          <w:szCs w:val="18"/>
        </w:rPr>
        <w:t>Titel voorstel</w:t>
      </w:r>
    </w:p>
    <w:p w:rsidRPr="00AB78F7" w:rsidR="00AB78F7" w:rsidP="00AB78F7" w:rsidRDefault="00AB78F7" w14:paraId="44E6310D" w14:textId="77777777">
      <w:pPr>
        <w:spacing w:line="360" w:lineRule="auto"/>
        <w:rPr>
          <w:rFonts w:ascii="Verdana" w:hAnsi="Verdana"/>
          <w:bCs/>
          <w:sz w:val="18"/>
          <w:szCs w:val="18"/>
        </w:rPr>
      </w:pPr>
      <w:r w:rsidRPr="00AB78F7">
        <w:rPr>
          <w:rFonts w:ascii="Verdana" w:hAnsi="Verdana"/>
          <w:bCs/>
          <w:sz w:val="18"/>
          <w:szCs w:val="18"/>
        </w:rPr>
        <w:t>Gezamenlijke mededeling aan het Europees Parlement, de Raad, het Europees Economisch En Sociaal Comité en het Comité Van De Regio’s. het pact voor het Middellandse Zeegebied: één zee, één pact, één toekomst</w:t>
      </w:r>
    </w:p>
    <w:p w:rsidRPr="00AB78F7" w:rsidR="00AB78F7" w:rsidP="00AB78F7" w:rsidRDefault="00AB78F7" w14:paraId="4DF49B82" w14:textId="77777777">
      <w:pPr>
        <w:spacing w:line="360" w:lineRule="auto"/>
        <w:rPr>
          <w:rFonts w:ascii="Verdana" w:hAnsi="Verdana"/>
          <w:bCs/>
          <w:sz w:val="18"/>
          <w:szCs w:val="18"/>
        </w:rPr>
      </w:pPr>
    </w:p>
    <w:p w:rsidRPr="00AB78F7" w:rsidR="00AB78F7" w:rsidP="00AB78F7" w:rsidRDefault="00AB78F7" w14:paraId="3BFEB79F" w14:textId="77777777">
      <w:pPr>
        <w:numPr>
          <w:ilvl w:val="0"/>
          <w:numId w:val="9"/>
        </w:numPr>
        <w:spacing w:line="360" w:lineRule="auto"/>
        <w:rPr>
          <w:rFonts w:ascii="Verdana" w:hAnsi="Verdana"/>
          <w:bCs/>
          <w:i/>
          <w:iCs/>
          <w:sz w:val="18"/>
          <w:szCs w:val="18"/>
        </w:rPr>
      </w:pPr>
      <w:r w:rsidRPr="00AB78F7">
        <w:rPr>
          <w:rFonts w:ascii="Verdana" w:hAnsi="Verdana"/>
          <w:bCs/>
          <w:i/>
          <w:iCs/>
          <w:sz w:val="18"/>
          <w:szCs w:val="18"/>
        </w:rPr>
        <w:t>Datum ontvangst Commissiedocument</w:t>
      </w:r>
    </w:p>
    <w:p w:rsidRPr="00AB78F7" w:rsidR="00AB78F7" w:rsidP="00AB78F7" w:rsidRDefault="00AB78F7" w14:paraId="35D73018" w14:textId="77777777">
      <w:pPr>
        <w:spacing w:line="360" w:lineRule="auto"/>
        <w:rPr>
          <w:rFonts w:ascii="Verdana" w:hAnsi="Verdana"/>
          <w:bCs/>
          <w:sz w:val="18"/>
          <w:szCs w:val="18"/>
        </w:rPr>
      </w:pPr>
      <w:r w:rsidRPr="00AB78F7">
        <w:rPr>
          <w:rFonts w:ascii="Verdana" w:hAnsi="Verdana"/>
          <w:bCs/>
          <w:sz w:val="18"/>
          <w:szCs w:val="18"/>
        </w:rPr>
        <w:t>16 oktober 2025</w:t>
      </w:r>
    </w:p>
    <w:p w:rsidRPr="00AB78F7" w:rsidR="00AB78F7" w:rsidP="00AB78F7" w:rsidRDefault="00AB78F7" w14:paraId="1B5CE0B0" w14:textId="77777777">
      <w:pPr>
        <w:spacing w:line="360" w:lineRule="auto"/>
        <w:rPr>
          <w:rFonts w:ascii="Verdana" w:hAnsi="Verdana"/>
          <w:bCs/>
          <w:sz w:val="18"/>
          <w:szCs w:val="18"/>
        </w:rPr>
      </w:pPr>
    </w:p>
    <w:p w:rsidRPr="00AB78F7" w:rsidR="00AB78F7" w:rsidP="00AB78F7" w:rsidRDefault="00AB78F7" w14:paraId="55247CDA" w14:textId="77777777">
      <w:pPr>
        <w:numPr>
          <w:ilvl w:val="0"/>
          <w:numId w:val="9"/>
        </w:numPr>
        <w:spacing w:line="360" w:lineRule="auto"/>
        <w:rPr>
          <w:rFonts w:ascii="Verdana" w:hAnsi="Verdana"/>
          <w:bCs/>
          <w:i/>
          <w:iCs/>
          <w:sz w:val="18"/>
          <w:szCs w:val="18"/>
        </w:rPr>
      </w:pPr>
      <w:r w:rsidRPr="00AB78F7">
        <w:rPr>
          <w:rFonts w:ascii="Verdana" w:hAnsi="Verdana"/>
          <w:bCs/>
          <w:i/>
          <w:iCs/>
          <w:sz w:val="18"/>
          <w:szCs w:val="18"/>
        </w:rPr>
        <w:t>Nr. Commissiedocument</w:t>
      </w:r>
    </w:p>
    <w:p w:rsidRPr="00AB78F7" w:rsidR="00AB78F7" w:rsidP="00AB78F7" w:rsidRDefault="00AB78F7" w14:paraId="73D6AAE2" w14:textId="77777777">
      <w:pPr>
        <w:spacing w:line="360" w:lineRule="auto"/>
        <w:rPr>
          <w:rFonts w:ascii="Verdana" w:hAnsi="Verdana"/>
          <w:bCs/>
          <w:sz w:val="18"/>
          <w:szCs w:val="18"/>
        </w:rPr>
      </w:pPr>
      <w:r w:rsidRPr="00AB78F7">
        <w:rPr>
          <w:rFonts w:ascii="Verdana" w:hAnsi="Verdana"/>
          <w:bCs/>
          <w:sz w:val="18"/>
          <w:szCs w:val="18"/>
        </w:rPr>
        <w:t>JOIN(2025) 26</w:t>
      </w:r>
    </w:p>
    <w:p w:rsidRPr="00AB78F7" w:rsidR="00AB78F7" w:rsidP="00AB78F7" w:rsidRDefault="00AB78F7" w14:paraId="0D668B54" w14:textId="77777777">
      <w:pPr>
        <w:spacing w:line="360" w:lineRule="auto"/>
        <w:rPr>
          <w:rFonts w:ascii="Verdana" w:hAnsi="Verdana"/>
          <w:bCs/>
          <w:sz w:val="18"/>
          <w:szCs w:val="18"/>
        </w:rPr>
      </w:pPr>
    </w:p>
    <w:p w:rsidRPr="00AB78F7" w:rsidR="00AB78F7" w:rsidP="00AB78F7" w:rsidRDefault="00AB78F7" w14:paraId="31FBC64C" w14:textId="77777777">
      <w:pPr>
        <w:numPr>
          <w:ilvl w:val="0"/>
          <w:numId w:val="9"/>
        </w:numPr>
        <w:spacing w:line="360" w:lineRule="auto"/>
        <w:rPr>
          <w:rFonts w:ascii="Verdana" w:hAnsi="Verdana"/>
          <w:bCs/>
          <w:i/>
          <w:iCs/>
          <w:sz w:val="18"/>
          <w:szCs w:val="18"/>
        </w:rPr>
      </w:pPr>
      <w:r w:rsidRPr="00AB78F7">
        <w:rPr>
          <w:rFonts w:ascii="Verdana" w:hAnsi="Verdana"/>
          <w:bCs/>
          <w:i/>
          <w:iCs/>
          <w:sz w:val="18"/>
          <w:szCs w:val="18"/>
        </w:rPr>
        <w:t>EUR-Lex</w:t>
      </w:r>
    </w:p>
    <w:p w:rsidRPr="00AB78F7" w:rsidR="00AB78F7" w:rsidP="00AB78F7" w:rsidRDefault="00AB78F7" w14:paraId="22F30E9A" w14:textId="77777777">
      <w:pPr>
        <w:spacing w:line="360" w:lineRule="auto"/>
        <w:rPr>
          <w:rFonts w:ascii="Verdana" w:hAnsi="Verdana"/>
          <w:bCs/>
          <w:sz w:val="18"/>
          <w:szCs w:val="18"/>
        </w:rPr>
      </w:pPr>
      <w:hyperlink w:history="1" r:id="rId11">
        <w:r w:rsidRPr="00AB78F7">
          <w:rPr>
            <w:rStyle w:val="Hyperlink"/>
            <w:rFonts w:ascii="Verdana" w:hAnsi="Verdana"/>
            <w:bCs/>
            <w:sz w:val="18"/>
            <w:szCs w:val="18"/>
          </w:rPr>
          <w:t>https://eur-lex.europa.eu/legal-content/NL/TXT/?uri=CELEX%3A52025JC0026&amp;qid=1761119034186</w:t>
        </w:r>
      </w:hyperlink>
    </w:p>
    <w:p w:rsidRPr="00AB78F7" w:rsidR="00AB78F7" w:rsidP="00AB78F7" w:rsidRDefault="00AB78F7" w14:paraId="6183FE3D" w14:textId="77777777">
      <w:pPr>
        <w:spacing w:line="360" w:lineRule="auto"/>
        <w:rPr>
          <w:rFonts w:ascii="Verdana" w:hAnsi="Verdana"/>
          <w:bCs/>
          <w:sz w:val="18"/>
          <w:szCs w:val="18"/>
        </w:rPr>
      </w:pPr>
    </w:p>
    <w:p w:rsidRPr="00AB78F7" w:rsidR="00AB78F7" w:rsidP="00AB78F7" w:rsidRDefault="00AB78F7" w14:paraId="1FBD5144" w14:textId="77777777">
      <w:pPr>
        <w:numPr>
          <w:ilvl w:val="0"/>
          <w:numId w:val="9"/>
        </w:numPr>
        <w:spacing w:line="360" w:lineRule="auto"/>
        <w:rPr>
          <w:rFonts w:ascii="Verdana" w:hAnsi="Verdana"/>
          <w:bCs/>
          <w:i/>
          <w:iCs/>
          <w:sz w:val="18"/>
          <w:szCs w:val="18"/>
        </w:rPr>
      </w:pPr>
      <w:r w:rsidRPr="00AB78F7">
        <w:rPr>
          <w:rFonts w:ascii="Verdana" w:hAnsi="Verdana"/>
          <w:bCs/>
          <w:i/>
          <w:iCs/>
          <w:sz w:val="18"/>
          <w:szCs w:val="18"/>
        </w:rPr>
        <w:t xml:space="preserve">Nr. impact assessment Commissie en Opinie </w:t>
      </w:r>
      <w:r w:rsidRPr="00AB78F7">
        <w:rPr>
          <w:rFonts w:ascii="Verdana" w:hAnsi="Verdana"/>
          <w:bCs/>
          <w:i/>
          <w:sz w:val="18"/>
          <w:szCs w:val="18"/>
        </w:rPr>
        <w:t>Raad voor Regelgevingstoetsing</w:t>
      </w:r>
      <w:r w:rsidRPr="00AB78F7">
        <w:rPr>
          <w:rFonts w:ascii="Verdana" w:hAnsi="Verdana"/>
          <w:bCs/>
          <w:sz w:val="18"/>
          <w:szCs w:val="18"/>
        </w:rPr>
        <w:t xml:space="preserve"> </w:t>
      </w:r>
    </w:p>
    <w:p w:rsidRPr="00AB78F7" w:rsidR="00AB78F7" w:rsidP="00AB78F7" w:rsidRDefault="00AB78F7" w14:paraId="3CE34EC8" w14:textId="77777777">
      <w:pPr>
        <w:spacing w:line="360" w:lineRule="auto"/>
        <w:rPr>
          <w:rFonts w:ascii="Verdana" w:hAnsi="Verdana"/>
          <w:bCs/>
          <w:iCs/>
          <w:sz w:val="18"/>
          <w:szCs w:val="18"/>
        </w:rPr>
      </w:pPr>
      <w:r w:rsidRPr="00AB78F7">
        <w:rPr>
          <w:rFonts w:ascii="Verdana" w:hAnsi="Verdana"/>
          <w:bCs/>
          <w:iCs/>
          <w:sz w:val="18"/>
          <w:szCs w:val="18"/>
        </w:rPr>
        <w:t>Niet opgesteld</w:t>
      </w:r>
    </w:p>
    <w:p w:rsidRPr="00AB78F7" w:rsidR="00AB78F7" w:rsidP="00AB78F7" w:rsidRDefault="00AB78F7" w14:paraId="77522785" w14:textId="77777777">
      <w:pPr>
        <w:spacing w:line="360" w:lineRule="auto"/>
        <w:rPr>
          <w:rFonts w:ascii="Verdana" w:hAnsi="Verdana"/>
          <w:bCs/>
          <w:iCs/>
          <w:sz w:val="18"/>
          <w:szCs w:val="18"/>
        </w:rPr>
      </w:pPr>
    </w:p>
    <w:p w:rsidRPr="00AB78F7" w:rsidR="00AB78F7" w:rsidP="00AB78F7" w:rsidRDefault="00AB78F7" w14:paraId="25C3037E" w14:textId="77777777">
      <w:pPr>
        <w:numPr>
          <w:ilvl w:val="0"/>
          <w:numId w:val="9"/>
        </w:numPr>
        <w:spacing w:line="360" w:lineRule="auto"/>
        <w:rPr>
          <w:rFonts w:ascii="Verdana" w:hAnsi="Verdana"/>
          <w:bCs/>
          <w:i/>
          <w:iCs/>
          <w:sz w:val="18"/>
          <w:szCs w:val="18"/>
        </w:rPr>
      </w:pPr>
      <w:r w:rsidRPr="00AB78F7">
        <w:rPr>
          <w:rFonts w:ascii="Verdana" w:hAnsi="Verdana"/>
          <w:bCs/>
          <w:i/>
          <w:iCs/>
          <w:sz w:val="18"/>
          <w:szCs w:val="18"/>
        </w:rPr>
        <w:t>Behandelingstraject Raad</w:t>
      </w:r>
    </w:p>
    <w:p w:rsidRPr="00AB78F7" w:rsidR="00AB78F7" w:rsidP="00AB78F7" w:rsidRDefault="00AB78F7" w14:paraId="4569BB16" w14:textId="77777777">
      <w:pPr>
        <w:spacing w:line="360" w:lineRule="auto"/>
        <w:rPr>
          <w:rFonts w:ascii="Verdana" w:hAnsi="Verdana"/>
          <w:bCs/>
          <w:sz w:val="18"/>
          <w:szCs w:val="18"/>
        </w:rPr>
      </w:pPr>
      <w:r w:rsidRPr="00AB78F7">
        <w:rPr>
          <w:rFonts w:ascii="Verdana" w:hAnsi="Verdana"/>
          <w:bCs/>
          <w:sz w:val="18"/>
          <w:szCs w:val="18"/>
        </w:rPr>
        <w:t>Raad Buitenlandse Zaken</w:t>
      </w:r>
    </w:p>
    <w:p w:rsidRPr="00AB78F7" w:rsidR="00AB78F7" w:rsidP="00AB78F7" w:rsidRDefault="00AB78F7" w14:paraId="043B0B52" w14:textId="77777777">
      <w:pPr>
        <w:spacing w:line="360" w:lineRule="auto"/>
        <w:rPr>
          <w:rFonts w:ascii="Verdana" w:hAnsi="Verdana"/>
          <w:bCs/>
          <w:sz w:val="18"/>
          <w:szCs w:val="18"/>
        </w:rPr>
      </w:pPr>
    </w:p>
    <w:p w:rsidRPr="00AB78F7" w:rsidR="00AB78F7" w:rsidP="00AB78F7" w:rsidRDefault="00AB78F7" w14:paraId="682DF179" w14:textId="77777777">
      <w:pPr>
        <w:numPr>
          <w:ilvl w:val="0"/>
          <w:numId w:val="9"/>
        </w:numPr>
        <w:spacing w:line="360" w:lineRule="auto"/>
        <w:rPr>
          <w:rFonts w:ascii="Verdana" w:hAnsi="Verdana"/>
          <w:bCs/>
          <w:i/>
          <w:sz w:val="18"/>
          <w:szCs w:val="18"/>
        </w:rPr>
      </w:pPr>
      <w:r w:rsidRPr="00AB78F7">
        <w:rPr>
          <w:rFonts w:ascii="Verdana" w:hAnsi="Verdana"/>
          <w:bCs/>
          <w:i/>
          <w:sz w:val="18"/>
          <w:szCs w:val="18"/>
        </w:rPr>
        <w:t>Eerstverantwoordelijk ministerie</w:t>
      </w:r>
    </w:p>
    <w:p w:rsidRPr="00AB78F7" w:rsidR="00AB78F7" w:rsidP="00AB78F7" w:rsidRDefault="00AB78F7" w14:paraId="4595A0FF" w14:textId="77777777">
      <w:pPr>
        <w:spacing w:line="360" w:lineRule="auto"/>
        <w:rPr>
          <w:rFonts w:ascii="Verdana" w:hAnsi="Verdana"/>
          <w:bCs/>
          <w:sz w:val="18"/>
          <w:szCs w:val="18"/>
        </w:rPr>
      </w:pPr>
      <w:r w:rsidRPr="00AB78F7">
        <w:rPr>
          <w:rFonts w:ascii="Verdana" w:hAnsi="Verdana"/>
          <w:bCs/>
          <w:sz w:val="18"/>
          <w:szCs w:val="18"/>
        </w:rPr>
        <w:t>Ministerie van Buitenlandse Zaken in nauwe samenwerking met het Ministerie van Asiel en Migratie</w:t>
      </w:r>
    </w:p>
    <w:p w:rsidRPr="00AB78F7" w:rsidR="00AB78F7" w:rsidP="00AB78F7" w:rsidRDefault="00AB78F7" w14:paraId="184E4203" w14:textId="77777777">
      <w:pPr>
        <w:spacing w:line="360" w:lineRule="auto"/>
        <w:rPr>
          <w:rFonts w:ascii="Verdana" w:hAnsi="Verdana"/>
          <w:bCs/>
          <w:sz w:val="18"/>
          <w:szCs w:val="18"/>
        </w:rPr>
      </w:pPr>
    </w:p>
    <w:p w:rsidRPr="00AB78F7" w:rsidR="00AB78F7" w:rsidP="00AB78F7" w:rsidRDefault="00AB78F7" w14:paraId="0D472BBC" w14:textId="77777777">
      <w:pPr>
        <w:numPr>
          <w:ilvl w:val="0"/>
          <w:numId w:val="8"/>
        </w:numPr>
        <w:spacing w:line="360" w:lineRule="auto"/>
        <w:rPr>
          <w:rFonts w:ascii="Verdana" w:hAnsi="Verdana"/>
          <w:b/>
          <w:sz w:val="18"/>
          <w:szCs w:val="18"/>
        </w:rPr>
      </w:pPr>
      <w:r w:rsidRPr="00AB78F7">
        <w:rPr>
          <w:rFonts w:ascii="Verdana" w:hAnsi="Verdana"/>
          <w:b/>
          <w:sz w:val="18"/>
          <w:szCs w:val="18"/>
        </w:rPr>
        <w:t>Essentie voorstel</w:t>
      </w:r>
    </w:p>
    <w:p w:rsidRPr="00AB78F7" w:rsidR="00AB78F7" w:rsidP="00AB78F7" w:rsidRDefault="00AB78F7" w14:paraId="7E657913" w14:textId="77777777">
      <w:pPr>
        <w:spacing w:line="360" w:lineRule="auto"/>
        <w:rPr>
          <w:rFonts w:ascii="Verdana" w:hAnsi="Verdana"/>
          <w:bCs/>
          <w:sz w:val="18"/>
          <w:szCs w:val="18"/>
        </w:rPr>
      </w:pPr>
      <w:r w:rsidRPr="00AB78F7">
        <w:rPr>
          <w:rFonts w:ascii="Verdana" w:hAnsi="Verdana"/>
          <w:bCs/>
          <w:sz w:val="18"/>
          <w:szCs w:val="18"/>
        </w:rPr>
        <w:t xml:space="preserve">De Europese Commissie (hierna: de Commissie) en de EU Hoge Vertegenwoordiger voor Buitenlandse Zaken en Veiligheidsbeleid publiceerden op 16 oktober jl. hun gezamenlijke mededeling over het nieuwe Pact voor het Middellandse Zeegebied (hierna: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is de nieuwe overkoepelende EU-strategie voor de samenwerking tussen de EU en de partners </w:t>
      </w:r>
      <w:r w:rsidRPr="00AB78F7">
        <w:rPr>
          <w:rFonts w:ascii="Verdana" w:hAnsi="Verdana"/>
          <w:bCs/>
          <w:iCs/>
          <w:sz w:val="18"/>
          <w:szCs w:val="18"/>
        </w:rPr>
        <w:t xml:space="preserve">in de </w:t>
      </w:r>
      <w:r w:rsidRPr="00AB78F7">
        <w:rPr>
          <w:rFonts w:ascii="Verdana" w:hAnsi="Verdana"/>
          <w:bCs/>
          <w:sz w:val="18"/>
          <w:szCs w:val="18"/>
        </w:rPr>
        <w:t xml:space="preserve">Zuidelijk Nabuurschapsregio, die Algerije, Egypte, Israël, Jordanië, Libanon, Libië, Marokko, de Palestijnse gebieden, Syrië en Tunesië. Met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legt de EU</w:t>
      </w:r>
      <w:r w:rsidRPr="00AB78F7">
        <w:rPr>
          <w:rFonts w:ascii="Verdana" w:hAnsi="Verdana"/>
          <w:bCs/>
          <w:iCs/>
          <w:sz w:val="18"/>
          <w:szCs w:val="18"/>
        </w:rPr>
        <w:t xml:space="preserve"> </w:t>
      </w:r>
      <w:r w:rsidRPr="00AB78F7">
        <w:rPr>
          <w:rFonts w:ascii="Verdana" w:hAnsi="Verdana"/>
          <w:bCs/>
          <w:sz w:val="18"/>
          <w:szCs w:val="18"/>
        </w:rPr>
        <w:t xml:space="preserve">de strategische ambities voor deze regio </w:t>
      </w:r>
      <w:r w:rsidRPr="00AB78F7">
        <w:rPr>
          <w:rFonts w:ascii="Verdana" w:hAnsi="Verdana"/>
          <w:bCs/>
          <w:iCs/>
          <w:sz w:val="18"/>
          <w:szCs w:val="18"/>
        </w:rPr>
        <w:t>vast en</w:t>
      </w:r>
      <w:r w:rsidRPr="00AB78F7">
        <w:rPr>
          <w:rFonts w:ascii="Verdana" w:hAnsi="Verdana"/>
          <w:bCs/>
          <w:sz w:val="18"/>
          <w:szCs w:val="18"/>
        </w:rPr>
        <w:t xml:space="preserve"> presenteert de Unie zich als betrouwbare partner in een veranderend geopolitiek krachtenveld. Ook biedt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een leidraad om integratie in en rond het Middellandse Zeegebied te versterken op basis van gedeeld eigenaarschap, verantwoordelijkheid en samenwerking. </w:t>
      </w:r>
      <w:r w:rsidRPr="00AB78F7">
        <w:rPr>
          <w:rFonts w:ascii="Verdana" w:hAnsi="Verdana"/>
          <w:bCs/>
          <w:iCs/>
          <w:sz w:val="18"/>
          <w:szCs w:val="18"/>
        </w:rPr>
        <w:t xml:space="preserve">Het </w:t>
      </w:r>
      <w:proofErr w:type="spellStart"/>
      <w:r w:rsidRPr="00AB78F7">
        <w:rPr>
          <w:rFonts w:ascii="Verdana" w:hAnsi="Verdana"/>
          <w:bCs/>
          <w:iCs/>
          <w:sz w:val="18"/>
          <w:szCs w:val="18"/>
        </w:rPr>
        <w:t>MedPact</w:t>
      </w:r>
      <w:proofErr w:type="spellEnd"/>
      <w:r w:rsidRPr="00AB78F7">
        <w:rPr>
          <w:rFonts w:ascii="Verdana" w:hAnsi="Verdana"/>
          <w:bCs/>
          <w:iCs/>
          <w:sz w:val="18"/>
          <w:szCs w:val="18"/>
        </w:rPr>
        <w:t xml:space="preserve"> heeft drie nauw verbonden pijlers. </w:t>
      </w:r>
    </w:p>
    <w:p w:rsidRPr="00AB78F7" w:rsidR="00AB78F7" w:rsidP="00AB78F7" w:rsidRDefault="00AB78F7" w14:paraId="15E2CD6F" w14:textId="77777777">
      <w:pPr>
        <w:spacing w:line="360" w:lineRule="auto"/>
        <w:rPr>
          <w:rFonts w:ascii="Verdana" w:hAnsi="Verdana"/>
          <w:bCs/>
          <w:iCs/>
          <w:sz w:val="18"/>
          <w:szCs w:val="18"/>
        </w:rPr>
      </w:pPr>
    </w:p>
    <w:p w:rsidR="00830EA0" w:rsidP="00AB78F7" w:rsidRDefault="00AB78F7" w14:paraId="180254D8" w14:textId="77777777">
      <w:pPr>
        <w:spacing w:line="360" w:lineRule="auto"/>
        <w:rPr>
          <w:rFonts w:ascii="Verdana" w:hAnsi="Verdana"/>
          <w:bCs/>
          <w:sz w:val="18"/>
          <w:szCs w:val="18"/>
        </w:rPr>
      </w:pPr>
      <w:r w:rsidRPr="00AB78F7">
        <w:rPr>
          <w:rFonts w:ascii="Verdana" w:hAnsi="Verdana"/>
          <w:bCs/>
          <w:sz w:val="18"/>
          <w:szCs w:val="18"/>
        </w:rPr>
        <w:t xml:space="preserve">De eerste </w:t>
      </w:r>
      <w:r w:rsidRPr="00AB78F7">
        <w:rPr>
          <w:rFonts w:ascii="Verdana" w:hAnsi="Verdana"/>
          <w:bCs/>
          <w:iCs/>
          <w:sz w:val="18"/>
          <w:szCs w:val="18"/>
        </w:rPr>
        <w:t>pijler</w:t>
      </w:r>
      <w:r w:rsidRPr="00AB78F7">
        <w:rPr>
          <w:rFonts w:ascii="Verdana" w:hAnsi="Verdana"/>
          <w:bCs/>
          <w:sz w:val="18"/>
          <w:szCs w:val="18"/>
        </w:rPr>
        <w:t>, ‘</w:t>
      </w:r>
      <w:r w:rsidRPr="00AB78F7">
        <w:rPr>
          <w:rFonts w:ascii="Verdana" w:hAnsi="Verdana"/>
          <w:bCs/>
          <w:iCs/>
          <w:sz w:val="18"/>
          <w:szCs w:val="18"/>
        </w:rPr>
        <w:t>mensen als drijvende kracht’</w:t>
      </w:r>
      <w:r w:rsidRPr="00AB78F7">
        <w:rPr>
          <w:rFonts w:ascii="Verdana" w:hAnsi="Verdana"/>
          <w:bCs/>
          <w:sz w:val="18"/>
          <w:szCs w:val="18"/>
        </w:rPr>
        <w:t xml:space="preserve">, draait om samenwerking op onderwijs, arbeidsmarkt en demografie, en bevat vier nieuwe initiatieven. </w:t>
      </w:r>
    </w:p>
    <w:p w:rsidRPr="00AB78F7" w:rsidR="00AB78F7" w:rsidP="00AB78F7" w:rsidRDefault="00AB78F7" w14:paraId="38EFD4CC" w14:textId="0A66777B">
      <w:pPr>
        <w:spacing w:line="360" w:lineRule="auto"/>
        <w:rPr>
          <w:rFonts w:ascii="Verdana" w:hAnsi="Verdana"/>
          <w:bCs/>
          <w:sz w:val="18"/>
          <w:szCs w:val="18"/>
        </w:rPr>
      </w:pPr>
      <w:r w:rsidRPr="00AB78F7">
        <w:rPr>
          <w:rFonts w:ascii="Verdana" w:hAnsi="Verdana"/>
          <w:bCs/>
          <w:sz w:val="18"/>
          <w:szCs w:val="18"/>
        </w:rPr>
        <w:lastRenderedPageBreak/>
        <w:t xml:space="preserve">Deze initiatieven hebben betrekking op 1) hoger onderwijs, vaardigheden, onderzoek en innovatie; 2) het afstemmen van onderwijs en beroepsopleidingen; 3) cultuur, sport en toerisme; en 4) het versterken van het maatschappelijk middenveld, de positie van jongeren en lokale gemeenschappen. </w:t>
      </w:r>
    </w:p>
    <w:p w:rsidRPr="00AB78F7" w:rsidR="00AB78F7" w:rsidP="00AB78F7" w:rsidRDefault="00AB78F7" w14:paraId="63C355CC" w14:textId="77777777">
      <w:pPr>
        <w:spacing w:line="360" w:lineRule="auto"/>
        <w:rPr>
          <w:rFonts w:ascii="Verdana" w:hAnsi="Verdana"/>
          <w:bCs/>
          <w:iCs/>
          <w:sz w:val="18"/>
          <w:szCs w:val="18"/>
        </w:rPr>
      </w:pPr>
    </w:p>
    <w:p w:rsidRPr="00AB78F7" w:rsidR="00AB78F7" w:rsidP="00AB78F7" w:rsidRDefault="00AB78F7" w14:paraId="57BF5C15" w14:textId="77777777">
      <w:pPr>
        <w:spacing w:line="360" w:lineRule="auto"/>
        <w:rPr>
          <w:rFonts w:ascii="Verdana" w:hAnsi="Verdana"/>
          <w:bCs/>
          <w:sz w:val="18"/>
          <w:szCs w:val="18"/>
        </w:rPr>
      </w:pPr>
      <w:r w:rsidRPr="00AB78F7">
        <w:rPr>
          <w:rFonts w:ascii="Verdana" w:hAnsi="Verdana"/>
          <w:bCs/>
          <w:sz w:val="18"/>
          <w:szCs w:val="18"/>
        </w:rPr>
        <w:t xml:space="preserve">De tweede pijler, </w:t>
      </w:r>
      <w:r w:rsidRPr="00AB78F7">
        <w:rPr>
          <w:rFonts w:ascii="Verdana" w:hAnsi="Verdana"/>
          <w:bCs/>
          <w:iCs/>
          <w:sz w:val="18"/>
          <w:szCs w:val="18"/>
        </w:rPr>
        <w:t>’sterkere, duurzame en geïntegreerde economieën’,</w:t>
      </w:r>
      <w:r w:rsidRPr="00AB78F7">
        <w:rPr>
          <w:rFonts w:ascii="Verdana" w:hAnsi="Verdana"/>
          <w:bCs/>
          <w:sz w:val="18"/>
          <w:szCs w:val="18"/>
        </w:rPr>
        <w:t xml:space="preserve"> is gericht op de verduurzaming en integratie van</w:t>
      </w:r>
      <w:r w:rsidRPr="00AB78F7">
        <w:rPr>
          <w:rFonts w:ascii="Verdana" w:hAnsi="Verdana"/>
          <w:bCs/>
          <w:iCs/>
          <w:sz w:val="18"/>
          <w:szCs w:val="18"/>
        </w:rPr>
        <w:t xml:space="preserve"> </w:t>
      </w:r>
      <w:r w:rsidRPr="00AB78F7">
        <w:rPr>
          <w:rFonts w:ascii="Verdana" w:hAnsi="Verdana"/>
          <w:bCs/>
          <w:sz w:val="18"/>
          <w:szCs w:val="18"/>
        </w:rPr>
        <w:t xml:space="preserve">economieën in de regio. Deze pilaar bevat acht initiatieven op het gebied van 1) de modernisering en versterking van handels- en investeringsrelaties; 2) de ontwikkeling van startups; 3) digitale infrastructuur en cybersecurity en integratie van digitale en data-economieën; 4) hernieuwbare energie en schone technologie; 5) regionale samenwerking op het gebied van milieu en klimaat; 6) verduurzaming van de </w:t>
      </w:r>
      <w:r w:rsidRPr="00AB78F7">
        <w:rPr>
          <w:rFonts w:ascii="Verdana" w:hAnsi="Verdana"/>
          <w:bCs/>
          <w:iCs/>
          <w:sz w:val="18"/>
          <w:szCs w:val="18"/>
        </w:rPr>
        <w:t>blauwe economie</w:t>
      </w:r>
      <w:r w:rsidRPr="00AB78F7">
        <w:rPr>
          <w:rFonts w:ascii="Verdana" w:hAnsi="Verdana"/>
          <w:bCs/>
          <w:sz w:val="18"/>
          <w:szCs w:val="18"/>
        </w:rPr>
        <w:t xml:space="preserve">; 7) transportverduurzaming; en 8) kennisdeling ten behoeve van betere besluitvorming. </w:t>
      </w:r>
    </w:p>
    <w:p w:rsidRPr="00AB78F7" w:rsidR="00AB78F7" w:rsidP="00AB78F7" w:rsidRDefault="00AB78F7" w14:paraId="633C7DD3" w14:textId="77777777">
      <w:pPr>
        <w:spacing w:line="360" w:lineRule="auto"/>
        <w:rPr>
          <w:rFonts w:ascii="Verdana" w:hAnsi="Verdana"/>
          <w:bCs/>
          <w:iCs/>
          <w:sz w:val="18"/>
          <w:szCs w:val="18"/>
        </w:rPr>
      </w:pPr>
    </w:p>
    <w:p w:rsidRPr="00AB78F7" w:rsidR="00AB78F7" w:rsidP="00AB78F7" w:rsidRDefault="00AB78F7" w14:paraId="22B3EC95" w14:textId="77777777">
      <w:pPr>
        <w:spacing w:line="360" w:lineRule="auto"/>
        <w:rPr>
          <w:rFonts w:ascii="Verdana" w:hAnsi="Verdana"/>
          <w:bCs/>
          <w:sz w:val="18"/>
          <w:szCs w:val="18"/>
        </w:rPr>
      </w:pPr>
      <w:r w:rsidRPr="00AB78F7">
        <w:rPr>
          <w:rFonts w:ascii="Verdana" w:hAnsi="Verdana"/>
          <w:bCs/>
          <w:sz w:val="18"/>
          <w:szCs w:val="18"/>
        </w:rPr>
        <w:t>De derde</w:t>
      </w:r>
      <w:r w:rsidRPr="00AB78F7">
        <w:rPr>
          <w:rFonts w:ascii="Verdana" w:hAnsi="Verdana"/>
          <w:bCs/>
          <w:iCs/>
          <w:sz w:val="18"/>
          <w:szCs w:val="18"/>
        </w:rPr>
        <w:t xml:space="preserve"> </w:t>
      </w:r>
      <w:r w:rsidRPr="00AB78F7">
        <w:rPr>
          <w:rFonts w:ascii="Verdana" w:hAnsi="Verdana"/>
          <w:bCs/>
          <w:sz w:val="18"/>
          <w:szCs w:val="18"/>
        </w:rPr>
        <w:t xml:space="preserve">pijler, </w:t>
      </w:r>
      <w:r w:rsidRPr="00AB78F7">
        <w:rPr>
          <w:rFonts w:ascii="Verdana" w:hAnsi="Verdana"/>
          <w:bCs/>
          <w:iCs/>
          <w:sz w:val="18"/>
          <w:szCs w:val="18"/>
        </w:rPr>
        <w:t>‘veiligheid, paraatheid en migratie’,</w:t>
      </w:r>
      <w:r w:rsidRPr="00AB78F7">
        <w:rPr>
          <w:rFonts w:ascii="Verdana" w:hAnsi="Verdana"/>
          <w:bCs/>
          <w:i/>
          <w:sz w:val="18"/>
          <w:szCs w:val="18"/>
        </w:rPr>
        <w:t xml:space="preserve"> </w:t>
      </w:r>
      <w:r w:rsidRPr="00AB78F7">
        <w:rPr>
          <w:rFonts w:ascii="Verdana" w:hAnsi="Verdana"/>
          <w:bCs/>
          <w:sz w:val="18"/>
          <w:szCs w:val="18"/>
        </w:rPr>
        <w:t xml:space="preserve">heeft betrekking op paraatheid en weerbaarheid bij rampen, een regionale aanpak van vrede en veiligheidsvraagstukken en een alomvattende aanpak van migratie. Op deze onderwerpen worden vijf initiatieven voorzien: 1) de ontwikkeling van een gecoördineerde aanpak op veiligheidsthema’s; 2) versterking van de regionale weerbaarheid; 3) een gezamenlijke aanpak op migratieroutes; 4) samenwerking ten aanzien van geïntegreerd grensbeheer; en 5) juridische en politiesamenwerking. </w:t>
      </w:r>
    </w:p>
    <w:p w:rsidRPr="00AB78F7" w:rsidR="00AB78F7" w:rsidP="00AB78F7" w:rsidRDefault="00AB78F7" w14:paraId="6B87DD4D" w14:textId="77777777">
      <w:pPr>
        <w:spacing w:line="360" w:lineRule="auto"/>
        <w:rPr>
          <w:rFonts w:ascii="Verdana" w:hAnsi="Verdana"/>
          <w:bCs/>
          <w:iCs/>
          <w:sz w:val="18"/>
          <w:szCs w:val="18"/>
        </w:rPr>
      </w:pPr>
    </w:p>
    <w:p w:rsidRPr="00AB78F7" w:rsidR="00AB78F7" w:rsidP="00AB78F7" w:rsidRDefault="00AB78F7" w14:paraId="5641D69F" w14:textId="77777777">
      <w:pPr>
        <w:spacing w:line="360" w:lineRule="auto"/>
        <w:rPr>
          <w:rFonts w:ascii="Verdana" w:hAnsi="Verdana"/>
          <w:bCs/>
          <w:sz w:val="18"/>
          <w:szCs w:val="18"/>
        </w:rPr>
      </w:pPr>
      <w:r w:rsidRPr="00AB78F7">
        <w:rPr>
          <w:rFonts w:ascii="Verdana" w:hAnsi="Verdana"/>
          <w:bCs/>
          <w:iCs/>
          <w:sz w:val="18"/>
          <w:szCs w:val="18"/>
        </w:rPr>
        <w:t>De</w:t>
      </w:r>
      <w:r w:rsidRPr="00AB78F7">
        <w:rPr>
          <w:rFonts w:ascii="Verdana" w:hAnsi="Verdana"/>
          <w:bCs/>
          <w:sz w:val="18"/>
          <w:szCs w:val="18"/>
        </w:rPr>
        <w:t xml:space="preserve"> implementatie van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wordt in EU-verband en gezamenlijk met de landen uit de Zuidelijk Nabuurschapsregio gemonitord</w:t>
      </w:r>
      <w:r w:rsidRPr="00AB78F7">
        <w:rPr>
          <w:rFonts w:ascii="Verdana" w:hAnsi="Verdana"/>
          <w:bCs/>
          <w:iCs/>
          <w:sz w:val="18"/>
          <w:szCs w:val="18"/>
        </w:rPr>
        <w:t>.</w:t>
      </w:r>
      <w:r w:rsidRPr="00AB78F7">
        <w:rPr>
          <w:rFonts w:ascii="Verdana" w:hAnsi="Verdana"/>
          <w:bCs/>
          <w:sz w:val="18"/>
          <w:szCs w:val="18"/>
        </w:rPr>
        <w:t xml:space="preserve"> De Commissie en de Europese Dienst voor Extern Optreden (EDEO) zijn verantwoordelijk voor de technische monitoring. De jaarlijkse EU-Zuidelijk Nabuurschap Ministeriële bijeenkomst biedt politieke sturing aan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Deze bijeenkomst wordt in EU-verband voorbereid door de uitvoering van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tweemaal per jaar in de Raad Buitenlandse Zaken te bespreken</w:t>
      </w:r>
      <w:r w:rsidRPr="00AB78F7">
        <w:rPr>
          <w:rFonts w:ascii="Verdana" w:hAnsi="Verdana"/>
          <w:bCs/>
          <w:iCs/>
          <w:sz w:val="18"/>
          <w:szCs w:val="18"/>
        </w:rPr>
        <w:t>.</w:t>
      </w:r>
      <w:r w:rsidRPr="00AB78F7">
        <w:rPr>
          <w:rFonts w:ascii="Verdana" w:hAnsi="Verdana"/>
          <w:bCs/>
          <w:sz w:val="18"/>
          <w:szCs w:val="18"/>
        </w:rPr>
        <w:t xml:space="preserve"> De onder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voorgestelde initiatieven worden in het eerste kwartaal van 2026 omgezet in een nieuw Actieplan. </w:t>
      </w:r>
    </w:p>
    <w:p w:rsidRPr="00AB78F7" w:rsidR="00AB78F7" w:rsidP="00AB78F7" w:rsidRDefault="00AB78F7" w14:paraId="36D37125" w14:textId="77777777">
      <w:pPr>
        <w:spacing w:line="360" w:lineRule="auto"/>
        <w:rPr>
          <w:rFonts w:ascii="Verdana" w:hAnsi="Verdana"/>
          <w:bCs/>
          <w:sz w:val="18"/>
          <w:szCs w:val="18"/>
        </w:rPr>
      </w:pPr>
    </w:p>
    <w:p w:rsidRPr="00AB78F7" w:rsidR="00AB78F7" w:rsidP="00AB78F7" w:rsidRDefault="00AB78F7" w14:paraId="68A87B0B" w14:textId="77777777">
      <w:pPr>
        <w:numPr>
          <w:ilvl w:val="0"/>
          <w:numId w:val="8"/>
        </w:numPr>
        <w:spacing w:line="360" w:lineRule="auto"/>
        <w:rPr>
          <w:rFonts w:ascii="Verdana" w:hAnsi="Verdana"/>
          <w:b/>
          <w:sz w:val="18"/>
          <w:szCs w:val="18"/>
        </w:rPr>
      </w:pPr>
      <w:r w:rsidRPr="00AB78F7">
        <w:rPr>
          <w:rFonts w:ascii="Verdana" w:hAnsi="Verdana"/>
          <w:b/>
          <w:sz w:val="18"/>
          <w:szCs w:val="18"/>
        </w:rPr>
        <w:t>Nederlandse positie ten aanzien van de mededeling</w:t>
      </w:r>
    </w:p>
    <w:p w:rsidRPr="00AB78F7" w:rsidR="00AB78F7" w:rsidP="00AB78F7" w:rsidRDefault="00AB78F7" w14:paraId="228556B3" w14:textId="77777777">
      <w:pPr>
        <w:numPr>
          <w:ilvl w:val="0"/>
          <w:numId w:val="5"/>
        </w:numPr>
        <w:spacing w:line="360" w:lineRule="auto"/>
        <w:rPr>
          <w:rFonts w:ascii="Verdana" w:hAnsi="Verdana"/>
          <w:bCs/>
          <w:i/>
          <w:sz w:val="18"/>
          <w:szCs w:val="18"/>
        </w:rPr>
      </w:pPr>
      <w:r w:rsidRPr="00AB78F7">
        <w:rPr>
          <w:rFonts w:ascii="Verdana" w:hAnsi="Verdana"/>
          <w:bCs/>
          <w:i/>
          <w:sz w:val="18"/>
          <w:szCs w:val="18"/>
        </w:rPr>
        <w:t xml:space="preserve">Essentie Nederlands beleid op dit terrein </w:t>
      </w:r>
    </w:p>
    <w:p w:rsidRPr="00AB78F7" w:rsidR="00AB78F7" w:rsidP="00AB78F7" w:rsidRDefault="00AB78F7" w14:paraId="705BD49C" w14:textId="77777777">
      <w:pPr>
        <w:spacing w:line="360" w:lineRule="auto"/>
        <w:rPr>
          <w:rFonts w:ascii="Verdana" w:hAnsi="Verdana"/>
          <w:bCs/>
          <w:sz w:val="18"/>
          <w:szCs w:val="18"/>
        </w:rPr>
      </w:pPr>
      <w:r w:rsidRPr="00AB78F7">
        <w:rPr>
          <w:rFonts w:ascii="Verdana" w:hAnsi="Verdana"/>
          <w:bCs/>
          <w:sz w:val="18"/>
          <w:szCs w:val="18"/>
        </w:rPr>
        <w:t>De Zuidelijk Nabuurschapsregio is van groot belang voor Nederland en de EU, met name op het gebied van regionale veiligheid en stabiliteit, migratie, handel en economische samenwerking. Het kabinet is voorstander van brede en strategische partnerschappen met landen in de regio gebaseerd op wederzijds eigen belang, zoals de EU reeds aanging met bijvoorbeeld Jordanië en Tunesië.</w:t>
      </w:r>
      <w:r w:rsidRPr="00AB78F7">
        <w:rPr>
          <w:rFonts w:ascii="Verdana" w:hAnsi="Verdana"/>
          <w:bCs/>
          <w:sz w:val="18"/>
          <w:szCs w:val="18"/>
          <w:vertAlign w:val="superscript"/>
        </w:rPr>
        <w:footnoteReference w:id="2"/>
      </w:r>
      <w:r w:rsidRPr="00AB78F7">
        <w:rPr>
          <w:rFonts w:ascii="Verdana" w:hAnsi="Verdana"/>
          <w:bCs/>
          <w:sz w:val="18"/>
          <w:szCs w:val="18"/>
        </w:rPr>
        <w:t xml:space="preserve"> </w:t>
      </w:r>
    </w:p>
    <w:p w:rsidRPr="00AB78F7" w:rsidR="00AB78F7" w:rsidP="00AB78F7" w:rsidRDefault="00AB78F7" w14:paraId="0DF85EBC" w14:textId="77777777">
      <w:pPr>
        <w:spacing w:line="360" w:lineRule="auto"/>
        <w:rPr>
          <w:rFonts w:ascii="Verdana" w:hAnsi="Verdana"/>
          <w:bCs/>
          <w:sz w:val="18"/>
          <w:szCs w:val="18"/>
        </w:rPr>
      </w:pPr>
    </w:p>
    <w:p w:rsidR="00830EA0" w:rsidP="00AB78F7" w:rsidRDefault="00AB78F7" w14:paraId="6C860D33" w14:textId="77777777">
      <w:pPr>
        <w:spacing w:line="360" w:lineRule="auto"/>
        <w:rPr>
          <w:rFonts w:ascii="Verdana" w:hAnsi="Verdana"/>
          <w:bCs/>
          <w:sz w:val="18"/>
          <w:szCs w:val="18"/>
        </w:rPr>
      </w:pPr>
      <w:r w:rsidRPr="00AB78F7">
        <w:rPr>
          <w:rFonts w:ascii="Verdana" w:hAnsi="Verdana"/>
          <w:bCs/>
          <w:sz w:val="18"/>
          <w:szCs w:val="18"/>
        </w:rPr>
        <w:t>De Nederlandse belangen op het gebied van veiligheid en migratie zijn nauw verweven met de bredere regionale veiligheid en stabiliteit in het Midden-Oosten en Noord-Afrika.</w:t>
      </w:r>
      <w:r w:rsidRPr="00AB78F7">
        <w:rPr>
          <w:rFonts w:ascii="Verdana" w:hAnsi="Verdana"/>
          <w:bCs/>
          <w:sz w:val="18"/>
          <w:szCs w:val="18"/>
          <w:vertAlign w:val="superscript"/>
        </w:rPr>
        <w:footnoteReference w:id="3"/>
      </w:r>
      <w:r w:rsidRPr="00AB78F7">
        <w:rPr>
          <w:rFonts w:ascii="Verdana" w:hAnsi="Verdana"/>
          <w:bCs/>
          <w:sz w:val="18"/>
          <w:szCs w:val="18"/>
        </w:rPr>
        <w:t xml:space="preserve"> De EU-inzet is essentieel om de Nederlandse belangen te behartigen. </w:t>
      </w:r>
    </w:p>
    <w:p w:rsidRPr="00AB78F7" w:rsidR="00AB78F7" w:rsidP="00AB78F7" w:rsidRDefault="00AB78F7" w14:paraId="0C5701BB" w14:textId="2C7DADEC">
      <w:pPr>
        <w:spacing w:line="360" w:lineRule="auto"/>
        <w:rPr>
          <w:rFonts w:ascii="Verdana" w:hAnsi="Verdana"/>
          <w:bCs/>
          <w:sz w:val="18"/>
          <w:szCs w:val="18"/>
        </w:rPr>
      </w:pPr>
      <w:r w:rsidRPr="00AB78F7">
        <w:rPr>
          <w:rFonts w:ascii="Verdana" w:hAnsi="Verdana"/>
          <w:bCs/>
          <w:sz w:val="18"/>
          <w:szCs w:val="18"/>
        </w:rPr>
        <w:lastRenderedPageBreak/>
        <w:t>De Nederlandse inzet in deze regio dient dan ook complementair te zijn aan de inzet via de EU, om zo effectief mogelijk te opereren. Om effectief in te spelen op de Nederlandse belangen rond veiligheid en stabiliteit moet deze inzet complementair zijn aan onder meer de Nederlandse diplomatie, programmatische inzet en militaire en civiele inzet, evenals ingebed zijn binnen de bredere doelstellingen van Nederland.</w:t>
      </w:r>
      <w:r w:rsidRPr="00AB78F7">
        <w:rPr>
          <w:rFonts w:ascii="Verdana" w:hAnsi="Verdana"/>
          <w:bCs/>
          <w:sz w:val="18"/>
          <w:szCs w:val="18"/>
          <w:vertAlign w:val="superscript"/>
        </w:rPr>
        <w:footnoteReference w:id="4"/>
      </w:r>
      <w:r w:rsidRPr="00AB78F7">
        <w:rPr>
          <w:rFonts w:ascii="Verdana" w:hAnsi="Verdana"/>
          <w:bCs/>
          <w:sz w:val="18"/>
          <w:szCs w:val="18"/>
        </w:rPr>
        <w:t xml:space="preserve"> Zo zet Nederland zich in de regio ook in voor handel en economische samenwerking, ten behoeve van de Nederlandse welvaart en weerbaarheid, en kan klimaatbeleid op het gebied van water en energie bijdragen aan regionale stabiliteit.</w:t>
      </w:r>
      <w:r w:rsidRPr="00AB78F7">
        <w:rPr>
          <w:rFonts w:ascii="Verdana" w:hAnsi="Verdana"/>
          <w:bCs/>
          <w:sz w:val="18"/>
          <w:szCs w:val="18"/>
          <w:vertAlign w:val="superscript"/>
        </w:rPr>
        <w:footnoteReference w:id="5"/>
      </w:r>
    </w:p>
    <w:p w:rsidRPr="00AB78F7" w:rsidR="00AB78F7" w:rsidP="00AB78F7" w:rsidRDefault="00AB78F7" w14:paraId="00EA1597" w14:textId="77777777">
      <w:pPr>
        <w:spacing w:line="360" w:lineRule="auto"/>
        <w:rPr>
          <w:rFonts w:ascii="Verdana" w:hAnsi="Verdana"/>
          <w:bCs/>
          <w:sz w:val="18"/>
          <w:szCs w:val="18"/>
        </w:rPr>
      </w:pPr>
    </w:p>
    <w:p w:rsidRPr="00AB78F7" w:rsidR="00AB78F7" w:rsidP="00AB78F7" w:rsidRDefault="00AB78F7" w14:paraId="2F4AED3E" w14:textId="77777777">
      <w:pPr>
        <w:spacing w:line="360" w:lineRule="auto"/>
        <w:rPr>
          <w:rFonts w:ascii="Verdana" w:hAnsi="Verdana"/>
          <w:bCs/>
          <w:sz w:val="18"/>
          <w:szCs w:val="18"/>
        </w:rPr>
      </w:pPr>
      <w:r w:rsidRPr="00AB78F7">
        <w:rPr>
          <w:rFonts w:ascii="Verdana" w:hAnsi="Verdana"/>
          <w:bCs/>
          <w:sz w:val="18"/>
          <w:szCs w:val="18"/>
        </w:rPr>
        <w:t>Bovenstaande doelstellingen behartigt het kabinet met inachtneming van bescherming van mensenrechten, het bevorderen van de internationale rechtsorde en de uitvoering van het Klimaatakkoord van Parijs. Deze strategische doelstellingen worden in toenemende mate beïnvloed door veranderende geopolitieke verhoudingen. Het kabinet streeft ernaar om een evenwicht te vinden tussen wat aansluit bij de Nederlandse belangen én de behoeften van de landen waarmee wordt samengewerkt. Een goed gecoördineerd EU-optreden ten aanzien van de regio kan daaraan bijdragen. Door ook door consequent voor de EU belangrijke waarden zoals respect voor mensenrechten, goed bestuur en rechtsstaat als uitgangspunt te hanteren kan de inzet op diverse onderwerpen als veiligheid, migratie, handel en ontwikkelingssamenwerking elkaar versterken.</w:t>
      </w:r>
      <w:r w:rsidRPr="00AB78F7">
        <w:rPr>
          <w:rFonts w:ascii="Verdana" w:hAnsi="Verdana"/>
          <w:bCs/>
          <w:sz w:val="18"/>
          <w:szCs w:val="18"/>
          <w:vertAlign w:val="superscript"/>
        </w:rPr>
        <w:footnoteReference w:id="6"/>
      </w:r>
      <w:r w:rsidRPr="00AB78F7">
        <w:rPr>
          <w:rFonts w:ascii="Verdana" w:hAnsi="Verdana"/>
          <w:bCs/>
          <w:sz w:val="18"/>
          <w:szCs w:val="18"/>
        </w:rPr>
        <w:t xml:space="preserve"> Een positieve, toekomstgerichte agenda voor samenwerking die deze verschillende belangen samenbrengt binnen de bredere relatie met de MENA-landen op basis van gelijkwaardigheid is het uitgangspunt.</w:t>
      </w:r>
      <w:r w:rsidRPr="00AB78F7">
        <w:rPr>
          <w:rFonts w:ascii="Verdana" w:hAnsi="Verdana"/>
          <w:bCs/>
          <w:sz w:val="18"/>
          <w:szCs w:val="18"/>
          <w:vertAlign w:val="superscript"/>
        </w:rPr>
        <w:footnoteReference w:id="7"/>
      </w:r>
    </w:p>
    <w:p w:rsidRPr="00AB78F7" w:rsidR="00AB78F7" w:rsidP="00AB78F7" w:rsidRDefault="00AB78F7" w14:paraId="687C1D84" w14:textId="77777777">
      <w:pPr>
        <w:spacing w:line="360" w:lineRule="auto"/>
        <w:rPr>
          <w:rFonts w:ascii="Verdana" w:hAnsi="Verdana"/>
          <w:bCs/>
          <w:sz w:val="18"/>
          <w:szCs w:val="18"/>
        </w:rPr>
      </w:pPr>
    </w:p>
    <w:p w:rsidRPr="00AB78F7" w:rsidR="00AB78F7" w:rsidP="00AB78F7" w:rsidRDefault="00AB78F7" w14:paraId="7C854CEB" w14:textId="77777777">
      <w:pPr>
        <w:numPr>
          <w:ilvl w:val="0"/>
          <w:numId w:val="5"/>
        </w:numPr>
        <w:spacing w:line="360" w:lineRule="auto"/>
        <w:rPr>
          <w:rFonts w:ascii="Verdana" w:hAnsi="Verdana"/>
          <w:bCs/>
          <w:i/>
          <w:sz w:val="18"/>
          <w:szCs w:val="18"/>
        </w:rPr>
      </w:pPr>
      <w:r w:rsidRPr="00AB78F7">
        <w:rPr>
          <w:rFonts w:ascii="Verdana" w:hAnsi="Verdana"/>
          <w:bCs/>
          <w:i/>
          <w:sz w:val="18"/>
          <w:szCs w:val="18"/>
        </w:rPr>
        <w:t>Beoordeling + inzet ten aanzien van dit voorstel</w:t>
      </w:r>
    </w:p>
    <w:p w:rsidRPr="00AB78F7" w:rsidR="00AB78F7" w:rsidP="00AB78F7" w:rsidRDefault="00AB78F7" w14:paraId="20E4D48D" w14:textId="77777777">
      <w:pPr>
        <w:spacing w:line="360" w:lineRule="auto"/>
        <w:rPr>
          <w:rFonts w:ascii="Verdana" w:hAnsi="Verdana"/>
          <w:bCs/>
          <w:sz w:val="18"/>
          <w:szCs w:val="18"/>
        </w:rPr>
      </w:pPr>
      <w:r w:rsidRPr="00AB78F7">
        <w:rPr>
          <w:rFonts w:ascii="Verdana" w:hAnsi="Verdana"/>
          <w:bCs/>
          <w:sz w:val="18"/>
          <w:szCs w:val="18"/>
        </w:rPr>
        <w:t xml:space="preserve">Het kabinet verwelkomt de brede en integrale aanpak die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voorstaat ten aanzien van de Middellandse Zeeregio. De doelstellingen in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sluiten aan bij de Nederlandse beleidsprioriteiten in de regio en bij de doelstelling om deze geïntegreerd te benaderen via partnerschappen, ook in EU-verband. Om dit te waarborgen is een reguliere politieke dialoog essentieel, zoals in dit voorstel is geborgd via de jaarlijkse ministeriële bijeenkomst en het voorgestelde netwerk van Zuidelijk Nabuurschapsgezanten. </w:t>
      </w:r>
    </w:p>
    <w:p w:rsidRPr="00AB78F7" w:rsidR="00AB78F7" w:rsidP="00AB78F7" w:rsidRDefault="00AB78F7" w14:paraId="05BADE66" w14:textId="77777777">
      <w:pPr>
        <w:spacing w:line="360" w:lineRule="auto"/>
        <w:rPr>
          <w:rFonts w:ascii="Verdana" w:hAnsi="Verdana"/>
          <w:bCs/>
          <w:sz w:val="18"/>
          <w:szCs w:val="18"/>
        </w:rPr>
      </w:pPr>
    </w:p>
    <w:p w:rsidRPr="00AB78F7" w:rsidR="00AB78F7" w:rsidP="00AB78F7" w:rsidRDefault="00AB78F7" w14:paraId="6CF292DE" w14:textId="77777777">
      <w:pPr>
        <w:spacing w:line="360" w:lineRule="auto"/>
        <w:rPr>
          <w:rFonts w:ascii="Verdana" w:hAnsi="Verdana"/>
          <w:bCs/>
          <w:sz w:val="18"/>
          <w:szCs w:val="18"/>
        </w:rPr>
      </w:pPr>
      <w:r w:rsidRPr="00AB78F7">
        <w:rPr>
          <w:rFonts w:ascii="Verdana" w:hAnsi="Verdana"/>
          <w:bCs/>
          <w:sz w:val="18"/>
          <w:szCs w:val="18"/>
        </w:rPr>
        <w:t xml:space="preserve">Bij de omzetting van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naar een Actieplan zal uitvoerbaarheid een aandachtspunt zijn. Voor het kabinet is in dat kader belangrijk dat de samenhang tussen initiatieven in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en bestaande EU-instrumenten behouden blijft. Ook moet er synergie bestaan met het beleid van de lidstaten. Leidraad is dat nationale bijdragen van meerwaarde zijn op de EU-inzet en andersom.</w:t>
      </w:r>
    </w:p>
    <w:p w:rsidRPr="00AB78F7" w:rsidR="00AB78F7" w:rsidP="00AB78F7" w:rsidRDefault="00AB78F7" w14:paraId="30F9481C" w14:textId="77777777">
      <w:pPr>
        <w:spacing w:line="360" w:lineRule="auto"/>
        <w:rPr>
          <w:rFonts w:ascii="Verdana" w:hAnsi="Verdana"/>
          <w:bCs/>
          <w:sz w:val="18"/>
          <w:szCs w:val="18"/>
        </w:rPr>
      </w:pPr>
    </w:p>
    <w:p w:rsidRPr="00AB78F7" w:rsidR="00AB78F7" w:rsidP="00AB78F7" w:rsidRDefault="00AB78F7" w14:paraId="66501E94" w14:textId="77777777">
      <w:pPr>
        <w:spacing w:line="360" w:lineRule="auto"/>
        <w:rPr>
          <w:rFonts w:ascii="Verdana" w:hAnsi="Verdana"/>
          <w:bCs/>
          <w:sz w:val="18"/>
          <w:szCs w:val="18"/>
        </w:rPr>
      </w:pPr>
      <w:r w:rsidRPr="00AB78F7">
        <w:rPr>
          <w:rFonts w:ascii="Verdana" w:hAnsi="Verdana"/>
          <w:bCs/>
          <w:sz w:val="18"/>
          <w:szCs w:val="18"/>
        </w:rPr>
        <w:t xml:space="preserve">Het kabinet waardeert dat de Commissie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vanuit breed perspectief bekijkt en hierbij ook aandacht heeft voor het vervolgonderwijs en onderzoek en innovatie. Het kabinet zal vragen naar de juridische grondslag voor het opstellen van een mediterrane universiteit, en naar hoe het voorstel van de Commissie voor het oprichten van een mediterrane universiteit zich verhoudt tot </w:t>
      </w:r>
      <w:r w:rsidRPr="00AB78F7">
        <w:rPr>
          <w:rFonts w:ascii="Verdana" w:hAnsi="Verdana"/>
          <w:bCs/>
          <w:sz w:val="18"/>
          <w:szCs w:val="18"/>
        </w:rPr>
        <w:lastRenderedPageBreak/>
        <w:t>de Europese Universiteiten Allianties en het nog niet verschenen voorstel voor een passende Europese juridische status voor deze allianties als onderdeel van de Mededeling Vaardigheidsunie.</w:t>
      </w:r>
      <w:r w:rsidRPr="00AB78F7">
        <w:rPr>
          <w:rFonts w:ascii="Verdana" w:hAnsi="Verdana"/>
          <w:bCs/>
          <w:sz w:val="18"/>
          <w:szCs w:val="18"/>
          <w:vertAlign w:val="superscript"/>
        </w:rPr>
        <w:footnoteReference w:id="8"/>
      </w:r>
      <w:r w:rsidRPr="00AB78F7">
        <w:rPr>
          <w:rFonts w:ascii="Verdana" w:hAnsi="Verdana"/>
          <w:bCs/>
          <w:sz w:val="18"/>
          <w:szCs w:val="18"/>
        </w:rPr>
        <w:t xml:space="preserve"> Het is voor het kabinet van belang dat er duidelijkheid komt over de continuering van de allianties en dat wat betreft het oprichten van een mediterrane universiteit niet vooruitgelopen wordt op de beoordeling en bespreking van het voorstel voor een juridische status. Het huidige Erasmus+ programma faciliteert reeds studiepuntmobiliteit met landen uit de Middellandse Zeeregio. Het kabinet zal de Commissie vragen wat het versterken van deze mobiliteit inhoudt. Ook is het voor het kabinet van belang dat inzichtelijk wordt gemaakt hoe deze plannen in relatie staan tot het huidige en toekomstige Erasmus+-programma en dat dit in het huidige programma niet ten koste gaat van de reeds bestaande initiatieven.</w:t>
      </w:r>
    </w:p>
    <w:p w:rsidRPr="00AB78F7" w:rsidR="00AB78F7" w:rsidP="00AB78F7" w:rsidRDefault="00AB78F7" w14:paraId="2AB20DC0" w14:textId="77777777">
      <w:pPr>
        <w:spacing w:line="360" w:lineRule="auto"/>
        <w:rPr>
          <w:rFonts w:ascii="Verdana" w:hAnsi="Verdana"/>
          <w:bCs/>
          <w:iCs/>
          <w:sz w:val="18"/>
          <w:szCs w:val="18"/>
        </w:rPr>
      </w:pPr>
    </w:p>
    <w:p w:rsidRPr="00AB78F7" w:rsidR="00AB78F7" w:rsidP="00AB78F7" w:rsidRDefault="00AB78F7" w14:paraId="0BC64D81" w14:textId="77777777">
      <w:pPr>
        <w:spacing w:line="360" w:lineRule="auto"/>
        <w:rPr>
          <w:rFonts w:ascii="Verdana" w:hAnsi="Verdana"/>
          <w:bCs/>
          <w:iCs/>
          <w:sz w:val="18"/>
          <w:szCs w:val="18"/>
        </w:rPr>
      </w:pPr>
      <w:r w:rsidRPr="00AB78F7">
        <w:rPr>
          <w:rFonts w:ascii="Verdana" w:hAnsi="Verdana"/>
          <w:bCs/>
          <w:iCs/>
          <w:sz w:val="18"/>
          <w:szCs w:val="18"/>
        </w:rPr>
        <w:t xml:space="preserve">Het initiatief voor cultuur, sport en toerisme is beperkt in reikwijdte maar sluit, bijvoorbeeld met de inzet op digitalisering, de inzet op sport en bewegen om zowel fysieke als mentale gezondheid te stimuleren, maatschappelijk en economisch gebruik en bescherming van erfgoed, en aandacht voor publiek-private samenwerkingen, aan bij kabinetsbeleid. Dit geldt ook voor de inzet om illegale handel in cultuurgoederen tegen te gaan, al zouden meer concrete maatregelen hierbij wenselijk zijn zoals informatie-uitwisseling en betrokkenheid van Europol. Het bevorderen van verdere uitwisseling en het koppelen van culturele activiteiten verdient steun, hoewel er nog veel onduidelijk is ten aanzien van de implementatie. </w:t>
      </w:r>
    </w:p>
    <w:p w:rsidRPr="00AB78F7" w:rsidR="00AB78F7" w:rsidP="00AB78F7" w:rsidRDefault="00AB78F7" w14:paraId="5197FDAB" w14:textId="77777777">
      <w:pPr>
        <w:spacing w:line="360" w:lineRule="auto"/>
        <w:rPr>
          <w:rFonts w:ascii="Verdana" w:hAnsi="Verdana"/>
          <w:bCs/>
          <w:i/>
          <w:sz w:val="18"/>
          <w:szCs w:val="18"/>
        </w:rPr>
      </w:pPr>
    </w:p>
    <w:p w:rsidRPr="00AB78F7" w:rsidR="00AB78F7" w:rsidP="00AB78F7" w:rsidRDefault="00AB78F7" w14:paraId="4EEB5E9D" w14:textId="77777777">
      <w:pPr>
        <w:spacing w:line="360" w:lineRule="auto"/>
        <w:rPr>
          <w:rFonts w:ascii="Verdana" w:hAnsi="Verdana"/>
          <w:bCs/>
          <w:sz w:val="18"/>
          <w:szCs w:val="18"/>
        </w:rPr>
      </w:pPr>
      <w:r w:rsidRPr="00AB78F7">
        <w:rPr>
          <w:rFonts w:ascii="Verdana" w:hAnsi="Verdana"/>
          <w:bCs/>
          <w:sz w:val="18"/>
          <w:szCs w:val="18"/>
        </w:rPr>
        <w:t xml:space="preserve">Het kabinet verwelkomt de nadruk op het versterken van het maatschappelijk middenveld, jongeren- en vrouwenparticipatie, onafhankelijke media en lokale overheden en organisaties. Deze inzet sluit aan bij het kabinetsbeleid dat </w:t>
      </w:r>
      <w:proofErr w:type="spellStart"/>
      <w:r w:rsidRPr="00AB78F7">
        <w:rPr>
          <w:rFonts w:ascii="Verdana" w:hAnsi="Verdana"/>
          <w:bCs/>
          <w:i/>
          <w:iCs/>
          <w:sz w:val="18"/>
          <w:szCs w:val="18"/>
        </w:rPr>
        <w:t>civic</w:t>
      </w:r>
      <w:proofErr w:type="spellEnd"/>
      <w:r w:rsidRPr="00AB78F7">
        <w:rPr>
          <w:rFonts w:ascii="Verdana" w:hAnsi="Verdana"/>
          <w:bCs/>
          <w:i/>
          <w:iCs/>
          <w:sz w:val="18"/>
          <w:szCs w:val="18"/>
        </w:rPr>
        <w:t xml:space="preserve"> </w:t>
      </w:r>
      <w:proofErr w:type="spellStart"/>
      <w:r w:rsidRPr="00AB78F7">
        <w:rPr>
          <w:rFonts w:ascii="Verdana" w:hAnsi="Verdana"/>
          <w:bCs/>
          <w:i/>
          <w:iCs/>
          <w:sz w:val="18"/>
          <w:szCs w:val="18"/>
        </w:rPr>
        <w:t>space</w:t>
      </w:r>
      <w:proofErr w:type="spellEnd"/>
      <w:r w:rsidRPr="00AB78F7">
        <w:rPr>
          <w:rFonts w:ascii="Verdana" w:hAnsi="Verdana"/>
          <w:bCs/>
          <w:sz w:val="18"/>
          <w:szCs w:val="18"/>
        </w:rPr>
        <w:t xml:space="preserve"> structureel verankert in het buitenlandbeleid en gericht is op inclusieve besluitvorming, lokaal eigenaarschap en een veilig en veerkrachtig maatschappelijk middenveld. Het kabinet acht het belangrijk dat de uitvoering van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w:t>
      </w:r>
      <w:proofErr w:type="spellStart"/>
      <w:r w:rsidRPr="00AB78F7">
        <w:rPr>
          <w:rFonts w:ascii="Verdana" w:hAnsi="Verdana"/>
          <w:bCs/>
          <w:sz w:val="18"/>
          <w:szCs w:val="18"/>
        </w:rPr>
        <w:t>vraaggestuurd</w:t>
      </w:r>
      <w:proofErr w:type="spellEnd"/>
      <w:r w:rsidRPr="00AB78F7">
        <w:rPr>
          <w:rFonts w:ascii="Verdana" w:hAnsi="Verdana"/>
          <w:bCs/>
          <w:sz w:val="18"/>
          <w:szCs w:val="18"/>
        </w:rPr>
        <w:t xml:space="preserve"> en complementair aan bestaande EU-instrumenten plaatsvindt, met betrokkenheid van lokale actoren. Het kabinet blijft het belang van de veiligheid van mensenrechtenverdedigers en journalisten en onafhankelijke media als integraal onderdeel van een gunstig klimaat voor het maatschappelijk middenveld benadrukken. </w:t>
      </w:r>
    </w:p>
    <w:p w:rsidRPr="00AB78F7" w:rsidR="00AB78F7" w:rsidP="00AB78F7" w:rsidRDefault="00AB78F7" w14:paraId="3699908A" w14:textId="77777777">
      <w:pPr>
        <w:spacing w:line="360" w:lineRule="auto"/>
        <w:rPr>
          <w:rFonts w:ascii="Verdana" w:hAnsi="Verdana"/>
          <w:bCs/>
          <w:sz w:val="18"/>
          <w:szCs w:val="18"/>
        </w:rPr>
      </w:pPr>
    </w:p>
    <w:p w:rsidRPr="00AB78F7" w:rsidR="00AB78F7" w:rsidP="00AB78F7" w:rsidRDefault="00AB78F7" w14:paraId="3C4AE05D" w14:textId="77777777">
      <w:pPr>
        <w:spacing w:line="360" w:lineRule="auto"/>
        <w:rPr>
          <w:rFonts w:ascii="Verdana" w:hAnsi="Verdana"/>
          <w:bCs/>
          <w:sz w:val="18"/>
          <w:szCs w:val="18"/>
        </w:rPr>
      </w:pPr>
      <w:r w:rsidRPr="00AB78F7">
        <w:rPr>
          <w:rFonts w:ascii="Verdana" w:hAnsi="Verdana"/>
          <w:bCs/>
          <w:sz w:val="18"/>
          <w:szCs w:val="18"/>
        </w:rPr>
        <w:t xml:space="preserve">Het kabinet verwelkomt de inzet van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op versterking van economische samenwerking, handel en investeringen onder de pijler ‘Sterkere, duurzame en geïntegreerde economieën’. De voorgestelde maatregelen sluiten aan bij de kabinetsprioriteiten op dit terrein in de Zuidelijke Nabuurschapsregio, zoals duurzame groei, bevordering van werkgelegenheid, diversificatie van waardeketens en een voorspelbaar ondernemers- en investeringsklimaat. Het kabinet benadrukt het belang van een gelijk speelveld, het adresseren van handelsbarrières en aansluiting tussen verschillende (EU-)initiatieven.</w:t>
      </w:r>
    </w:p>
    <w:p w:rsidRPr="00AB78F7" w:rsidR="00AB78F7" w:rsidP="00AB78F7" w:rsidRDefault="00AB78F7" w14:paraId="1F8E2EA6" w14:textId="77777777">
      <w:pPr>
        <w:spacing w:line="360" w:lineRule="auto"/>
        <w:rPr>
          <w:rFonts w:ascii="Verdana" w:hAnsi="Verdana"/>
          <w:bCs/>
          <w:sz w:val="18"/>
          <w:szCs w:val="18"/>
        </w:rPr>
      </w:pPr>
    </w:p>
    <w:p w:rsidRPr="00AB78F7" w:rsidR="00AB78F7" w:rsidP="00AB78F7" w:rsidRDefault="00AB78F7" w14:paraId="2CA04822" w14:textId="77777777">
      <w:pPr>
        <w:spacing w:line="360" w:lineRule="auto"/>
        <w:rPr>
          <w:rFonts w:ascii="Verdana" w:hAnsi="Verdana"/>
          <w:bCs/>
          <w:sz w:val="18"/>
          <w:szCs w:val="18"/>
        </w:rPr>
      </w:pPr>
      <w:r w:rsidRPr="00AB78F7">
        <w:rPr>
          <w:rFonts w:ascii="Verdana" w:hAnsi="Verdana"/>
          <w:bCs/>
          <w:sz w:val="18"/>
          <w:szCs w:val="18"/>
        </w:rPr>
        <w:t xml:space="preserve">Het kabinet is positief over de ambities om bilaterale handelsbetrekkingen te moderniseren, de nieuwe </w:t>
      </w:r>
      <w:r w:rsidRPr="00AB78F7">
        <w:rPr>
          <w:rFonts w:ascii="Verdana" w:hAnsi="Verdana"/>
          <w:bCs/>
          <w:i/>
          <w:iCs/>
          <w:sz w:val="18"/>
          <w:szCs w:val="18"/>
        </w:rPr>
        <w:t>Sustainable Investment Facilitation Agreements</w:t>
      </w:r>
      <w:r w:rsidRPr="00AB78F7">
        <w:rPr>
          <w:rFonts w:ascii="Verdana" w:hAnsi="Verdana"/>
          <w:bCs/>
          <w:sz w:val="18"/>
          <w:szCs w:val="18"/>
        </w:rPr>
        <w:t xml:space="preserve"> met geïnteresseerde partners te </w:t>
      </w:r>
      <w:r w:rsidRPr="00AB78F7">
        <w:rPr>
          <w:rFonts w:ascii="Verdana" w:hAnsi="Verdana"/>
          <w:bCs/>
          <w:sz w:val="18"/>
          <w:szCs w:val="18"/>
        </w:rPr>
        <w:lastRenderedPageBreak/>
        <w:t>verkennen en in te zetten op versterking van lokaal ondernemerschap en innovatie. Het kabinet acht het daarbij van belang dat de inzet en uitwisseling voor digitale infrastructuur en cybersecurity in overeenstemming is met Europese digitale rechten, waarden en standaarden.</w:t>
      </w:r>
    </w:p>
    <w:p w:rsidRPr="00AB78F7" w:rsidR="00AB78F7" w:rsidP="00AB78F7" w:rsidRDefault="00AB78F7" w14:paraId="1BFC122D" w14:textId="77777777">
      <w:pPr>
        <w:spacing w:line="360" w:lineRule="auto"/>
        <w:rPr>
          <w:rFonts w:ascii="Verdana" w:hAnsi="Verdana"/>
          <w:bCs/>
          <w:sz w:val="18"/>
          <w:szCs w:val="18"/>
        </w:rPr>
      </w:pPr>
    </w:p>
    <w:p w:rsidRPr="00AB78F7" w:rsidR="00AB78F7" w:rsidP="00AB78F7" w:rsidRDefault="00AB78F7" w14:paraId="30520950" w14:textId="77777777">
      <w:pPr>
        <w:spacing w:line="360" w:lineRule="auto"/>
        <w:rPr>
          <w:rFonts w:ascii="Verdana" w:hAnsi="Verdana"/>
          <w:bCs/>
          <w:sz w:val="18"/>
          <w:szCs w:val="18"/>
        </w:rPr>
      </w:pPr>
      <w:r w:rsidRPr="00AB78F7">
        <w:rPr>
          <w:rFonts w:ascii="Verdana" w:hAnsi="Verdana"/>
          <w:bCs/>
          <w:sz w:val="18"/>
          <w:szCs w:val="18"/>
        </w:rPr>
        <w:t xml:space="preserve">Het kabinet verwelkomt de inzet op hernieuwbare energie, waterbeheer en duurzame connectiviteit, die bijdraagt aan de groene en veerkrachtige transitie van de regio. De voorgestelde samenwerking binnen het </w:t>
      </w:r>
      <w:r w:rsidRPr="00AB78F7">
        <w:rPr>
          <w:rFonts w:ascii="Verdana" w:hAnsi="Verdana"/>
          <w:bCs/>
          <w:i/>
          <w:iCs/>
          <w:sz w:val="18"/>
          <w:szCs w:val="18"/>
        </w:rPr>
        <w:t xml:space="preserve">Trans-Mediterranean </w:t>
      </w:r>
      <w:proofErr w:type="spellStart"/>
      <w:r w:rsidRPr="00AB78F7">
        <w:rPr>
          <w:rFonts w:ascii="Verdana" w:hAnsi="Verdana"/>
          <w:bCs/>
          <w:i/>
          <w:iCs/>
          <w:sz w:val="18"/>
          <w:szCs w:val="18"/>
        </w:rPr>
        <w:t>Renewable</w:t>
      </w:r>
      <w:proofErr w:type="spellEnd"/>
      <w:r w:rsidRPr="00AB78F7">
        <w:rPr>
          <w:rFonts w:ascii="Verdana" w:hAnsi="Verdana"/>
          <w:bCs/>
          <w:i/>
          <w:iCs/>
          <w:sz w:val="18"/>
          <w:szCs w:val="18"/>
        </w:rPr>
        <w:t xml:space="preserve"> Energy and Clean Tech </w:t>
      </w:r>
      <w:proofErr w:type="spellStart"/>
      <w:r w:rsidRPr="00AB78F7">
        <w:rPr>
          <w:rFonts w:ascii="Verdana" w:hAnsi="Verdana"/>
          <w:bCs/>
          <w:i/>
          <w:iCs/>
          <w:sz w:val="18"/>
          <w:szCs w:val="18"/>
        </w:rPr>
        <w:t>initiative</w:t>
      </w:r>
      <w:proofErr w:type="spellEnd"/>
      <w:r w:rsidRPr="00AB78F7">
        <w:rPr>
          <w:rFonts w:ascii="Verdana" w:hAnsi="Verdana"/>
          <w:bCs/>
          <w:sz w:val="18"/>
          <w:szCs w:val="18"/>
        </w:rPr>
        <w:t xml:space="preserve"> sluit goed aan bij de Nederlandse ambitie om groene importcorridors en industriële partnerschappen voor schone energie te versterken. Bij de verdere uitwerking is het van belang dat investeringen in infrastructuur, zoals havens, pijpleidingen en energieopslag, expliciet worden meegenomen.</w:t>
      </w:r>
    </w:p>
    <w:p w:rsidRPr="00AB78F7" w:rsidR="00AB78F7" w:rsidP="00AB78F7" w:rsidRDefault="00AB78F7" w14:paraId="563C080B" w14:textId="77777777">
      <w:pPr>
        <w:spacing w:line="360" w:lineRule="auto"/>
        <w:rPr>
          <w:rFonts w:ascii="Verdana" w:hAnsi="Verdana"/>
          <w:bCs/>
          <w:sz w:val="18"/>
          <w:szCs w:val="18"/>
        </w:rPr>
      </w:pPr>
    </w:p>
    <w:p w:rsidRPr="00AB78F7" w:rsidR="00AB78F7" w:rsidP="00AB78F7" w:rsidRDefault="00AB78F7" w14:paraId="580D80DC" w14:textId="77777777">
      <w:pPr>
        <w:spacing w:line="360" w:lineRule="auto"/>
        <w:rPr>
          <w:rFonts w:ascii="Verdana" w:hAnsi="Verdana"/>
          <w:bCs/>
          <w:sz w:val="18"/>
          <w:szCs w:val="18"/>
        </w:rPr>
      </w:pPr>
      <w:r w:rsidRPr="00AB78F7">
        <w:rPr>
          <w:rFonts w:ascii="Verdana" w:hAnsi="Verdana"/>
          <w:bCs/>
          <w:sz w:val="18"/>
          <w:szCs w:val="18"/>
        </w:rPr>
        <w:t xml:space="preserve">De Nederlandse en Europese belangen zijn nauw verweven met de veiligheid en stabiliteit in de Zuidelijk Nabuurschapsregio. Het kabinet verwelkomt dan ook de voorstellen onder de derde pijler, ‘Veiligheid, paraatheid en migratie’ om regionale samenwerking op het gebied van veiligheid, stabiliteit en conflictpreventie te versterken. Daarbij onderschrijft het kabinet het belang van versterkte samenwerking en </w:t>
      </w:r>
      <w:proofErr w:type="spellStart"/>
      <w:r w:rsidRPr="00D8449D">
        <w:rPr>
          <w:rFonts w:ascii="Verdana" w:hAnsi="Verdana"/>
          <w:bCs/>
          <w:i/>
          <w:iCs/>
          <w:sz w:val="18"/>
          <w:szCs w:val="18"/>
        </w:rPr>
        <w:t>whole</w:t>
      </w:r>
      <w:proofErr w:type="spellEnd"/>
      <w:r w:rsidRPr="00D8449D">
        <w:rPr>
          <w:rFonts w:ascii="Verdana" w:hAnsi="Verdana"/>
          <w:bCs/>
          <w:i/>
          <w:iCs/>
          <w:sz w:val="18"/>
          <w:szCs w:val="18"/>
        </w:rPr>
        <w:t xml:space="preserve"> of government </w:t>
      </w:r>
      <w:r w:rsidRPr="00AB78F7">
        <w:rPr>
          <w:rFonts w:ascii="Verdana" w:hAnsi="Verdana"/>
          <w:bCs/>
          <w:sz w:val="18"/>
          <w:szCs w:val="18"/>
        </w:rPr>
        <w:t xml:space="preserve">om de complexe veiligheidsuitdagingen aan te pakken. In een tijd van geopolitieke competitie is het essentieel dat de EU een volwaardige en eigenstandige veiligheidspartner is in een aangrenzende regio waar grote belangen liggen. </w:t>
      </w:r>
    </w:p>
    <w:p w:rsidRPr="00AB78F7" w:rsidR="00AB78F7" w:rsidP="00AB78F7" w:rsidRDefault="00AB78F7" w14:paraId="19156339" w14:textId="77777777">
      <w:pPr>
        <w:spacing w:line="360" w:lineRule="auto"/>
        <w:rPr>
          <w:rFonts w:ascii="Verdana" w:hAnsi="Verdana"/>
          <w:bCs/>
          <w:sz w:val="18"/>
          <w:szCs w:val="18"/>
        </w:rPr>
      </w:pPr>
    </w:p>
    <w:p w:rsidRPr="00AB78F7" w:rsidR="00AB78F7" w:rsidP="00AB78F7" w:rsidRDefault="00AB78F7" w14:paraId="648C3960" w14:textId="77777777">
      <w:pPr>
        <w:spacing w:line="360" w:lineRule="auto"/>
        <w:rPr>
          <w:rFonts w:ascii="Verdana" w:hAnsi="Verdana"/>
          <w:bCs/>
          <w:sz w:val="18"/>
          <w:szCs w:val="18"/>
        </w:rPr>
      </w:pPr>
      <w:r w:rsidRPr="00AB78F7">
        <w:rPr>
          <w:rFonts w:ascii="Verdana" w:hAnsi="Verdana"/>
          <w:bCs/>
          <w:sz w:val="18"/>
          <w:szCs w:val="18"/>
        </w:rPr>
        <w:t xml:space="preserve">Voor het kabinet is het bevorderen van de synergie tussen het NAVO </w:t>
      </w:r>
      <w:r w:rsidRPr="00AB78F7">
        <w:rPr>
          <w:rFonts w:ascii="Verdana" w:hAnsi="Verdana"/>
          <w:bCs/>
          <w:i/>
          <w:iCs/>
          <w:sz w:val="18"/>
          <w:szCs w:val="18"/>
        </w:rPr>
        <w:t xml:space="preserve">Southern </w:t>
      </w:r>
      <w:proofErr w:type="spellStart"/>
      <w:r w:rsidRPr="00AB78F7">
        <w:rPr>
          <w:rFonts w:ascii="Verdana" w:hAnsi="Verdana"/>
          <w:bCs/>
          <w:i/>
          <w:iCs/>
          <w:sz w:val="18"/>
          <w:szCs w:val="18"/>
        </w:rPr>
        <w:t>Neighbourhood</w:t>
      </w:r>
      <w:proofErr w:type="spellEnd"/>
      <w:r w:rsidRPr="00AB78F7">
        <w:rPr>
          <w:rFonts w:ascii="Verdana" w:hAnsi="Verdana"/>
          <w:bCs/>
          <w:i/>
          <w:iCs/>
          <w:sz w:val="18"/>
          <w:szCs w:val="18"/>
        </w:rPr>
        <w:t xml:space="preserve"> Action Plan</w:t>
      </w:r>
      <w:r w:rsidRPr="00AB78F7">
        <w:rPr>
          <w:rFonts w:ascii="Verdana" w:hAnsi="Verdana"/>
          <w:bCs/>
          <w:sz w:val="18"/>
          <w:szCs w:val="18"/>
        </w:rPr>
        <w:t xml:space="preserve"> en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belangrijk. Nederland zal aandacht vragen voor de noodzaak om inzet van de Europese vredesfaciliteit, NAVO-</w:t>
      </w:r>
      <w:r w:rsidRPr="00AB78F7">
        <w:rPr>
          <w:rFonts w:ascii="Verdana" w:hAnsi="Verdana"/>
          <w:bCs/>
          <w:i/>
          <w:iCs/>
          <w:sz w:val="18"/>
          <w:szCs w:val="18"/>
        </w:rPr>
        <w:t>Defence Capacity Building</w:t>
      </w:r>
      <w:r w:rsidRPr="00AB78F7">
        <w:rPr>
          <w:rFonts w:ascii="Verdana" w:hAnsi="Verdana"/>
          <w:bCs/>
          <w:sz w:val="18"/>
          <w:szCs w:val="18"/>
        </w:rPr>
        <w:t xml:space="preserve">, missies en operaties en lokaal geleide vredesopbouw op elkaar af te stemmen en synergie te bevorderen.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stelt voor om te onderzoeken of partnerlanden kunnen bijdragen aan Gemeenschappelijk Veiligheids- en Defensiebeleid-missies. Het kabinet zal pleiten om hierin duidelijke afwegingen te maken met betrekking tot effectiviteit, risico’s, mitigerende maatregelen en diversiteit van belangen.</w:t>
      </w:r>
    </w:p>
    <w:p w:rsidRPr="00AB78F7" w:rsidR="00AB78F7" w:rsidP="00AB78F7" w:rsidRDefault="00AB78F7" w14:paraId="72821680" w14:textId="77777777">
      <w:pPr>
        <w:spacing w:line="360" w:lineRule="auto"/>
        <w:rPr>
          <w:rFonts w:ascii="Verdana" w:hAnsi="Verdana"/>
          <w:bCs/>
          <w:sz w:val="18"/>
          <w:szCs w:val="18"/>
        </w:rPr>
      </w:pPr>
    </w:p>
    <w:p w:rsidRPr="00AB78F7" w:rsidR="00AB78F7" w:rsidP="00AB78F7" w:rsidRDefault="00AB78F7" w14:paraId="03A62BA8" w14:textId="77777777">
      <w:pPr>
        <w:spacing w:line="360" w:lineRule="auto"/>
        <w:rPr>
          <w:rFonts w:ascii="Verdana" w:hAnsi="Verdana"/>
          <w:bCs/>
          <w:sz w:val="18"/>
          <w:szCs w:val="18"/>
        </w:rPr>
      </w:pPr>
      <w:r w:rsidRPr="00AB78F7">
        <w:rPr>
          <w:rFonts w:ascii="Verdana" w:hAnsi="Verdana"/>
          <w:bCs/>
          <w:sz w:val="18"/>
          <w:szCs w:val="18"/>
        </w:rPr>
        <w:t xml:space="preserve">De nadruk op conflictbemiddeling, vredesopbouw, en capaciteitsopbouw binnen justitie- en veiligheidssectoren sluit aan bij de inzet van het kabinet. Het kabinet zal erop toezien dat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focust op de inachtneming van de normen inzake mensenrechten en zal aandacht vragen voor lokaal eigenaarschap binnen conflictpreventie. </w:t>
      </w:r>
    </w:p>
    <w:p w:rsidRPr="00AB78F7" w:rsidR="00AB78F7" w:rsidP="00AB78F7" w:rsidRDefault="00AB78F7" w14:paraId="18E588F3" w14:textId="77777777">
      <w:pPr>
        <w:spacing w:line="360" w:lineRule="auto"/>
        <w:rPr>
          <w:rFonts w:ascii="Verdana" w:hAnsi="Verdana"/>
          <w:bCs/>
          <w:sz w:val="18"/>
          <w:szCs w:val="18"/>
        </w:rPr>
      </w:pPr>
    </w:p>
    <w:p w:rsidRPr="00AB78F7" w:rsidR="00AB78F7" w:rsidP="00AB78F7" w:rsidRDefault="00AB78F7" w14:paraId="38C39F9B" w14:textId="77777777">
      <w:pPr>
        <w:spacing w:line="360" w:lineRule="auto"/>
        <w:rPr>
          <w:rFonts w:ascii="Verdana" w:hAnsi="Verdana"/>
          <w:bCs/>
          <w:sz w:val="18"/>
          <w:szCs w:val="18"/>
        </w:rPr>
      </w:pPr>
      <w:r w:rsidRPr="00AB78F7">
        <w:rPr>
          <w:rFonts w:ascii="Verdana" w:hAnsi="Verdana"/>
          <w:bCs/>
          <w:sz w:val="18"/>
          <w:szCs w:val="18"/>
        </w:rPr>
        <w:t xml:space="preserve">De aandacht voor grensoverschrijdende georganiseerde misdaad, radicalisering en gewelddadig extremisme, en maritieme veiligheid weerspiegelt de Nederlandse belangen in de regio. Het kabinet verwelkomt de inzet op versterking van de gezamenlijke aanpak van georganiseerde criminaliteit en terrorisme in het Middellandse Zeegebied. Nederland steunt de voorgestelde initiatieven, waaronder het opzetten van een regionale veiligheidsdialoog, het bevorderen van uitwisseling van expertise en training, en het, waar mogelijk en nuttig, ondersteunen van werkafspraken en internationale overeenkomsten met Europol, CEPOL, </w:t>
      </w:r>
      <w:proofErr w:type="spellStart"/>
      <w:r w:rsidRPr="00AB78F7">
        <w:rPr>
          <w:rFonts w:ascii="Verdana" w:hAnsi="Verdana"/>
          <w:bCs/>
          <w:sz w:val="18"/>
          <w:szCs w:val="18"/>
        </w:rPr>
        <w:t>Eurojust</w:t>
      </w:r>
      <w:proofErr w:type="spellEnd"/>
      <w:r w:rsidRPr="00AB78F7">
        <w:rPr>
          <w:rFonts w:ascii="Verdana" w:hAnsi="Verdana"/>
          <w:bCs/>
          <w:sz w:val="18"/>
          <w:szCs w:val="18"/>
        </w:rPr>
        <w:t xml:space="preserve"> en het Europees Openbaar Ministerie (EOM). Deze samenwerking kan bijdragen aan betere informatie-uitwisseling, versterkte opsporingscapaciteit en meer effectieve vervolging van grensoverschrijdende criminaliteit.</w:t>
      </w:r>
    </w:p>
    <w:p w:rsidR="00AB78F7" w:rsidP="00AB78F7" w:rsidRDefault="00AB78F7" w14:paraId="6DFBC2AF" w14:textId="621A3ABF">
      <w:pPr>
        <w:spacing w:line="360" w:lineRule="auto"/>
        <w:rPr>
          <w:rFonts w:ascii="Verdana" w:hAnsi="Verdana"/>
          <w:bCs/>
          <w:sz w:val="18"/>
          <w:szCs w:val="18"/>
        </w:rPr>
      </w:pPr>
      <w:r w:rsidRPr="00AB78F7">
        <w:rPr>
          <w:rFonts w:ascii="Verdana" w:hAnsi="Verdana"/>
          <w:bCs/>
          <w:sz w:val="18"/>
          <w:szCs w:val="18"/>
        </w:rPr>
        <w:lastRenderedPageBreak/>
        <w:t>Het kabinet verwelkomt de oproepen tot samenwerking om irreguliere migratie naar de EU tegen te gaan, capaciteitsopbouw in de regio</w:t>
      </w:r>
      <w:r w:rsidR="009A5A27">
        <w:rPr>
          <w:rFonts w:ascii="Verdana" w:hAnsi="Verdana"/>
          <w:bCs/>
          <w:sz w:val="18"/>
          <w:szCs w:val="18"/>
        </w:rPr>
        <w:t xml:space="preserve"> te vergroten</w:t>
      </w:r>
      <w:r w:rsidRPr="00AB78F7">
        <w:rPr>
          <w:rFonts w:ascii="Verdana" w:hAnsi="Verdana"/>
          <w:bCs/>
          <w:sz w:val="18"/>
          <w:szCs w:val="18"/>
        </w:rPr>
        <w:t>,  mensensmokkel en -handel</w:t>
      </w:r>
      <w:r w:rsidR="009A5A27">
        <w:rPr>
          <w:rFonts w:ascii="Verdana" w:hAnsi="Verdana"/>
          <w:bCs/>
          <w:sz w:val="18"/>
          <w:szCs w:val="18"/>
        </w:rPr>
        <w:t xml:space="preserve"> tegen te gaan</w:t>
      </w:r>
      <w:r w:rsidRPr="00AB78F7">
        <w:rPr>
          <w:rFonts w:ascii="Verdana" w:hAnsi="Verdana"/>
          <w:bCs/>
          <w:sz w:val="18"/>
          <w:szCs w:val="18"/>
        </w:rPr>
        <w:t>, terugkeersamenwerking en herintegratie</w:t>
      </w:r>
      <w:r w:rsidR="009A5A27">
        <w:rPr>
          <w:rFonts w:ascii="Verdana" w:hAnsi="Verdana"/>
          <w:bCs/>
          <w:sz w:val="18"/>
          <w:szCs w:val="18"/>
        </w:rPr>
        <w:t xml:space="preserve"> te verbeteren</w:t>
      </w:r>
      <w:r w:rsidRPr="00AB78F7">
        <w:rPr>
          <w:rFonts w:ascii="Verdana" w:hAnsi="Verdana"/>
          <w:bCs/>
          <w:sz w:val="18"/>
          <w:szCs w:val="18"/>
        </w:rPr>
        <w:t xml:space="preserve"> en het </w:t>
      </w:r>
      <w:r w:rsidR="009A5A27">
        <w:rPr>
          <w:rFonts w:ascii="Verdana" w:hAnsi="Verdana"/>
          <w:bCs/>
          <w:sz w:val="18"/>
          <w:szCs w:val="18"/>
        </w:rPr>
        <w:t xml:space="preserve">grensbeheer te </w:t>
      </w:r>
      <w:r w:rsidRPr="00AB78F7">
        <w:rPr>
          <w:rFonts w:ascii="Verdana" w:hAnsi="Verdana"/>
          <w:bCs/>
          <w:sz w:val="18"/>
          <w:szCs w:val="18"/>
        </w:rPr>
        <w:t xml:space="preserve">versterken. </w:t>
      </w:r>
      <w:r w:rsidRPr="009A5A27" w:rsidR="009A5A27">
        <w:rPr>
          <w:rFonts w:ascii="Verdana" w:hAnsi="Verdana"/>
          <w:bCs/>
          <w:sz w:val="18"/>
          <w:szCs w:val="18"/>
        </w:rPr>
        <w:t xml:space="preserve">De landen in de regio zijn belangrijke partners voor zowel Nederland als de EU daar waar het gaat om het voorkomen van irreguliere migratie en het bevorderen van terugkeer. Voor voldoende grip op migratie in Nederland zijn afspraken met de landen in deze regio op dat vlak essentieel en het kabinet zal zich ervoor inzetten dat deze doelstellingen bij het verder vormgeven van de samenwerking van de EU met deze landen een centraal thema zijn. </w:t>
      </w:r>
      <w:r w:rsidRPr="00AB78F7">
        <w:rPr>
          <w:rFonts w:ascii="Verdana" w:hAnsi="Verdana"/>
          <w:bCs/>
          <w:sz w:val="18"/>
          <w:szCs w:val="18"/>
        </w:rPr>
        <w:t>Het kabinet zal zich er</w:t>
      </w:r>
      <w:r w:rsidR="009A5A27">
        <w:rPr>
          <w:rFonts w:ascii="Verdana" w:hAnsi="Verdana"/>
          <w:bCs/>
          <w:sz w:val="18"/>
          <w:szCs w:val="18"/>
        </w:rPr>
        <w:t xml:space="preserve"> ook </w:t>
      </w:r>
      <w:r w:rsidRPr="00AB78F7">
        <w:rPr>
          <w:rFonts w:ascii="Verdana" w:hAnsi="Verdana"/>
          <w:bCs/>
          <w:sz w:val="18"/>
          <w:szCs w:val="18"/>
        </w:rPr>
        <w:t>voor inspannen dat zowel vrijwillige als gedwongen</w:t>
      </w:r>
      <w:r w:rsidRPr="00AB78F7">
        <w:rPr>
          <w:rFonts w:ascii="Verdana" w:hAnsi="Verdana"/>
          <w:bCs/>
          <w:i/>
          <w:iCs/>
          <w:sz w:val="18"/>
          <w:szCs w:val="18"/>
        </w:rPr>
        <w:t xml:space="preserve"> </w:t>
      </w:r>
      <w:r w:rsidRPr="00AB78F7">
        <w:rPr>
          <w:rFonts w:ascii="Verdana" w:hAnsi="Verdana"/>
          <w:bCs/>
          <w:sz w:val="18"/>
          <w:szCs w:val="18"/>
        </w:rPr>
        <w:t>terugkeer expliciet benoemd worden, dat er ruimte is voor de uitwerking van innovatieve oplossingen</w:t>
      </w:r>
      <w:r w:rsidRPr="009A5A27" w:rsidR="009A5A27">
        <w:rPr>
          <w:rFonts w:ascii="Verdana" w:hAnsi="Verdana"/>
          <w:bCs/>
          <w:sz w:val="18"/>
          <w:szCs w:val="18"/>
        </w:rPr>
        <w:t>, waarbij gebruik moet worden gemaakt van het brede EU-instrumentarium en oog moet worden gehouden voor de specifieke bilaterale relatie. Tevens</w:t>
      </w:r>
      <w:r w:rsidRPr="00AB78F7">
        <w:rPr>
          <w:rFonts w:ascii="Verdana" w:hAnsi="Verdana"/>
          <w:bCs/>
          <w:sz w:val="18"/>
          <w:szCs w:val="18"/>
        </w:rPr>
        <w:t xml:space="preserve"> heeft</w:t>
      </w:r>
      <w:r w:rsidR="009A5A27">
        <w:rPr>
          <w:rFonts w:ascii="Verdana" w:hAnsi="Verdana"/>
          <w:bCs/>
          <w:sz w:val="18"/>
          <w:szCs w:val="18"/>
        </w:rPr>
        <w:t xml:space="preserve"> het kabinet</w:t>
      </w:r>
      <w:r w:rsidRPr="00AB78F7">
        <w:rPr>
          <w:rFonts w:ascii="Verdana" w:hAnsi="Verdana"/>
          <w:bCs/>
          <w:sz w:val="18"/>
          <w:szCs w:val="18"/>
        </w:rPr>
        <w:t xml:space="preserve"> de voorkeur dat de term ‘illegale migratie’ wordt omgezet in ‘irreguliere migratie’. Deze terminologie sluit beter aan bij de juridische status ten aanzien van de wijze van migratie.</w:t>
      </w:r>
    </w:p>
    <w:p w:rsidRPr="00AB78F7" w:rsidR="00D8449D" w:rsidP="00AB78F7" w:rsidRDefault="00D8449D" w14:paraId="28649EC7" w14:textId="77777777">
      <w:pPr>
        <w:spacing w:line="360" w:lineRule="auto"/>
        <w:rPr>
          <w:rFonts w:ascii="Verdana" w:hAnsi="Verdana"/>
          <w:bCs/>
          <w:sz w:val="18"/>
          <w:szCs w:val="18"/>
        </w:rPr>
      </w:pPr>
    </w:p>
    <w:p w:rsidRPr="00AB78F7" w:rsidR="00AB78F7" w:rsidP="00AB78F7" w:rsidRDefault="00AB78F7" w14:paraId="6E68B652" w14:textId="77777777">
      <w:pPr>
        <w:spacing w:line="360" w:lineRule="auto"/>
        <w:rPr>
          <w:rFonts w:ascii="Verdana" w:hAnsi="Verdana"/>
          <w:bCs/>
          <w:sz w:val="18"/>
          <w:szCs w:val="18"/>
        </w:rPr>
      </w:pPr>
      <w:r w:rsidRPr="00AB78F7">
        <w:rPr>
          <w:rFonts w:ascii="Verdana" w:hAnsi="Verdana"/>
          <w:bCs/>
          <w:sz w:val="18"/>
          <w:szCs w:val="18"/>
        </w:rPr>
        <w:t>Het kabinet verwelkomt de oproepen tot samenwerking om irreguliere migratie naar de EU te voorkomen, vergroten capaciteitsopbouw in de regio, tegengaan van mensensmokkel en -handel, verbeteren van terugkeersamenwerking en herintegratie en het versterken van grensbeheer. Het kabinet zal zich ervoor inspannen dat zowel vrijwillige als gedwongen</w:t>
      </w:r>
      <w:r w:rsidRPr="00AB78F7">
        <w:rPr>
          <w:rFonts w:ascii="Verdana" w:hAnsi="Verdana"/>
          <w:bCs/>
          <w:i/>
          <w:iCs/>
          <w:sz w:val="18"/>
          <w:szCs w:val="18"/>
        </w:rPr>
        <w:t xml:space="preserve"> </w:t>
      </w:r>
      <w:r w:rsidRPr="00AB78F7">
        <w:rPr>
          <w:rFonts w:ascii="Verdana" w:hAnsi="Verdana"/>
          <w:bCs/>
          <w:sz w:val="18"/>
          <w:szCs w:val="18"/>
        </w:rPr>
        <w:t>terugkeer expliciet benoemd worden  binnen de terugkeersamenwerking en er ruimte is voor de uitwerking van innovatieve oplossingen en heeft de voorkeur dat de term ‘illegale migratie’ wordt omgezet in ‘irreguliere migratie’. Immers is de aanwezigheid van een persoon nooit illegaal, de verblijfssituatie kan irregulier zijn verwijzend naar de juridische status of wijze van migratie.</w:t>
      </w:r>
    </w:p>
    <w:p w:rsidRPr="00AB78F7" w:rsidR="00AB78F7" w:rsidP="00AB78F7" w:rsidRDefault="00AB78F7" w14:paraId="422766A5" w14:textId="77777777">
      <w:pPr>
        <w:spacing w:line="360" w:lineRule="auto"/>
        <w:rPr>
          <w:rFonts w:ascii="Verdana" w:hAnsi="Verdana"/>
          <w:bCs/>
          <w:sz w:val="18"/>
          <w:szCs w:val="18"/>
        </w:rPr>
      </w:pPr>
    </w:p>
    <w:p w:rsidRPr="00AB78F7" w:rsidR="00AB78F7" w:rsidP="00AB78F7" w:rsidRDefault="00AB78F7" w14:paraId="7C998F58" w14:textId="77777777">
      <w:pPr>
        <w:spacing w:line="360" w:lineRule="auto"/>
        <w:rPr>
          <w:rFonts w:ascii="Verdana" w:hAnsi="Verdana"/>
          <w:bCs/>
          <w:sz w:val="18"/>
          <w:szCs w:val="18"/>
        </w:rPr>
      </w:pPr>
      <w:r w:rsidRPr="00AB78F7">
        <w:rPr>
          <w:rFonts w:ascii="Verdana" w:hAnsi="Verdana"/>
          <w:bCs/>
          <w:sz w:val="18"/>
          <w:szCs w:val="18"/>
        </w:rPr>
        <w:t xml:space="preserve">Het eerbiedigen van mensenrechten in lijn met internationale wet- en regelgeving, goede monitoring daarvan en samenwerking op basis van het </w:t>
      </w:r>
      <w:r w:rsidRPr="00AB78F7">
        <w:rPr>
          <w:rFonts w:ascii="Verdana" w:hAnsi="Verdana"/>
          <w:bCs/>
          <w:i/>
          <w:iCs/>
          <w:sz w:val="18"/>
          <w:szCs w:val="18"/>
        </w:rPr>
        <w:t xml:space="preserve">do no harm </w:t>
      </w:r>
      <w:r w:rsidRPr="00AB78F7">
        <w:rPr>
          <w:rFonts w:ascii="Verdana" w:hAnsi="Verdana"/>
          <w:bCs/>
          <w:sz w:val="18"/>
          <w:szCs w:val="18"/>
        </w:rPr>
        <w:t xml:space="preserve">principe blijven voor Nederland dwarsdoorsnijdend belangrijk in samenwerking met derde landen.  Het kabinet zet zich dan ook in op adequate risico-inschatting, identificatie van mitigerende maatregelen, monitoring en evaluatie omtrent de mensenrechtenimpact bij de uitvoering van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Het kabinet acht het van belang dat de EU investeert in de bescherming en opvang van migranten op de routes. Daarom verwelkomt het kabinet het voorstel van een </w:t>
      </w:r>
      <w:proofErr w:type="spellStart"/>
      <w:r w:rsidRPr="00AB78F7">
        <w:rPr>
          <w:rFonts w:ascii="Verdana" w:hAnsi="Verdana"/>
          <w:bCs/>
          <w:i/>
          <w:iCs/>
          <w:sz w:val="18"/>
          <w:szCs w:val="18"/>
        </w:rPr>
        <w:t>regional</w:t>
      </w:r>
      <w:proofErr w:type="spellEnd"/>
      <w:r w:rsidRPr="00AB78F7">
        <w:rPr>
          <w:rFonts w:ascii="Verdana" w:hAnsi="Verdana"/>
          <w:bCs/>
          <w:i/>
          <w:iCs/>
          <w:sz w:val="18"/>
          <w:szCs w:val="18"/>
        </w:rPr>
        <w:t xml:space="preserve"> protection project for the </w:t>
      </w:r>
      <w:proofErr w:type="spellStart"/>
      <w:r w:rsidRPr="00AB78F7">
        <w:rPr>
          <w:rFonts w:ascii="Verdana" w:hAnsi="Verdana"/>
          <w:bCs/>
          <w:i/>
          <w:iCs/>
          <w:sz w:val="18"/>
          <w:szCs w:val="18"/>
        </w:rPr>
        <w:t>southern</w:t>
      </w:r>
      <w:proofErr w:type="spellEnd"/>
      <w:r w:rsidRPr="00AB78F7">
        <w:rPr>
          <w:rFonts w:ascii="Verdana" w:hAnsi="Verdana"/>
          <w:bCs/>
          <w:i/>
          <w:iCs/>
          <w:sz w:val="18"/>
          <w:szCs w:val="18"/>
        </w:rPr>
        <w:t xml:space="preserve"> Mediterranean, </w:t>
      </w:r>
      <w:r w:rsidRPr="00AB78F7">
        <w:rPr>
          <w:rFonts w:ascii="Verdana" w:hAnsi="Verdana"/>
          <w:bCs/>
          <w:sz w:val="18"/>
          <w:szCs w:val="18"/>
        </w:rPr>
        <w:t xml:space="preserve">alsook de voorstellen om te investeren in de capaciteit van lokale autoriteiten die werkzaam zijn in migratiemanagement. Het kabinet zal zich ervoor inspannen dat ondersteuning bij de opbouw van lokale asiel- en migratiemanagementsystemen hier onderdeel van is. </w:t>
      </w:r>
    </w:p>
    <w:p w:rsidRPr="00AB78F7" w:rsidR="00AB78F7" w:rsidP="00AB78F7" w:rsidRDefault="00AB78F7" w14:paraId="2A1D2725" w14:textId="77777777">
      <w:pPr>
        <w:spacing w:line="360" w:lineRule="auto"/>
        <w:rPr>
          <w:rFonts w:ascii="Verdana" w:hAnsi="Verdana"/>
          <w:bCs/>
          <w:sz w:val="18"/>
          <w:szCs w:val="18"/>
        </w:rPr>
      </w:pPr>
    </w:p>
    <w:p w:rsidRPr="00AB78F7" w:rsidR="00AB78F7" w:rsidP="00AB78F7" w:rsidRDefault="00AB78F7" w14:paraId="3B7379CD" w14:textId="77777777">
      <w:pPr>
        <w:spacing w:line="360" w:lineRule="auto"/>
        <w:rPr>
          <w:rFonts w:ascii="Verdana" w:hAnsi="Verdana"/>
          <w:bCs/>
          <w:sz w:val="18"/>
          <w:szCs w:val="18"/>
        </w:rPr>
      </w:pPr>
      <w:r w:rsidRPr="00AB78F7">
        <w:rPr>
          <w:rFonts w:ascii="Verdana" w:hAnsi="Verdana"/>
          <w:bCs/>
          <w:sz w:val="18"/>
          <w:szCs w:val="18"/>
        </w:rPr>
        <w:t xml:space="preserve">De oproepen tot het versterken en uitbreiden van vormen van reguliere migratie (zoals arbeidsmigratie) sluiten aan bij het beleid van sommige lidstaten, maar zullen volgens het kabinet altijd vergezeld moeten gaan met waarborgen voor nationale competenties om eigen grip op migratie te kunnen behouden. Voor het kabinet is arbeidsmigratie geen structurele oplossing voor tekorten op de arbeidsmarkt. Het kabinet erkent wel de noodzaak om gericht en selectief talent aan te trekken voor de Nederlandse kenniseconomie. Het kabinet zal er zorg voor dragen dat lidstaten ruimte behouden voor een eigen invulling van arbeidsmigratie- en arbeidsmarktbeleid. </w:t>
      </w:r>
    </w:p>
    <w:p w:rsidRPr="00AB78F7" w:rsidR="00AB78F7" w:rsidP="00AB78F7" w:rsidRDefault="00AB78F7" w14:paraId="2849E635" w14:textId="77777777">
      <w:pPr>
        <w:spacing w:line="360" w:lineRule="auto"/>
        <w:rPr>
          <w:rFonts w:ascii="Verdana" w:hAnsi="Verdana"/>
          <w:bCs/>
          <w:sz w:val="18"/>
          <w:szCs w:val="18"/>
        </w:rPr>
      </w:pPr>
      <w:r w:rsidRPr="00AB78F7">
        <w:rPr>
          <w:rFonts w:ascii="Verdana" w:hAnsi="Verdana"/>
          <w:bCs/>
          <w:sz w:val="18"/>
          <w:szCs w:val="18"/>
        </w:rPr>
        <w:lastRenderedPageBreak/>
        <w:t>Het kabinet verwelkomt de samenwerking op versterkt integraal grensmanagement in de Middellandse Zeeregio en het tegengaan van drugs-, wapen- en mensenhandel door de samenwerking tussen de partnerlanden en de relevante Europese agentschappen, waaronder het Europese Grens- en Kunstwachtagentschap Frontex. De ontwikkeling van kleinschalige pilotprojecten zou zich volgens het kabinet niet moeten beperken tot louter grensbeheer, maar het hele migratiedomein moeten beslaan. Het kabinet zal zich inspannen voor een mensgerichte, op rechten gebaseerde aanpak en een ondersteuning van justitiële en bestuurlijke structuren in partnerlanden.</w:t>
      </w:r>
    </w:p>
    <w:p w:rsidRPr="00AB78F7" w:rsidR="00AB78F7" w:rsidP="00AB78F7" w:rsidRDefault="00AB78F7" w14:paraId="513DAEC8" w14:textId="77777777">
      <w:pPr>
        <w:spacing w:line="360" w:lineRule="auto"/>
        <w:rPr>
          <w:rFonts w:ascii="Verdana" w:hAnsi="Verdana"/>
          <w:bCs/>
          <w:sz w:val="18"/>
          <w:szCs w:val="18"/>
        </w:rPr>
      </w:pPr>
    </w:p>
    <w:p w:rsidRPr="00AB78F7" w:rsidR="00AB78F7" w:rsidP="00AB78F7" w:rsidRDefault="00AB78F7" w14:paraId="4666FFBB" w14:textId="77777777">
      <w:pPr>
        <w:numPr>
          <w:ilvl w:val="0"/>
          <w:numId w:val="5"/>
        </w:numPr>
        <w:spacing w:line="360" w:lineRule="auto"/>
        <w:rPr>
          <w:rFonts w:ascii="Verdana" w:hAnsi="Verdana"/>
          <w:bCs/>
          <w:i/>
          <w:sz w:val="18"/>
          <w:szCs w:val="18"/>
        </w:rPr>
      </w:pPr>
      <w:r w:rsidRPr="00AB78F7">
        <w:rPr>
          <w:rFonts w:ascii="Verdana" w:hAnsi="Verdana"/>
          <w:bCs/>
          <w:i/>
          <w:sz w:val="18"/>
          <w:szCs w:val="18"/>
        </w:rPr>
        <w:t>Eerste inschatting krachtenveld</w:t>
      </w:r>
    </w:p>
    <w:p w:rsidRPr="00AB78F7" w:rsidR="00AB78F7" w:rsidP="00AB78F7" w:rsidRDefault="00AB78F7" w14:paraId="786D70F0" w14:textId="77777777">
      <w:pPr>
        <w:spacing w:line="360" w:lineRule="auto"/>
        <w:rPr>
          <w:rFonts w:ascii="Verdana" w:hAnsi="Verdana"/>
          <w:bCs/>
          <w:sz w:val="18"/>
          <w:szCs w:val="18"/>
        </w:rPr>
      </w:pPr>
      <w:r w:rsidRPr="00AB78F7">
        <w:rPr>
          <w:rFonts w:ascii="Verdana" w:hAnsi="Verdana"/>
          <w:bCs/>
          <w:sz w:val="18"/>
          <w:szCs w:val="18"/>
        </w:rPr>
        <w:t xml:space="preserve">Binnen de EU bestaat brede steun voor de partnerschapsaanpak richting de landen in de Zuidelijk Nabuurschapsregio. Bij eerdere besprekingen van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is door EU-lidstaten tevens steun geuit voor de inzet om voort te bouwen op bestaande initiatieven, bijvoorbeeld op het gebied van handel en migratie.</w:t>
      </w:r>
      <w:r w:rsidRPr="00AB78F7">
        <w:rPr>
          <w:rFonts w:ascii="Verdana" w:hAnsi="Verdana"/>
          <w:bCs/>
          <w:sz w:val="18"/>
          <w:szCs w:val="18"/>
          <w:vertAlign w:val="superscript"/>
        </w:rPr>
        <w:footnoteReference w:id="9"/>
      </w:r>
      <w:r w:rsidRPr="00AB78F7">
        <w:rPr>
          <w:rFonts w:ascii="Verdana" w:hAnsi="Verdana"/>
          <w:bCs/>
          <w:sz w:val="18"/>
          <w:szCs w:val="18"/>
        </w:rPr>
        <w:t xml:space="preserve"> Wel hebben verschillende lidstaten, waaronder Nederland, aandacht voor het belang om nationale competenties en belangen te borgen bij het aangaan van partnerschappen. Verder hebben lidstaten aandacht gevraagd voor inclusiviteit in de samenwerking met partnerlanden, voor financiering en voor monitoring door de Raad Buitenlandse Zaken.</w:t>
      </w:r>
    </w:p>
    <w:p w:rsidRPr="00AB78F7" w:rsidR="00AB78F7" w:rsidP="00AB78F7" w:rsidRDefault="00AB78F7" w14:paraId="19929662" w14:textId="77777777">
      <w:pPr>
        <w:spacing w:line="360" w:lineRule="auto"/>
        <w:rPr>
          <w:rFonts w:ascii="Verdana" w:hAnsi="Verdana"/>
          <w:bCs/>
          <w:sz w:val="18"/>
          <w:szCs w:val="18"/>
        </w:rPr>
      </w:pPr>
      <w:r w:rsidRPr="00AB78F7">
        <w:rPr>
          <w:rFonts w:ascii="Verdana" w:hAnsi="Verdana"/>
          <w:bCs/>
          <w:sz w:val="18"/>
          <w:szCs w:val="18"/>
        </w:rPr>
        <w:t xml:space="preserve">Het Europees Parlement heeft de gezamenlijke mededeling over het </w:t>
      </w:r>
      <w:proofErr w:type="spellStart"/>
      <w:r w:rsidRPr="00AB78F7">
        <w:rPr>
          <w:rFonts w:ascii="Verdana" w:hAnsi="Verdana"/>
          <w:bCs/>
          <w:sz w:val="18"/>
          <w:szCs w:val="18"/>
        </w:rPr>
        <w:t>MedPact</w:t>
      </w:r>
      <w:proofErr w:type="spellEnd"/>
      <w:r w:rsidRPr="00AB78F7">
        <w:rPr>
          <w:rFonts w:ascii="Verdana" w:hAnsi="Verdana"/>
          <w:bCs/>
          <w:sz w:val="18"/>
          <w:szCs w:val="18"/>
        </w:rPr>
        <w:t xml:space="preserve"> nog niet behandeld in een vergadering.</w:t>
      </w:r>
    </w:p>
    <w:p w:rsidRPr="00AB78F7" w:rsidR="00AB78F7" w:rsidP="00AB78F7" w:rsidRDefault="00AB78F7" w14:paraId="279FF65C" w14:textId="77777777">
      <w:pPr>
        <w:spacing w:line="360" w:lineRule="auto"/>
        <w:rPr>
          <w:rFonts w:ascii="Verdana" w:hAnsi="Verdana"/>
          <w:bCs/>
          <w:sz w:val="18"/>
          <w:szCs w:val="18"/>
        </w:rPr>
      </w:pPr>
    </w:p>
    <w:p w:rsidRPr="00AB78F7" w:rsidR="00AB78F7" w:rsidP="00AB78F7" w:rsidRDefault="00AB78F7" w14:paraId="3EBAE936" w14:textId="77777777">
      <w:pPr>
        <w:spacing w:line="360" w:lineRule="auto"/>
        <w:rPr>
          <w:rFonts w:ascii="Verdana" w:hAnsi="Verdana"/>
          <w:b/>
          <w:sz w:val="18"/>
          <w:szCs w:val="18"/>
        </w:rPr>
      </w:pPr>
      <w:r w:rsidRPr="00AB78F7">
        <w:rPr>
          <w:rFonts w:ascii="Verdana" w:hAnsi="Verdana"/>
          <w:b/>
          <w:sz w:val="18"/>
          <w:szCs w:val="18"/>
        </w:rPr>
        <w:t>4. Grondhouding ten aanzien van bevoegdheid, subsidiariteit, proportionaliteit, financiële gevolgen en gevolgen voor regeldruk, concurrentiekracht en geopolitieke aspecten</w:t>
      </w:r>
    </w:p>
    <w:p w:rsidRPr="00AB78F7" w:rsidR="00AB78F7" w:rsidP="00AB78F7" w:rsidRDefault="00AB78F7" w14:paraId="23918287" w14:textId="77777777">
      <w:pPr>
        <w:spacing w:line="360" w:lineRule="auto"/>
        <w:rPr>
          <w:rFonts w:ascii="Verdana" w:hAnsi="Verdana"/>
          <w:bCs/>
          <w:sz w:val="18"/>
          <w:szCs w:val="18"/>
        </w:rPr>
      </w:pPr>
    </w:p>
    <w:p w:rsidRPr="00AB78F7" w:rsidR="00AB78F7" w:rsidP="00AB78F7" w:rsidRDefault="00AB78F7" w14:paraId="20493A94" w14:textId="77777777">
      <w:pPr>
        <w:numPr>
          <w:ilvl w:val="0"/>
          <w:numId w:val="10"/>
        </w:numPr>
        <w:spacing w:line="360" w:lineRule="auto"/>
        <w:rPr>
          <w:rFonts w:ascii="Verdana" w:hAnsi="Verdana"/>
          <w:bCs/>
          <w:i/>
          <w:sz w:val="18"/>
          <w:szCs w:val="18"/>
        </w:rPr>
      </w:pPr>
      <w:r w:rsidRPr="00AB78F7">
        <w:rPr>
          <w:rFonts w:ascii="Verdana" w:hAnsi="Verdana"/>
          <w:bCs/>
          <w:i/>
          <w:sz w:val="18"/>
          <w:szCs w:val="18"/>
        </w:rPr>
        <w:t>Bevoegdheid</w:t>
      </w:r>
    </w:p>
    <w:p w:rsidRPr="00AB78F7" w:rsidR="00AB78F7" w:rsidP="00AB78F7" w:rsidRDefault="00AB78F7" w14:paraId="345908D2" w14:textId="77777777">
      <w:pPr>
        <w:spacing w:line="360" w:lineRule="auto"/>
        <w:rPr>
          <w:rFonts w:ascii="Verdana" w:hAnsi="Verdana"/>
          <w:bCs/>
          <w:sz w:val="18"/>
          <w:szCs w:val="18"/>
        </w:rPr>
      </w:pPr>
      <w:r w:rsidRPr="00AB78F7">
        <w:rPr>
          <w:rFonts w:ascii="Verdana" w:hAnsi="Verdana"/>
          <w:bCs/>
          <w:sz w:val="18"/>
          <w:szCs w:val="18"/>
        </w:rPr>
        <w:t>De grondhouding van het kabinet is positief. De mededeling heeft betrekking op onderwijs, onderzoek en technologische ontwikkeling; cultuur, sport en toerisme; versterken van het maatschappelijk middenveld en onafhankelijke media (sociaal beleid); arbeidsmarkt (werkgelegenheid); gemeenschappelijke handelspolitiek inclusief economische samenwerking, handel en investeringen; (hernieuwbare) energie; waterbeheer (milieu); duurzame connectiviteit (trans-Europese netwerken); migratie en justitiële samenwerking (ruimte van vrijheid, veiligheid en recht); veiligheid en stabiliteit (gemeenschappelijk buitenlands veiligheids- en defensiebeleid).</w:t>
      </w:r>
    </w:p>
    <w:p w:rsidRPr="00AB78F7" w:rsidR="00AB78F7" w:rsidP="00AB78F7" w:rsidRDefault="00AB78F7" w14:paraId="56B43DF3" w14:textId="77777777">
      <w:pPr>
        <w:spacing w:line="360" w:lineRule="auto"/>
        <w:rPr>
          <w:rFonts w:ascii="Verdana" w:hAnsi="Verdana"/>
          <w:bCs/>
          <w:sz w:val="18"/>
          <w:szCs w:val="18"/>
        </w:rPr>
      </w:pPr>
    </w:p>
    <w:p w:rsidR="00830EA0" w:rsidP="00AB78F7" w:rsidRDefault="00AB78F7" w14:paraId="624F554E" w14:textId="77777777">
      <w:pPr>
        <w:spacing w:line="360" w:lineRule="auto"/>
        <w:rPr>
          <w:rFonts w:ascii="Verdana" w:hAnsi="Verdana"/>
          <w:bCs/>
          <w:sz w:val="18"/>
          <w:szCs w:val="18"/>
        </w:rPr>
      </w:pPr>
      <w:r w:rsidRPr="00AB78F7">
        <w:rPr>
          <w:rFonts w:ascii="Verdana" w:hAnsi="Verdana"/>
          <w:bCs/>
          <w:sz w:val="18"/>
          <w:szCs w:val="18"/>
        </w:rPr>
        <w:t xml:space="preserve">Op het terrein van gemeenschappelijke handelspolitiek is sprake van een exclusieve bevoegdheid van de EU (artikel 3, lid 1, sub e) VWEU). Op het terrein van energie, milieu, trans-Europese netwerken en ruimte van vrijheid, veiligheid en recht, is sprake van een gedeelde bevoegdheid tussen de EU en de lidstaten (artikel 4, lid 2, sub j VWEU). Op het terrein van onderzoek en technologische ontwikkeling hebben de EU en de lidstaten een parallelle bevoegdheid (artikel 4, lid 3 VWEU). </w:t>
      </w:r>
    </w:p>
    <w:p w:rsidRPr="00AB78F7" w:rsidR="00AB78F7" w:rsidP="00AB78F7" w:rsidRDefault="00AB78F7" w14:paraId="5BB96F10" w14:textId="540BC347">
      <w:pPr>
        <w:spacing w:line="360" w:lineRule="auto"/>
        <w:rPr>
          <w:rFonts w:ascii="Verdana" w:hAnsi="Verdana"/>
          <w:bCs/>
          <w:sz w:val="18"/>
          <w:szCs w:val="18"/>
        </w:rPr>
      </w:pPr>
      <w:r w:rsidRPr="00AB78F7">
        <w:rPr>
          <w:rFonts w:ascii="Verdana" w:hAnsi="Verdana"/>
          <w:bCs/>
          <w:sz w:val="18"/>
          <w:szCs w:val="18"/>
        </w:rPr>
        <w:lastRenderedPageBreak/>
        <w:t>Op het terrein van gemeenschappelijk buitenlands veiligheids- en defensiebeleid heeft de EU ook bevoegdheid (artikel 2, lid 4 VWEU). Op het terrein van sociaal beleid en werkgelegenheid heeft de EU een coördinerende bevoegdheid (artikel 5, lid 3 VWEU). Op het terrein van onderwijs, cultuur, sport en toerisme is sprake van aanvullende bevoegdheid van de EU (artikel 6 VWEU).</w:t>
      </w:r>
    </w:p>
    <w:p w:rsidRPr="00AB78F7" w:rsidR="00AB78F7" w:rsidP="00AB78F7" w:rsidRDefault="00AB78F7" w14:paraId="73E6A634" w14:textId="77777777">
      <w:pPr>
        <w:spacing w:line="360" w:lineRule="auto"/>
        <w:rPr>
          <w:rFonts w:ascii="Verdana" w:hAnsi="Verdana"/>
          <w:bCs/>
          <w:i/>
          <w:sz w:val="18"/>
          <w:szCs w:val="18"/>
        </w:rPr>
      </w:pPr>
    </w:p>
    <w:p w:rsidRPr="00AB78F7" w:rsidR="00AB78F7" w:rsidP="00AB78F7" w:rsidRDefault="00AB78F7" w14:paraId="72832095" w14:textId="77777777">
      <w:pPr>
        <w:numPr>
          <w:ilvl w:val="0"/>
          <w:numId w:val="10"/>
        </w:numPr>
        <w:spacing w:line="360" w:lineRule="auto"/>
        <w:rPr>
          <w:rFonts w:ascii="Verdana" w:hAnsi="Verdana"/>
          <w:bCs/>
          <w:i/>
          <w:sz w:val="18"/>
          <w:szCs w:val="18"/>
        </w:rPr>
      </w:pPr>
      <w:r w:rsidRPr="00AB78F7">
        <w:rPr>
          <w:rFonts w:ascii="Verdana" w:hAnsi="Verdana"/>
          <w:bCs/>
          <w:i/>
          <w:sz w:val="18"/>
          <w:szCs w:val="18"/>
        </w:rPr>
        <w:t>Subsidiariteit</w:t>
      </w:r>
    </w:p>
    <w:p w:rsidRPr="00AB78F7" w:rsidR="00AB78F7" w:rsidP="00AB78F7" w:rsidRDefault="00AB78F7" w14:paraId="2B85F289" w14:textId="77777777">
      <w:pPr>
        <w:spacing w:line="360" w:lineRule="auto"/>
        <w:rPr>
          <w:rFonts w:ascii="Verdana" w:hAnsi="Verdana"/>
          <w:bCs/>
          <w:sz w:val="18"/>
          <w:szCs w:val="18"/>
        </w:rPr>
      </w:pPr>
      <w:r w:rsidRPr="00AB78F7">
        <w:rPr>
          <w:rFonts w:ascii="Verdana" w:hAnsi="Verdana"/>
          <w:bCs/>
          <w:sz w:val="18"/>
          <w:szCs w:val="18"/>
        </w:rPr>
        <w:t xml:space="preserve">De grondhouding van het kabinet is positief. </w:t>
      </w:r>
      <w:r w:rsidRPr="00AB78F7">
        <w:rPr>
          <w:rFonts w:ascii="Verdana" w:hAnsi="Verdana"/>
          <w:bCs/>
          <w:iCs/>
          <w:sz w:val="18"/>
          <w:szCs w:val="18"/>
        </w:rPr>
        <w:t xml:space="preserve">De mededeling heeft tot doel om de strategische samenwerking met de landen in de Middellandse Zeeregio te verdiepen en te versterken op onder meer het gebied van onderwijs en onderzoek, cultuur, gemeenschappelijke handelspolitiek en migratie, stabiliteit en veiligheid. Gezien het transnationale karakter van deze doelstellingen en belangen </w:t>
      </w:r>
      <w:r w:rsidRPr="00AB78F7">
        <w:rPr>
          <w:rFonts w:ascii="Verdana" w:hAnsi="Verdana"/>
          <w:bCs/>
          <w:sz w:val="18"/>
          <w:szCs w:val="18"/>
        </w:rPr>
        <w:t>kan dit onvoldoende</w:t>
      </w:r>
      <w:r w:rsidRPr="00AB78F7">
        <w:rPr>
          <w:rFonts w:ascii="Verdana" w:hAnsi="Verdana"/>
          <w:bCs/>
          <w:iCs/>
          <w:sz w:val="18"/>
          <w:szCs w:val="18"/>
        </w:rPr>
        <w:t xml:space="preserve"> </w:t>
      </w:r>
      <w:r w:rsidRPr="00AB78F7">
        <w:rPr>
          <w:rFonts w:ascii="Verdana" w:hAnsi="Verdana"/>
          <w:bCs/>
          <w:sz w:val="18"/>
          <w:szCs w:val="18"/>
        </w:rPr>
        <w:t xml:space="preserve">door de lidstaten op centraal, regionaal of lokaal niveau worden verwezenlijkt, daarom is een EU-aanpak op zijn plaats. </w:t>
      </w:r>
      <w:r w:rsidRPr="00AB78F7">
        <w:rPr>
          <w:rFonts w:ascii="Verdana" w:hAnsi="Verdana"/>
          <w:bCs/>
          <w:iCs/>
          <w:sz w:val="18"/>
          <w:szCs w:val="18"/>
        </w:rPr>
        <w:t xml:space="preserve">Zo wordt economische en innovatiesamenwerking efficiënter op EU niveau geregeld en zijn migratie en veiligheid grensoverschrijdende vraagstukken. Om die redenen is optreden op het niveau van de EU gerechtvaardigd. </w:t>
      </w:r>
    </w:p>
    <w:p w:rsidRPr="00AB78F7" w:rsidR="00AB78F7" w:rsidP="00AB78F7" w:rsidRDefault="00AB78F7" w14:paraId="4CB635BB" w14:textId="77777777">
      <w:pPr>
        <w:spacing w:line="360" w:lineRule="auto"/>
        <w:rPr>
          <w:rFonts w:ascii="Verdana" w:hAnsi="Verdana"/>
          <w:bCs/>
          <w:i/>
          <w:sz w:val="18"/>
          <w:szCs w:val="18"/>
        </w:rPr>
      </w:pPr>
    </w:p>
    <w:p w:rsidRPr="00AB78F7" w:rsidR="00AB78F7" w:rsidP="00AB78F7" w:rsidRDefault="00AB78F7" w14:paraId="0538171C" w14:textId="77777777">
      <w:pPr>
        <w:numPr>
          <w:ilvl w:val="0"/>
          <w:numId w:val="10"/>
        </w:numPr>
        <w:spacing w:line="360" w:lineRule="auto"/>
        <w:rPr>
          <w:rFonts w:ascii="Verdana" w:hAnsi="Verdana"/>
          <w:bCs/>
          <w:i/>
          <w:sz w:val="18"/>
          <w:szCs w:val="18"/>
        </w:rPr>
      </w:pPr>
      <w:r w:rsidRPr="00AB78F7">
        <w:rPr>
          <w:rFonts w:ascii="Verdana" w:hAnsi="Verdana"/>
          <w:bCs/>
          <w:i/>
          <w:sz w:val="18"/>
          <w:szCs w:val="18"/>
        </w:rPr>
        <w:t>Proportionaliteit</w:t>
      </w:r>
    </w:p>
    <w:p w:rsidRPr="00AB78F7" w:rsidR="00AB78F7" w:rsidP="00AB78F7" w:rsidRDefault="00AB78F7" w14:paraId="53DB4E49" w14:textId="77777777">
      <w:pPr>
        <w:spacing w:line="360" w:lineRule="auto"/>
        <w:rPr>
          <w:rFonts w:ascii="Verdana" w:hAnsi="Verdana"/>
          <w:bCs/>
          <w:sz w:val="18"/>
          <w:szCs w:val="18"/>
        </w:rPr>
      </w:pPr>
      <w:r w:rsidRPr="00AB78F7">
        <w:rPr>
          <w:rFonts w:ascii="Verdana" w:hAnsi="Verdana"/>
          <w:bCs/>
          <w:sz w:val="18"/>
          <w:szCs w:val="18"/>
        </w:rPr>
        <w:t xml:space="preserve">De grondhouding van het kabinet is positief. </w:t>
      </w:r>
      <w:r w:rsidRPr="00AB78F7">
        <w:rPr>
          <w:rFonts w:ascii="Verdana" w:hAnsi="Verdana"/>
          <w:bCs/>
          <w:iCs/>
          <w:sz w:val="18"/>
          <w:szCs w:val="18"/>
        </w:rPr>
        <w:t xml:space="preserve">De mededeling heeft tot doel om de strategische samenwerking met de landen in de Middellandse Zeeregio te verdiepen en te versterken op onder meer het gebied van onderwijs en onderzoek, cultuur, gemeenschappelijke handelspolitiek en migratie, stabiliteit en veiligheid. </w:t>
      </w:r>
      <w:r w:rsidRPr="00AB78F7">
        <w:rPr>
          <w:rFonts w:ascii="Verdana" w:hAnsi="Verdana"/>
          <w:bCs/>
          <w:sz w:val="18"/>
          <w:szCs w:val="18"/>
        </w:rPr>
        <w:t>Het voorgestelde optreden is geschikt om deze doelstelling te bereiken, omdat</w:t>
      </w:r>
      <w:r w:rsidRPr="00AB78F7">
        <w:rPr>
          <w:rFonts w:ascii="Verdana" w:hAnsi="Verdana"/>
          <w:bCs/>
          <w:iCs/>
          <w:sz w:val="18"/>
          <w:szCs w:val="18"/>
        </w:rPr>
        <w:t xml:space="preserve"> er nieuwe samenwerkingsverbanden worden voorgesteld die voortbouwen op bestaande akkoorden, dialogen en EU instrumenten.</w:t>
      </w:r>
      <w:r w:rsidRPr="00AB78F7">
        <w:rPr>
          <w:rFonts w:ascii="Verdana" w:hAnsi="Verdana"/>
          <w:bCs/>
          <w:sz w:val="18"/>
          <w:szCs w:val="18"/>
        </w:rPr>
        <w:t xml:space="preserve"> Bovendien gaat het voorgestelde optreden niet verder dan noodzakelijk, omdat</w:t>
      </w:r>
      <w:r w:rsidRPr="00AB78F7">
        <w:rPr>
          <w:rFonts w:ascii="Verdana" w:hAnsi="Verdana"/>
          <w:bCs/>
          <w:iCs/>
          <w:sz w:val="18"/>
          <w:szCs w:val="18"/>
        </w:rPr>
        <w:t xml:space="preserve"> de mededeling deze ambities uiteenzet en ruimte laat voor de daadwerkelijke invulling van de plannen. </w:t>
      </w:r>
    </w:p>
    <w:p w:rsidRPr="00AB78F7" w:rsidR="00AB78F7" w:rsidP="00AB78F7" w:rsidRDefault="00AB78F7" w14:paraId="1F571A71" w14:textId="77777777">
      <w:pPr>
        <w:spacing w:line="360" w:lineRule="auto"/>
        <w:rPr>
          <w:rFonts w:ascii="Verdana" w:hAnsi="Verdana"/>
          <w:bCs/>
          <w:i/>
          <w:sz w:val="18"/>
          <w:szCs w:val="18"/>
        </w:rPr>
      </w:pPr>
    </w:p>
    <w:p w:rsidRPr="00AB78F7" w:rsidR="00AB78F7" w:rsidP="00AB78F7" w:rsidRDefault="00AB78F7" w14:paraId="6B9E254F" w14:textId="77777777">
      <w:pPr>
        <w:numPr>
          <w:ilvl w:val="0"/>
          <w:numId w:val="10"/>
        </w:numPr>
        <w:spacing w:line="360" w:lineRule="auto"/>
        <w:rPr>
          <w:rFonts w:ascii="Verdana" w:hAnsi="Verdana"/>
          <w:bCs/>
          <w:i/>
          <w:sz w:val="18"/>
          <w:szCs w:val="18"/>
        </w:rPr>
      </w:pPr>
      <w:r w:rsidRPr="00AB78F7">
        <w:rPr>
          <w:rFonts w:ascii="Verdana" w:hAnsi="Verdana"/>
          <w:bCs/>
          <w:i/>
          <w:sz w:val="18"/>
          <w:szCs w:val="18"/>
        </w:rPr>
        <w:t>Financiële gevolgen</w:t>
      </w:r>
    </w:p>
    <w:p w:rsidRPr="00AB78F7" w:rsidR="00AB78F7" w:rsidP="00AB78F7" w:rsidRDefault="00AB78F7" w14:paraId="2D0A33BF" w14:textId="77777777">
      <w:pPr>
        <w:spacing w:line="360" w:lineRule="auto"/>
        <w:rPr>
          <w:rFonts w:ascii="Verdana" w:hAnsi="Verdana"/>
          <w:bCs/>
          <w:iCs/>
          <w:sz w:val="18"/>
          <w:szCs w:val="18"/>
        </w:rPr>
      </w:pPr>
      <w:r w:rsidRPr="00AB78F7">
        <w:rPr>
          <w:rFonts w:ascii="Verdana" w:hAnsi="Verdana"/>
          <w:bCs/>
          <w:iCs/>
          <w:sz w:val="18"/>
          <w:szCs w:val="18"/>
        </w:rPr>
        <w:t>De implementatie van de in de mededeling genoemde voorstellen zal volgens de Commissie geschieden binnen het huidige en toekomstige Meerjarige Financiële Kader. De Commissie geeft aan dat de financiële instrumenten gemobiliseerd zullen worden onder de NDICI verordening uit 2021 en de toekomstige Global Europe verordening onder het toekomstige Meerjarig Financieel Kader. 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w:t>
      </w:r>
    </w:p>
    <w:p w:rsidRPr="00AB78F7" w:rsidR="00AB78F7" w:rsidP="00AB78F7" w:rsidRDefault="00AB78F7" w14:paraId="7B6FFD86" w14:textId="77777777">
      <w:pPr>
        <w:spacing w:line="360" w:lineRule="auto"/>
        <w:rPr>
          <w:rFonts w:ascii="Verdana" w:hAnsi="Verdana"/>
          <w:bCs/>
          <w:iCs/>
          <w:sz w:val="18"/>
          <w:szCs w:val="18"/>
        </w:rPr>
      </w:pPr>
    </w:p>
    <w:p w:rsidRPr="00AB78F7" w:rsidR="00AB78F7" w:rsidP="00AB78F7" w:rsidRDefault="00AB78F7" w14:paraId="125E0767" w14:textId="77777777">
      <w:pPr>
        <w:spacing w:line="360" w:lineRule="auto"/>
        <w:rPr>
          <w:rFonts w:ascii="Verdana" w:hAnsi="Verdana"/>
          <w:bCs/>
          <w:i/>
          <w:sz w:val="18"/>
          <w:szCs w:val="18"/>
        </w:rPr>
      </w:pPr>
      <w:r w:rsidRPr="00AB78F7">
        <w:rPr>
          <w:rFonts w:ascii="Verdana" w:hAnsi="Verdana"/>
          <w:bCs/>
          <w:i/>
          <w:sz w:val="18"/>
          <w:szCs w:val="18"/>
        </w:rPr>
        <w:t>Gevolgen voor regeldruk, concurrentiekracht en geopolitieke aspecten</w:t>
      </w:r>
    </w:p>
    <w:p w:rsidRPr="00AB78F7" w:rsidR="00AB78F7" w:rsidP="00AB78F7" w:rsidRDefault="00AB78F7" w14:paraId="3C4EA880" w14:textId="77777777">
      <w:pPr>
        <w:spacing w:line="360" w:lineRule="auto"/>
        <w:rPr>
          <w:rFonts w:ascii="Verdana" w:hAnsi="Verdana"/>
          <w:bCs/>
          <w:iCs/>
          <w:sz w:val="18"/>
          <w:szCs w:val="18"/>
        </w:rPr>
      </w:pPr>
      <w:r w:rsidRPr="00AB78F7">
        <w:rPr>
          <w:rFonts w:ascii="Verdana" w:hAnsi="Verdana"/>
          <w:bCs/>
          <w:iCs/>
          <w:sz w:val="18"/>
          <w:szCs w:val="18"/>
        </w:rPr>
        <w:t>De mededeling heeft geen gevolgen voor de regeldruk. De voorgestelde verdere samenwerking op het gebied economie en handel, onderwijs en innovatie, digitale infrastructuur, connectiviteit en duurzame groei kan positieve effecten hebben op het EU-concurrentievermogen. Nederland zet hierbij in op een zelfde mate van betrokkenheid van de ‘</w:t>
      </w:r>
      <w:r w:rsidRPr="00D8449D">
        <w:rPr>
          <w:rFonts w:ascii="Verdana" w:hAnsi="Verdana"/>
          <w:bCs/>
          <w:i/>
          <w:sz w:val="18"/>
          <w:szCs w:val="18"/>
        </w:rPr>
        <w:t>Dutch Diamond</w:t>
      </w:r>
      <w:r w:rsidRPr="00AB78F7">
        <w:rPr>
          <w:rFonts w:ascii="Verdana" w:hAnsi="Verdana"/>
          <w:bCs/>
          <w:iCs/>
          <w:sz w:val="18"/>
          <w:szCs w:val="18"/>
        </w:rPr>
        <w:t xml:space="preserve">’ (private en publieke partners) als bij EU </w:t>
      </w:r>
      <w:r w:rsidRPr="00D8449D">
        <w:rPr>
          <w:rFonts w:ascii="Verdana" w:hAnsi="Verdana"/>
          <w:bCs/>
          <w:i/>
          <w:sz w:val="18"/>
          <w:szCs w:val="18"/>
        </w:rPr>
        <w:t>Global Gateway</w:t>
      </w:r>
      <w:r w:rsidRPr="00AB78F7">
        <w:rPr>
          <w:rFonts w:ascii="Verdana" w:hAnsi="Verdana"/>
          <w:bCs/>
          <w:iCs/>
          <w:sz w:val="18"/>
          <w:szCs w:val="18"/>
        </w:rPr>
        <w:t>.</w:t>
      </w:r>
    </w:p>
    <w:p w:rsidRPr="00AB78F7" w:rsidR="00AB78F7" w:rsidP="00AB78F7" w:rsidRDefault="00AB78F7" w14:paraId="790A5E8B" w14:textId="77777777">
      <w:pPr>
        <w:spacing w:line="360" w:lineRule="auto"/>
        <w:rPr>
          <w:rFonts w:ascii="Verdana" w:hAnsi="Verdana"/>
          <w:bCs/>
          <w:sz w:val="18"/>
          <w:szCs w:val="18"/>
        </w:rPr>
      </w:pPr>
      <w:r w:rsidRPr="00AB78F7">
        <w:rPr>
          <w:rFonts w:ascii="Verdana" w:hAnsi="Verdana"/>
          <w:bCs/>
          <w:iCs/>
          <w:sz w:val="18"/>
          <w:szCs w:val="18"/>
        </w:rPr>
        <w:lastRenderedPageBreak/>
        <w:t xml:space="preserve">De mededeling moet bijdragen aan een nauwere band met de Middellandse Zeeregio. Dit past bij het geopolitiek belang van de regio en de inzet van het kabinet om de banden met desbetreffende landen te versterken. De strategie kan bijdragen aan een sterkere positie van de EU en van de partners in de Middellandse Zeeregio in de wereld. Ook kunnen de onderdelen van het </w:t>
      </w:r>
      <w:proofErr w:type="spellStart"/>
      <w:r w:rsidRPr="00AB78F7">
        <w:rPr>
          <w:rFonts w:ascii="Verdana" w:hAnsi="Verdana"/>
          <w:bCs/>
          <w:iCs/>
          <w:sz w:val="18"/>
          <w:szCs w:val="18"/>
        </w:rPr>
        <w:t>MedPact</w:t>
      </w:r>
      <w:proofErr w:type="spellEnd"/>
      <w:r w:rsidRPr="00AB78F7">
        <w:rPr>
          <w:rFonts w:ascii="Verdana" w:hAnsi="Verdana"/>
          <w:bCs/>
          <w:iCs/>
          <w:sz w:val="18"/>
          <w:szCs w:val="18"/>
        </w:rPr>
        <w:t xml:space="preserve"> over vrede en veiligheid bijdragen aan de veerkracht en paraatheid van de EU in de regio.  </w:t>
      </w:r>
    </w:p>
    <w:p w:rsidRPr="00AB78F7" w:rsidR="00AB78F7" w:rsidP="00AB78F7" w:rsidRDefault="00AB78F7" w14:paraId="1DD9FA7A" w14:textId="77777777">
      <w:pPr>
        <w:spacing w:line="360" w:lineRule="auto"/>
        <w:rPr>
          <w:rFonts w:ascii="Verdana" w:hAnsi="Verdana"/>
          <w:bCs/>
          <w:sz w:val="18"/>
          <w:szCs w:val="18"/>
        </w:rPr>
      </w:pPr>
    </w:p>
    <w:p w:rsidRPr="00483E5C" w:rsidR="00AB78F7" w:rsidP="00AB78F7" w:rsidRDefault="00AB78F7" w14:paraId="124156B9" w14:textId="77777777">
      <w:pPr>
        <w:spacing w:line="360" w:lineRule="auto"/>
        <w:rPr>
          <w:rFonts w:ascii="Verdana" w:hAnsi="Verdana"/>
          <w:bCs/>
          <w:sz w:val="18"/>
          <w:szCs w:val="18"/>
        </w:rPr>
      </w:pPr>
    </w:p>
    <w:bookmarkEnd w:id="0"/>
    <w:bookmarkEnd w:id="1"/>
    <w:p w:rsidRPr="00483E5C" w:rsidR="00576F28" w:rsidRDefault="00576F28" w14:paraId="112D39E4" w14:textId="77777777">
      <w:pPr>
        <w:rPr>
          <w:bCs/>
        </w:rPr>
      </w:pPr>
    </w:p>
    <w:sectPr w:rsidRPr="00483E5C" w:rsidR="00576F28" w:rsidSect="00DE557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5458" w14:textId="77777777" w:rsidR="004768C5" w:rsidRDefault="004768C5" w:rsidP="00DE557B">
      <w:pPr>
        <w:spacing w:line="240" w:lineRule="auto"/>
      </w:pPr>
      <w:r>
        <w:separator/>
      </w:r>
    </w:p>
  </w:endnote>
  <w:endnote w:type="continuationSeparator" w:id="0">
    <w:p w14:paraId="3CEC8619" w14:textId="77777777" w:rsidR="004768C5" w:rsidRDefault="004768C5" w:rsidP="00DE557B">
      <w:pPr>
        <w:spacing w:line="240" w:lineRule="auto"/>
      </w:pPr>
      <w:r>
        <w:continuationSeparator/>
      </w:r>
    </w:p>
  </w:endnote>
  <w:endnote w:type="continuationNotice" w:id="1">
    <w:p w14:paraId="5716EA23" w14:textId="77777777" w:rsidR="004768C5" w:rsidRDefault="004768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CF70" w14:textId="2674E3D3" w:rsidR="00547D85" w:rsidRDefault="0041394D">
    <w:pPr>
      <w:pStyle w:val="Footer"/>
      <w:framePr w:wrap="around" w:vAnchor="text" w:hAnchor="margin" w:xAlign="center" w:y="1"/>
      <w:rPr>
        <w:rStyle w:val="PageNumber"/>
      </w:rPr>
    </w:pPr>
    <w:r>
      <w:rPr>
        <w:noProof/>
        <w14:ligatures w14:val="standardContextual"/>
      </w:rPr>
      <mc:AlternateContent>
        <mc:Choice Requires="wps">
          <w:drawing>
            <wp:anchor distT="0" distB="0" distL="0" distR="0" simplePos="0" relativeHeight="251658241" behindDoc="0" locked="0" layoutInCell="1" allowOverlap="1" wp14:anchorId="6D54E825" wp14:editId="36A48EC4">
              <wp:simplePos x="635" y="635"/>
              <wp:positionH relativeFrom="page">
                <wp:align>left</wp:align>
              </wp:positionH>
              <wp:positionV relativeFrom="page">
                <wp:align>bottom</wp:align>
              </wp:positionV>
              <wp:extent cx="986155" cy="368300"/>
              <wp:effectExtent l="0" t="0" r="4445" b="0"/>
              <wp:wrapNone/>
              <wp:docPr id="49250193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0621385" w14:textId="5D93A543" w:rsidR="0041394D" w:rsidRPr="0041394D" w:rsidRDefault="0041394D" w:rsidP="0041394D">
                          <w:pPr>
                            <w:rPr>
                              <w:rFonts w:ascii="Calibri" w:eastAsia="Calibri" w:hAnsi="Calibri" w:cs="Calibri"/>
                              <w:noProof/>
                              <w:color w:val="000000"/>
                              <w:sz w:val="20"/>
                            </w:rPr>
                          </w:pPr>
                          <w:r w:rsidRPr="0041394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54E825"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0621385" w14:textId="5D93A543" w:rsidR="0041394D" w:rsidRPr="0041394D" w:rsidRDefault="0041394D" w:rsidP="0041394D">
                    <w:pPr>
                      <w:rPr>
                        <w:rFonts w:ascii="Calibri" w:eastAsia="Calibri" w:hAnsi="Calibri" w:cs="Calibri"/>
                        <w:noProof/>
                        <w:color w:val="000000"/>
                        <w:sz w:val="20"/>
                      </w:rPr>
                    </w:pPr>
                    <w:r w:rsidRPr="0041394D">
                      <w:rPr>
                        <w:rFonts w:ascii="Calibri" w:eastAsia="Calibri" w:hAnsi="Calibri" w:cs="Calibri"/>
                        <w:noProof/>
                        <w:color w:val="000000"/>
                        <w:sz w:val="20"/>
                      </w:rPr>
                      <w:t>Intern gebruik</w:t>
                    </w:r>
                  </w:p>
                </w:txbxContent>
              </v:textbox>
              <w10:wrap anchorx="page" anchory="page"/>
            </v:shape>
          </w:pict>
        </mc:Fallback>
      </mc:AlternateContent>
    </w:r>
    <w:r w:rsidR="00547D85">
      <w:rPr>
        <w:rStyle w:val="PageNumber"/>
      </w:rPr>
      <w:fldChar w:fldCharType="begin"/>
    </w:r>
    <w:r w:rsidR="00547D85">
      <w:rPr>
        <w:rStyle w:val="PageNumber"/>
      </w:rPr>
      <w:instrText xml:space="preserve">PAGE  </w:instrText>
    </w:r>
    <w:r w:rsidR="00547D85">
      <w:rPr>
        <w:rStyle w:val="PageNumber"/>
      </w:rPr>
      <w:fldChar w:fldCharType="separate"/>
    </w:r>
    <w:r w:rsidR="00547D85">
      <w:rPr>
        <w:rStyle w:val="PageNumber"/>
        <w:noProof/>
      </w:rPr>
      <w:t>10</w:t>
    </w:r>
    <w:r w:rsidR="00547D85">
      <w:rPr>
        <w:rStyle w:val="PageNumber"/>
      </w:rPr>
      <w:fldChar w:fldCharType="end"/>
    </w:r>
  </w:p>
  <w:p w14:paraId="7B1DDFF0" w14:textId="77777777" w:rsidR="00547D85" w:rsidRDefault="00547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5DBF" w14:textId="10B72F45" w:rsidR="00547D85" w:rsidRDefault="0041394D">
    <w:pPr>
      <w:pStyle w:val="Footer"/>
    </w:pPr>
    <w:r>
      <w:rPr>
        <w:noProof/>
        <w14:ligatures w14:val="standardContextual"/>
      </w:rPr>
      <mc:AlternateContent>
        <mc:Choice Requires="wps">
          <w:drawing>
            <wp:anchor distT="0" distB="0" distL="0" distR="0" simplePos="0" relativeHeight="251658242" behindDoc="0" locked="0" layoutInCell="1" allowOverlap="1" wp14:anchorId="5E9D2C74" wp14:editId="6A753C4D">
              <wp:simplePos x="635" y="635"/>
              <wp:positionH relativeFrom="page">
                <wp:align>left</wp:align>
              </wp:positionH>
              <wp:positionV relativeFrom="page">
                <wp:align>bottom</wp:align>
              </wp:positionV>
              <wp:extent cx="986155" cy="368300"/>
              <wp:effectExtent l="0" t="0" r="4445" b="0"/>
              <wp:wrapNone/>
              <wp:docPr id="185937791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871AE41" w14:textId="0CC8B222" w:rsidR="0041394D" w:rsidRPr="0041394D" w:rsidRDefault="0041394D" w:rsidP="0041394D">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9D2C74"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1871AE41" w14:textId="0CC8B222" w:rsidR="0041394D" w:rsidRPr="0041394D" w:rsidRDefault="0041394D" w:rsidP="0041394D">
                    <w:pPr>
                      <w:rPr>
                        <w:rFonts w:ascii="Calibri" w:eastAsia="Calibri" w:hAnsi="Calibri" w:cs="Calibri"/>
                        <w:noProof/>
                        <w:color w:val="000000"/>
                        <w:sz w:val="20"/>
                      </w:rPr>
                    </w:pPr>
                  </w:p>
                </w:txbxContent>
              </v:textbox>
              <w10:wrap anchorx="page" anchory="page"/>
            </v:shape>
          </w:pict>
        </mc:Fallback>
      </mc:AlternateContent>
    </w:r>
    <w:r w:rsidR="00547D85">
      <w:fldChar w:fldCharType="begin"/>
    </w:r>
    <w:r w:rsidR="00547D85">
      <w:instrText xml:space="preserve"> PAGE  \* LOWER </w:instrText>
    </w:r>
    <w:r w:rsidR="00547D85">
      <w:fldChar w:fldCharType="separate"/>
    </w:r>
    <w:r w:rsidR="00547D85">
      <w:rPr>
        <w:noProof/>
      </w:rPr>
      <w:t>5</w:t>
    </w:r>
    <w:r w:rsidR="00547D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4D18" w14:textId="4F4670E2" w:rsidR="00547D85" w:rsidRDefault="0041394D">
    <w:pPr>
      <w:pStyle w:val="Footer"/>
    </w:pPr>
    <w:r>
      <w:rPr>
        <w:noProof/>
        <w14:ligatures w14:val="standardContextual"/>
      </w:rPr>
      <mc:AlternateContent>
        <mc:Choice Requires="wps">
          <w:drawing>
            <wp:anchor distT="0" distB="0" distL="0" distR="0" simplePos="0" relativeHeight="251658240" behindDoc="0" locked="0" layoutInCell="1" allowOverlap="1" wp14:anchorId="5C6571D4" wp14:editId="13C99C2F">
              <wp:simplePos x="635" y="635"/>
              <wp:positionH relativeFrom="page">
                <wp:align>left</wp:align>
              </wp:positionH>
              <wp:positionV relativeFrom="page">
                <wp:align>bottom</wp:align>
              </wp:positionV>
              <wp:extent cx="986155" cy="368300"/>
              <wp:effectExtent l="0" t="0" r="4445" b="0"/>
              <wp:wrapNone/>
              <wp:docPr id="69880750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D4DAFAA" w14:textId="0858E613" w:rsidR="0041394D" w:rsidRPr="0041394D" w:rsidRDefault="0041394D" w:rsidP="0041394D">
                          <w:pPr>
                            <w:rPr>
                              <w:rFonts w:ascii="Calibri" w:eastAsia="Calibri" w:hAnsi="Calibri" w:cs="Calibri"/>
                              <w:noProof/>
                              <w:color w:val="000000"/>
                              <w:sz w:val="20"/>
                            </w:rPr>
                          </w:pPr>
                          <w:r w:rsidRPr="0041394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6571D4"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5D4DAFAA" w14:textId="0858E613" w:rsidR="0041394D" w:rsidRPr="0041394D" w:rsidRDefault="0041394D" w:rsidP="0041394D">
                    <w:pPr>
                      <w:rPr>
                        <w:rFonts w:ascii="Calibri" w:eastAsia="Calibri" w:hAnsi="Calibri" w:cs="Calibri"/>
                        <w:noProof/>
                        <w:color w:val="000000"/>
                        <w:sz w:val="20"/>
                      </w:rPr>
                    </w:pPr>
                    <w:r w:rsidRPr="0041394D">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E6DC" w14:textId="77777777" w:rsidR="004768C5" w:rsidRDefault="004768C5" w:rsidP="00DE557B">
      <w:pPr>
        <w:spacing w:line="240" w:lineRule="auto"/>
      </w:pPr>
      <w:r>
        <w:separator/>
      </w:r>
    </w:p>
  </w:footnote>
  <w:footnote w:type="continuationSeparator" w:id="0">
    <w:p w14:paraId="2B31525F" w14:textId="77777777" w:rsidR="004768C5" w:rsidRDefault="004768C5" w:rsidP="00DE557B">
      <w:pPr>
        <w:spacing w:line="240" w:lineRule="auto"/>
      </w:pPr>
      <w:r>
        <w:continuationSeparator/>
      </w:r>
    </w:p>
  </w:footnote>
  <w:footnote w:type="continuationNotice" w:id="1">
    <w:p w14:paraId="7831289E" w14:textId="77777777" w:rsidR="004768C5" w:rsidRDefault="004768C5">
      <w:pPr>
        <w:spacing w:line="240" w:lineRule="auto"/>
      </w:pPr>
    </w:p>
  </w:footnote>
  <w:footnote w:id="2">
    <w:p w14:paraId="6FA8C3DB" w14:textId="77777777" w:rsidR="00AB78F7" w:rsidRPr="009C62A3" w:rsidRDefault="00AB78F7" w:rsidP="00AB78F7">
      <w:pPr>
        <w:pStyle w:val="FootnoteText"/>
        <w:rPr>
          <w:rFonts w:ascii="Verdana" w:hAnsi="Verdana"/>
          <w:sz w:val="16"/>
          <w:szCs w:val="16"/>
        </w:rPr>
      </w:pPr>
      <w:r w:rsidRPr="009C62A3">
        <w:rPr>
          <w:rStyle w:val="FootnoteReference"/>
          <w:rFonts w:ascii="Verdana" w:hAnsi="Verdana"/>
          <w:sz w:val="16"/>
          <w:szCs w:val="16"/>
        </w:rPr>
        <w:footnoteRef/>
      </w:r>
      <w:r w:rsidRPr="009C62A3">
        <w:rPr>
          <w:rFonts w:ascii="Verdana" w:hAnsi="Verdana"/>
          <w:sz w:val="16"/>
          <w:szCs w:val="16"/>
        </w:rPr>
        <w:t xml:space="preserve"> Kamerstuk 21 501-20 nr. 1969; Kamerstuk </w:t>
      </w:r>
      <w:hyperlink r:id="rId1" w:tgtFrame="21501-04-275" w:history="1">
        <w:r w:rsidRPr="009C62A3">
          <w:rPr>
            <w:rStyle w:val="Hyperlink"/>
            <w:rFonts w:ascii="Verdana" w:eastAsiaTheme="majorEastAsia" w:hAnsi="Verdana"/>
            <w:sz w:val="16"/>
            <w:szCs w:val="16"/>
          </w:rPr>
          <w:t>21 501-04 nr. 275</w:t>
        </w:r>
      </w:hyperlink>
      <w:r w:rsidRPr="009C62A3">
        <w:rPr>
          <w:rFonts w:ascii="Verdana" w:hAnsi="Verdana"/>
          <w:sz w:val="16"/>
          <w:szCs w:val="16"/>
        </w:rPr>
        <w:t>.</w:t>
      </w:r>
    </w:p>
  </w:footnote>
  <w:footnote w:id="3">
    <w:p w14:paraId="386EA1CB" w14:textId="5E46D41C" w:rsidR="00AB78F7" w:rsidRDefault="00AB78F7" w:rsidP="00AB78F7">
      <w:pPr>
        <w:pStyle w:val="FootnoteText"/>
        <w:spacing w:line="240" w:lineRule="auto"/>
        <w:rPr>
          <w:rFonts w:ascii="Verdana" w:eastAsia="Calibri" w:hAnsi="Verdana"/>
          <w:sz w:val="12"/>
          <w:szCs w:val="12"/>
          <w:lang w:eastAsia="en-US"/>
        </w:rPr>
      </w:pPr>
      <w:r w:rsidRPr="009C62A3">
        <w:rPr>
          <w:rFonts w:ascii="Verdana" w:eastAsia="Calibri" w:hAnsi="Verdana"/>
          <w:sz w:val="16"/>
          <w:szCs w:val="16"/>
          <w:lang w:eastAsia="en-US"/>
        </w:rPr>
        <w:footnoteRef/>
      </w:r>
      <w:r w:rsidRPr="009C62A3">
        <w:rPr>
          <w:rFonts w:ascii="Verdana" w:eastAsia="Calibri" w:hAnsi="Verdana"/>
          <w:sz w:val="16"/>
          <w:szCs w:val="16"/>
          <w:lang w:eastAsia="en-US"/>
        </w:rPr>
        <w:t xml:space="preserve"> Beleidsbrief Ontwikkelingshulp (Kamerstuk 36180, nr.133) en de Kamerbrief Internationale inzet van Nederlandse militairen, civiele experts en politiefunctionarissen 2025 – 2028.</w:t>
      </w:r>
    </w:p>
  </w:footnote>
  <w:footnote w:id="4">
    <w:p w14:paraId="0741BEB1" w14:textId="77777777" w:rsidR="00AB78F7" w:rsidRPr="009C62A3" w:rsidRDefault="00AB78F7" w:rsidP="00AB78F7">
      <w:pPr>
        <w:pStyle w:val="FootnoteText"/>
        <w:spacing w:line="240" w:lineRule="auto"/>
        <w:rPr>
          <w:rFonts w:ascii="Verdana" w:hAnsi="Verdana"/>
          <w:sz w:val="16"/>
          <w:szCs w:val="16"/>
        </w:rPr>
      </w:pPr>
      <w:r w:rsidRPr="009C62A3">
        <w:rPr>
          <w:rStyle w:val="FootnoteReference"/>
          <w:rFonts w:ascii="Verdana" w:hAnsi="Verdana"/>
          <w:sz w:val="16"/>
          <w:szCs w:val="16"/>
        </w:rPr>
        <w:footnoteRef/>
      </w:r>
      <w:r w:rsidRPr="009C62A3">
        <w:rPr>
          <w:rFonts w:ascii="Verdana" w:hAnsi="Verdana"/>
          <w:sz w:val="16"/>
          <w:szCs w:val="16"/>
        </w:rPr>
        <w:t xml:space="preserve"> </w:t>
      </w:r>
      <w:r w:rsidRPr="009C62A3">
        <w:rPr>
          <w:rFonts w:ascii="Verdana" w:eastAsia="Calibri" w:hAnsi="Verdana"/>
          <w:sz w:val="16"/>
          <w:szCs w:val="16"/>
          <w:lang w:eastAsia="en-US"/>
        </w:rPr>
        <w:t xml:space="preserve">Beleidsbrief Ontwikkelingshulp (Kamerstuk 36180, nr.133). </w:t>
      </w:r>
    </w:p>
  </w:footnote>
  <w:footnote w:id="5">
    <w:p w14:paraId="003D4CE5" w14:textId="77777777" w:rsidR="00AB78F7" w:rsidRPr="009C62A3" w:rsidRDefault="00AB78F7" w:rsidP="00AB78F7">
      <w:pPr>
        <w:pStyle w:val="FootnoteText"/>
        <w:spacing w:line="240" w:lineRule="auto"/>
        <w:rPr>
          <w:rFonts w:ascii="Verdana" w:hAnsi="Verdana"/>
          <w:sz w:val="16"/>
          <w:szCs w:val="16"/>
        </w:rPr>
      </w:pPr>
      <w:r w:rsidRPr="009C62A3">
        <w:rPr>
          <w:rStyle w:val="FootnoteReference"/>
          <w:rFonts w:ascii="Verdana" w:hAnsi="Verdana"/>
          <w:sz w:val="16"/>
          <w:szCs w:val="16"/>
        </w:rPr>
        <w:footnoteRef/>
      </w:r>
      <w:r w:rsidRPr="009C62A3">
        <w:rPr>
          <w:rFonts w:ascii="Verdana" w:hAnsi="Verdana"/>
          <w:sz w:val="16"/>
          <w:szCs w:val="16"/>
        </w:rPr>
        <w:t xml:space="preserve"> Betreft Beleidsagenda Buitenlandse Handel ‘Nederland: welvarend en weerbaar’ (36180 nr. 164). </w:t>
      </w:r>
    </w:p>
  </w:footnote>
  <w:footnote w:id="6">
    <w:p w14:paraId="4ABB9055" w14:textId="77777777" w:rsidR="00AB78F7" w:rsidRPr="009C62A3" w:rsidRDefault="00AB78F7" w:rsidP="00AB78F7">
      <w:pPr>
        <w:pStyle w:val="FootnoteText"/>
        <w:spacing w:line="240" w:lineRule="auto"/>
        <w:rPr>
          <w:rFonts w:ascii="Verdana" w:hAnsi="Verdana"/>
          <w:sz w:val="16"/>
          <w:szCs w:val="16"/>
        </w:rPr>
      </w:pPr>
      <w:r w:rsidRPr="009C62A3">
        <w:rPr>
          <w:rFonts w:ascii="Verdana" w:eastAsia="Calibri" w:hAnsi="Verdana"/>
          <w:sz w:val="16"/>
          <w:szCs w:val="16"/>
          <w:lang w:eastAsia="en-US"/>
        </w:rPr>
        <w:footnoteRef/>
      </w:r>
      <w:r w:rsidRPr="009C62A3">
        <w:rPr>
          <w:rFonts w:ascii="Verdana" w:eastAsia="Calibri" w:hAnsi="Verdana"/>
          <w:sz w:val="16"/>
          <w:szCs w:val="16"/>
          <w:lang w:eastAsia="en-US"/>
        </w:rPr>
        <w:t xml:space="preserve"> Kamerbrief Geannoteerde agenda Raad Buitenlandse Zaken 20 oktober 2025 (Kamerstuk 21 501-02 nr. 3260).</w:t>
      </w:r>
    </w:p>
  </w:footnote>
  <w:footnote w:id="7">
    <w:p w14:paraId="189CEDFD" w14:textId="77777777" w:rsidR="00AB78F7" w:rsidRPr="009C62A3" w:rsidRDefault="00AB78F7" w:rsidP="00AB78F7">
      <w:pPr>
        <w:pStyle w:val="FootnoteText"/>
        <w:spacing w:line="240" w:lineRule="auto"/>
        <w:rPr>
          <w:rFonts w:ascii="Verdana" w:hAnsi="Verdana"/>
          <w:sz w:val="16"/>
          <w:szCs w:val="16"/>
        </w:rPr>
      </w:pPr>
      <w:r w:rsidRPr="009C62A3">
        <w:rPr>
          <w:rStyle w:val="FootnoteReference"/>
          <w:rFonts w:ascii="Verdana" w:hAnsi="Verdana"/>
          <w:sz w:val="16"/>
          <w:szCs w:val="16"/>
        </w:rPr>
        <w:footnoteRef/>
      </w:r>
      <w:r w:rsidRPr="009C62A3">
        <w:rPr>
          <w:rFonts w:ascii="Verdana" w:hAnsi="Verdana"/>
          <w:sz w:val="16"/>
          <w:szCs w:val="16"/>
        </w:rPr>
        <w:t xml:space="preserve"> De Nederlandse Afrikastrategie (Kamerstuk 29 237 nr. 183). </w:t>
      </w:r>
    </w:p>
  </w:footnote>
  <w:footnote w:id="8">
    <w:p w14:paraId="5FA07A49" w14:textId="4C402657" w:rsidR="00830EA0" w:rsidRDefault="00AB78F7" w:rsidP="00AB78F7">
      <w:pPr>
        <w:pStyle w:val="FootnoteText"/>
        <w:rPr>
          <w:rFonts w:ascii="Verdana" w:hAnsi="Verdana"/>
          <w:sz w:val="12"/>
          <w:szCs w:val="12"/>
        </w:rPr>
      </w:pPr>
      <w:r w:rsidRPr="009C62A3">
        <w:rPr>
          <w:rStyle w:val="FootnoteReference"/>
          <w:rFonts w:ascii="Verdana" w:hAnsi="Verdana"/>
          <w:sz w:val="16"/>
          <w:szCs w:val="16"/>
        </w:rPr>
        <w:footnoteRef/>
      </w:r>
      <w:r w:rsidRPr="009C62A3">
        <w:rPr>
          <w:rFonts w:ascii="Verdana" w:hAnsi="Verdana"/>
          <w:sz w:val="16"/>
          <w:szCs w:val="16"/>
        </w:rPr>
        <w:t xml:space="preserve"> </w:t>
      </w:r>
      <w:hyperlink r:id="rId2" w:history="1">
        <w:r w:rsidR="00830EA0" w:rsidRPr="00E62040">
          <w:rPr>
            <w:rStyle w:val="Hyperlink"/>
            <w:rFonts w:ascii="Verdana" w:hAnsi="Verdana"/>
            <w:sz w:val="16"/>
            <w:szCs w:val="16"/>
          </w:rPr>
          <w:t>https://www.rijksoverheid.nl/documenten/publicaties/2025/03/05/fiche-1-mededeling-vaardigheidsunie</w:t>
        </w:r>
      </w:hyperlink>
    </w:p>
  </w:footnote>
  <w:footnote w:id="9">
    <w:p w14:paraId="057991E9" w14:textId="77777777" w:rsidR="00AB78F7" w:rsidRDefault="00AB78F7" w:rsidP="00AB78F7">
      <w:pPr>
        <w:pStyle w:val="FootnoteText"/>
      </w:pPr>
      <w:r w:rsidRPr="009C62A3">
        <w:rPr>
          <w:rStyle w:val="FootnoteReference"/>
          <w:rFonts w:ascii="Verdana" w:hAnsi="Verdana"/>
          <w:sz w:val="16"/>
          <w:szCs w:val="16"/>
        </w:rPr>
        <w:footnoteRef/>
      </w:r>
      <w:r w:rsidRPr="009C62A3">
        <w:rPr>
          <w:rFonts w:ascii="Verdana" w:hAnsi="Verdana"/>
          <w:sz w:val="16"/>
          <w:szCs w:val="16"/>
        </w:rPr>
        <w:t xml:space="preserve"> Kamerbrief Verslag Raad Buitenlandse Zaken van 15 juli 2025 (Kamerstuk 21 501-02 nr. 3216).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C833" w14:textId="77777777" w:rsidR="005308BA" w:rsidRDefault="0053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3B8F" w14:textId="77777777" w:rsidR="00547D85" w:rsidRDefault="00547D85">
    <w:pPr>
      <w:pStyle w:val="Header"/>
      <w:rPr>
        <w:lang w:val="en-US"/>
      </w:rPr>
    </w:pPr>
  </w:p>
  <w:p w14:paraId="263BABDA" w14:textId="36EC0266" w:rsidR="00547D85" w:rsidRPr="00765929" w:rsidRDefault="00547D85" w:rsidP="00765929">
    <w:pPr>
      <w:pStyle w:val="Header"/>
      <w:jc w:val="right"/>
      <w:rPr>
        <w:rFonts w:ascii="Verdana" w:hAnsi="Verdana"/>
        <w:b/>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E28E" w14:textId="77777777" w:rsidR="005308BA" w:rsidRDefault="0053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83F"/>
    <w:multiLevelType w:val="hybridMultilevel"/>
    <w:tmpl w:val="60147C7A"/>
    <w:lvl w:ilvl="0" w:tplc="D5D4C416">
      <w:start w:val="1"/>
      <w:numFmt w:val="bullet"/>
      <w:lvlText w:val=""/>
      <w:lvlJc w:val="left"/>
      <w:pPr>
        <w:ind w:left="720" w:hanging="360"/>
      </w:pPr>
      <w:rPr>
        <w:rFonts w:ascii="Symbol" w:hAnsi="Symbol"/>
      </w:rPr>
    </w:lvl>
    <w:lvl w:ilvl="1" w:tplc="13785942">
      <w:start w:val="1"/>
      <w:numFmt w:val="bullet"/>
      <w:lvlText w:val=""/>
      <w:lvlJc w:val="left"/>
      <w:pPr>
        <w:ind w:left="720" w:hanging="360"/>
      </w:pPr>
      <w:rPr>
        <w:rFonts w:ascii="Symbol" w:hAnsi="Symbol"/>
      </w:rPr>
    </w:lvl>
    <w:lvl w:ilvl="2" w:tplc="C0BC5DE6">
      <w:start w:val="1"/>
      <w:numFmt w:val="bullet"/>
      <w:lvlText w:val=""/>
      <w:lvlJc w:val="left"/>
      <w:pPr>
        <w:ind w:left="720" w:hanging="360"/>
      </w:pPr>
      <w:rPr>
        <w:rFonts w:ascii="Symbol" w:hAnsi="Symbol"/>
      </w:rPr>
    </w:lvl>
    <w:lvl w:ilvl="3" w:tplc="BD54D306">
      <w:start w:val="1"/>
      <w:numFmt w:val="bullet"/>
      <w:lvlText w:val=""/>
      <w:lvlJc w:val="left"/>
      <w:pPr>
        <w:ind w:left="720" w:hanging="360"/>
      </w:pPr>
      <w:rPr>
        <w:rFonts w:ascii="Symbol" w:hAnsi="Symbol"/>
      </w:rPr>
    </w:lvl>
    <w:lvl w:ilvl="4" w:tplc="42786EF2">
      <w:start w:val="1"/>
      <w:numFmt w:val="bullet"/>
      <w:lvlText w:val=""/>
      <w:lvlJc w:val="left"/>
      <w:pPr>
        <w:ind w:left="720" w:hanging="360"/>
      </w:pPr>
      <w:rPr>
        <w:rFonts w:ascii="Symbol" w:hAnsi="Symbol"/>
      </w:rPr>
    </w:lvl>
    <w:lvl w:ilvl="5" w:tplc="C7F21CA2">
      <w:start w:val="1"/>
      <w:numFmt w:val="bullet"/>
      <w:lvlText w:val=""/>
      <w:lvlJc w:val="left"/>
      <w:pPr>
        <w:ind w:left="720" w:hanging="360"/>
      </w:pPr>
      <w:rPr>
        <w:rFonts w:ascii="Symbol" w:hAnsi="Symbol"/>
      </w:rPr>
    </w:lvl>
    <w:lvl w:ilvl="6" w:tplc="D4427C24">
      <w:start w:val="1"/>
      <w:numFmt w:val="bullet"/>
      <w:lvlText w:val=""/>
      <w:lvlJc w:val="left"/>
      <w:pPr>
        <w:ind w:left="720" w:hanging="360"/>
      </w:pPr>
      <w:rPr>
        <w:rFonts w:ascii="Symbol" w:hAnsi="Symbol"/>
      </w:rPr>
    </w:lvl>
    <w:lvl w:ilvl="7" w:tplc="F81841A6">
      <w:start w:val="1"/>
      <w:numFmt w:val="bullet"/>
      <w:lvlText w:val=""/>
      <w:lvlJc w:val="left"/>
      <w:pPr>
        <w:ind w:left="720" w:hanging="360"/>
      </w:pPr>
      <w:rPr>
        <w:rFonts w:ascii="Symbol" w:hAnsi="Symbol"/>
      </w:rPr>
    </w:lvl>
    <w:lvl w:ilvl="8" w:tplc="FB36FF40">
      <w:start w:val="1"/>
      <w:numFmt w:val="bullet"/>
      <w:lvlText w:val=""/>
      <w:lvlJc w:val="left"/>
      <w:pPr>
        <w:ind w:left="720" w:hanging="360"/>
      </w:pPr>
      <w:rPr>
        <w:rFonts w:ascii="Symbol" w:hAnsi="Symbol"/>
      </w:r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3"/>
  </w:num>
  <w:num w:numId="2" w16cid:durableId="1483035464">
    <w:abstractNumId w:val="5"/>
  </w:num>
  <w:num w:numId="3" w16cid:durableId="1079516967">
    <w:abstractNumId w:val="2"/>
  </w:num>
  <w:num w:numId="4" w16cid:durableId="1968581050">
    <w:abstractNumId w:val="1"/>
  </w:num>
  <w:num w:numId="5" w16cid:durableId="111019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841416">
    <w:abstractNumId w:val="6"/>
  </w:num>
  <w:num w:numId="7" w16cid:durableId="1620379740">
    <w:abstractNumId w:val="0"/>
  </w:num>
  <w:num w:numId="8" w16cid:durableId="1333098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476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669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415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7B"/>
    <w:rsid w:val="000505DF"/>
    <w:rsid w:val="000533DB"/>
    <w:rsid w:val="0007355D"/>
    <w:rsid w:val="000875C0"/>
    <w:rsid w:val="00096E02"/>
    <w:rsid w:val="000A3177"/>
    <w:rsid w:val="000A4CF5"/>
    <w:rsid w:val="000B17A4"/>
    <w:rsid w:val="000D22E5"/>
    <w:rsid w:val="000E37BF"/>
    <w:rsid w:val="000E756B"/>
    <w:rsid w:val="000F4D3E"/>
    <w:rsid w:val="00190A14"/>
    <w:rsid w:val="001B0D4A"/>
    <w:rsid w:val="001C164A"/>
    <w:rsid w:val="001C5983"/>
    <w:rsid w:val="001D083C"/>
    <w:rsid w:val="001D57E1"/>
    <w:rsid w:val="001E27E3"/>
    <w:rsid w:val="00255884"/>
    <w:rsid w:val="003033EF"/>
    <w:rsid w:val="003203C5"/>
    <w:rsid w:val="00332550"/>
    <w:rsid w:val="00334145"/>
    <w:rsid w:val="00352694"/>
    <w:rsid w:val="00384D97"/>
    <w:rsid w:val="003927CE"/>
    <w:rsid w:val="00395812"/>
    <w:rsid w:val="003A6167"/>
    <w:rsid w:val="003B0B7D"/>
    <w:rsid w:val="003C352B"/>
    <w:rsid w:val="003F3C79"/>
    <w:rsid w:val="0040428B"/>
    <w:rsid w:val="0041394D"/>
    <w:rsid w:val="0043365D"/>
    <w:rsid w:val="00434A6D"/>
    <w:rsid w:val="00462814"/>
    <w:rsid w:val="004768C5"/>
    <w:rsid w:val="00483E5C"/>
    <w:rsid w:val="004F0F85"/>
    <w:rsid w:val="004F129E"/>
    <w:rsid w:val="0052451F"/>
    <w:rsid w:val="005308BA"/>
    <w:rsid w:val="00547D85"/>
    <w:rsid w:val="00562F28"/>
    <w:rsid w:val="00576F28"/>
    <w:rsid w:val="0064472B"/>
    <w:rsid w:val="00662F30"/>
    <w:rsid w:val="006A3EF8"/>
    <w:rsid w:val="006D72FE"/>
    <w:rsid w:val="006D7CE0"/>
    <w:rsid w:val="006E7659"/>
    <w:rsid w:val="00702D0B"/>
    <w:rsid w:val="00704519"/>
    <w:rsid w:val="00742B87"/>
    <w:rsid w:val="007643E2"/>
    <w:rsid w:val="0077797C"/>
    <w:rsid w:val="007A18B3"/>
    <w:rsid w:val="007B446C"/>
    <w:rsid w:val="007D6D2F"/>
    <w:rsid w:val="008101D1"/>
    <w:rsid w:val="00820AF7"/>
    <w:rsid w:val="00830EA0"/>
    <w:rsid w:val="008471D7"/>
    <w:rsid w:val="008D0998"/>
    <w:rsid w:val="008E096E"/>
    <w:rsid w:val="00901CB7"/>
    <w:rsid w:val="00917001"/>
    <w:rsid w:val="009408E6"/>
    <w:rsid w:val="00952E81"/>
    <w:rsid w:val="00956449"/>
    <w:rsid w:val="0097137A"/>
    <w:rsid w:val="00987B19"/>
    <w:rsid w:val="00994891"/>
    <w:rsid w:val="009A5A27"/>
    <w:rsid w:val="009B1B78"/>
    <w:rsid w:val="009C62A3"/>
    <w:rsid w:val="009D584F"/>
    <w:rsid w:val="00A17926"/>
    <w:rsid w:val="00A238FC"/>
    <w:rsid w:val="00A50D28"/>
    <w:rsid w:val="00A804A2"/>
    <w:rsid w:val="00AB78F7"/>
    <w:rsid w:val="00AF7870"/>
    <w:rsid w:val="00B012C0"/>
    <w:rsid w:val="00B3683A"/>
    <w:rsid w:val="00B71D2A"/>
    <w:rsid w:val="00BD0818"/>
    <w:rsid w:val="00BF5F17"/>
    <w:rsid w:val="00C00F86"/>
    <w:rsid w:val="00C21317"/>
    <w:rsid w:val="00C62380"/>
    <w:rsid w:val="00CA537F"/>
    <w:rsid w:val="00CB2ED7"/>
    <w:rsid w:val="00CE6487"/>
    <w:rsid w:val="00CE6F5F"/>
    <w:rsid w:val="00CF1B3D"/>
    <w:rsid w:val="00D02A81"/>
    <w:rsid w:val="00D16701"/>
    <w:rsid w:val="00D204B1"/>
    <w:rsid w:val="00D72D08"/>
    <w:rsid w:val="00D8449D"/>
    <w:rsid w:val="00DA5F3E"/>
    <w:rsid w:val="00DB4ECB"/>
    <w:rsid w:val="00DC0EB5"/>
    <w:rsid w:val="00DC47FC"/>
    <w:rsid w:val="00DC65EB"/>
    <w:rsid w:val="00DC7B72"/>
    <w:rsid w:val="00DE557B"/>
    <w:rsid w:val="00E004AD"/>
    <w:rsid w:val="00E42497"/>
    <w:rsid w:val="00E86359"/>
    <w:rsid w:val="00EF36D6"/>
    <w:rsid w:val="00F36C2E"/>
    <w:rsid w:val="00F4554E"/>
    <w:rsid w:val="00F77DEB"/>
    <w:rsid w:val="00F81731"/>
    <w:rsid w:val="00F968AE"/>
    <w:rsid w:val="00FD5872"/>
    <w:rsid w:val="00FE1A9B"/>
    <w:rsid w:val="00FE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C094"/>
  <w15:chartTrackingRefBased/>
  <w15:docId w15:val="{36438EFF-26C2-4804-A87E-9D3DA472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7B"/>
    <w:pPr>
      <w:spacing w:after="0" w:line="280" w:lineRule="atLeast"/>
    </w:pPr>
    <w:rPr>
      <w:rFonts w:ascii="Times New Roman" w:eastAsia="Times New Roman" w:hAnsi="Times New Roman" w:cs="Times New Roman"/>
      <w:kern w:val="0"/>
      <w:szCs w:val="20"/>
      <w:lang w:val="nl-NL" w:eastAsia="zh-CN"/>
      <w14:ligatures w14:val="none"/>
    </w:rPr>
  </w:style>
  <w:style w:type="paragraph" w:styleId="Heading1">
    <w:name w:val="heading 1"/>
    <w:basedOn w:val="Normal"/>
    <w:next w:val="Normal"/>
    <w:link w:val="Heading1Char"/>
    <w:uiPriority w:val="9"/>
    <w:qFormat/>
    <w:rsid w:val="00DE5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5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5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5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5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57B"/>
    <w:rPr>
      <w:rFonts w:eastAsiaTheme="majorEastAsia" w:cstheme="majorBidi"/>
      <w:color w:val="272727" w:themeColor="text1" w:themeTint="D8"/>
    </w:rPr>
  </w:style>
  <w:style w:type="paragraph" w:styleId="Title">
    <w:name w:val="Title"/>
    <w:basedOn w:val="Normal"/>
    <w:next w:val="Normal"/>
    <w:link w:val="TitleChar"/>
    <w:uiPriority w:val="10"/>
    <w:qFormat/>
    <w:rsid w:val="00DE5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57B"/>
    <w:pPr>
      <w:spacing w:before="160"/>
      <w:jc w:val="center"/>
    </w:pPr>
    <w:rPr>
      <w:i/>
      <w:iCs/>
      <w:color w:val="404040" w:themeColor="text1" w:themeTint="BF"/>
    </w:rPr>
  </w:style>
  <w:style w:type="character" w:customStyle="1" w:styleId="QuoteChar">
    <w:name w:val="Quote Char"/>
    <w:basedOn w:val="DefaultParagraphFont"/>
    <w:link w:val="Quote"/>
    <w:uiPriority w:val="29"/>
    <w:rsid w:val="00DE557B"/>
    <w:rPr>
      <w:i/>
      <w:iCs/>
      <w:color w:val="404040" w:themeColor="text1" w:themeTint="BF"/>
    </w:rPr>
  </w:style>
  <w:style w:type="paragraph" w:styleId="ListParagraph">
    <w:name w:val="List Paragraph"/>
    <w:basedOn w:val="Normal"/>
    <w:uiPriority w:val="34"/>
    <w:qFormat/>
    <w:rsid w:val="00DE557B"/>
    <w:pPr>
      <w:ind w:left="720"/>
      <w:contextualSpacing/>
    </w:pPr>
  </w:style>
  <w:style w:type="character" w:styleId="IntenseEmphasis">
    <w:name w:val="Intense Emphasis"/>
    <w:basedOn w:val="DefaultParagraphFont"/>
    <w:uiPriority w:val="21"/>
    <w:qFormat/>
    <w:rsid w:val="00DE557B"/>
    <w:rPr>
      <w:i/>
      <w:iCs/>
      <w:color w:val="2F5496" w:themeColor="accent1" w:themeShade="BF"/>
    </w:rPr>
  </w:style>
  <w:style w:type="paragraph" w:styleId="IntenseQuote">
    <w:name w:val="Intense Quote"/>
    <w:basedOn w:val="Normal"/>
    <w:next w:val="Normal"/>
    <w:link w:val="IntenseQuoteChar"/>
    <w:uiPriority w:val="30"/>
    <w:qFormat/>
    <w:rsid w:val="00DE5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57B"/>
    <w:rPr>
      <w:i/>
      <w:iCs/>
      <w:color w:val="2F5496" w:themeColor="accent1" w:themeShade="BF"/>
    </w:rPr>
  </w:style>
  <w:style w:type="character" w:styleId="IntenseReference">
    <w:name w:val="Intense Reference"/>
    <w:basedOn w:val="DefaultParagraphFont"/>
    <w:uiPriority w:val="32"/>
    <w:qFormat/>
    <w:rsid w:val="00DE557B"/>
    <w:rPr>
      <w:b/>
      <w:bCs/>
      <w:smallCaps/>
      <w:color w:val="2F5496" w:themeColor="accent1" w:themeShade="BF"/>
      <w:spacing w:val="5"/>
    </w:rPr>
  </w:style>
  <w:style w:type="character" w:styleId="PageNumber">
    <w:name w:val="page number"/>
    <w:rsid w:val="00DE557B"/>
    <w:rPr>
      <w:rFonts w:ascii="Univers" w:hAnsi="Univers"/>
      <w:color w:val="auto"/>
      <w:spacing w:val="0"/>
      <w:kern w:val="0"/>
      <w:position w:val="0"/>
      <w:sz w:val="14"/>
      <w:u w:val="none"/>
      <w:vertAlign w:val="baseline"/>
    </w:rPr>
  </w:style>
  <w:style w:type="paragraph" w:styleId="Footer">
    <w:name w:val="footer"/>
    <w:basedOn w:val="Normal"/>
    <w:link w:val="FooterChar"/>
    <w:rsid w:val="00DE557B"/>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DE557B"/>
    <w:rPr>
      <w:rFonts w:ascii="Univers" w:eastAsia="Times New Roman" w:hAnsi="Univers" w:cs="Times New Roman"/>
      <w:kern w:val="0"/>
      <w:sz w:val="14"/>
      <w:szCs w:val="20"/>
      <w:lang w:val="nl-NL" w:eastAsia="zh-CN"/>
      <w14:ligatures w14:val="none"/>
    </w:rPr>
  </w:style>
  <w:style w:type="character" w:styleId="Hyperlink">
    <w:name w:val="Hyperlink"/>
    <w:rsid w:val="00DE557B"/>
    <w:rPr>
      <w:color w:val="0000FF"/>
      <w:u w:val="single"/>
    </w:rPr>
  </w:style>
  <w:style w:type="paragraph" w:styleId="FootnoteText">
    <w:name w:val="footnote text"/>
    <w:basedOn w:val="Normal"/>
    <w:link w:val="FootnoteTextChar"/>
    <w:semiHidden/>
    <w:rsid w:val="00DE557B"/>
    <w:rPr>
      <w:sz w:val="20"/>
    </w:rPr>
  </w:style>
  <w:style w:type="character" w:customStyle="1" w:styleId="FootnoteTextChar">
    <w:name w:val="Footnote Text Char"/>
    <w:basedOn w:val="DefaultParagraphFont"/>
    <w:link w:val="FootnoteText"/>
    <w:semiHidden/>
    <w:rsid w:val="00DE557B"/>
    <w:rPr>
      <w:rFonts w:ascii="Times New Roman" w:eastAsia="Times New Roman" w:hAnsi="Times New Roman" w:cs="Times New Roman"/>
      <w:kern w:val="0"/>
      <w:sz w:val="20"/>
      <w:szCs w:val="20"/>
      <w:lang w:val="nl-NL" w:eastAsia="zh-CN"/>
      <w14:ligatures w14:val="none"/>
    </w:rPr>
  </w:style>
  <w:style w:type="character" w:styleId="FootnoteReference">
    <w:name w:val="footnote reference"/>
    <w:semiHidden/>
    <w:rsid w:val="00DE557B"/>
    <w:rPr>
      <w:vertAlign w:val="superscript"/>
    </w:rPr>
  </w:style>
  <w:style w:type="paragraph" w:customStyle="1" w:styleId="Spreekpunten">
    <w:name w:val="Spreekpunten"/>
    <w:basedOn w:val="Normal"/>
    <w:rsid w:val="00DE557B"/>
    <w:pPr>
      <w:numPr>
        <w:numId w:val="4"/>
      </w:numPr>
      <w:spacing w:line="360" w:lineRule="auto"/>
    </w:pPr>
    <w:rPr>
      <w:bCs/>
      <w:sz w:val="28"/>
      <w:lang w:val="en-GB" w:eastAsia="nl-NL"/>
    </w:rPr>
  </w:style>
  <w:style w:type="paragraph" w:styleId="Header">
    <w:name w:val="header"/>
    <w:basedOn w:val="Normal"/>
    <w:link w:val="HeaderChar"/>
    <w:uiPriority w:val="99"/>
    <w:unhideWhenUsed/>
    <w:rsid w:val="00DE557B"/>
    <w:pPr>
      <w:tabs>
        <w:tab w:val="center" w:pos="4513"/>
        <w:tab w:val="right" w:pos="9026"/>
      </w:tabs>
      <w:spacing w:line="240" w:lineRule="auto"/>
    </w:pPr>
  </w:style>
  <w:style w:type="character" w:customStyle="1" w:styleId="HeaderChar">
    <w:name w:val="Header Char"/>
    <w:basedOn w:val="DefaultParagraphFont"/>
    <w:link w:val="Header"/>
    <w:uiPriority w:val="99"/>
    <w:rsid w:val="00DE557B"/>
    <w:rPr>
      <w:rFonts w:ascii="Times New Roman" w:eastAsia="Times New Roman" w:hAnsi="Times New Roman" w:cs="Times New Roman"/>
      <w:kern w:val="0"/>
      <w:szCs w:val="20"/>
      <w:lang w:val="nl-NL" w:eastAsia="zh-CN"/>
      <w14:ligatures w14:val="none"/>
    </w:rPr>
  </w:style>
  <w:style w:type="character" w:styleId="CommentReference">
    <w:name w:val="annotation reference"/>
    <w:semiHidden/>
    <w:rsid w:val="00DE557B"/>
    <w:rPr>
      <w:sz w:val="16"/>
      <w:szCs w:val="16"/>
    </w:rPr>
  </w:style>
  <w:style w:type="paragraph" w:styleId="CommentText">
    <w:name w:val="annotation text"/>
    <w:basedOn w:val="Normal"/>
    <w:link w:val="CommentTextChar"/>
    <w:semiHidden/>
    <w:rsid w:val="00DE557B"/>
    <w:rPr>
      <w:sz w:val="20"/>
    </w:rPr>
  </w:style>
  <w:style w:type="character" w:customStyle="1" w:styleId="CommentTextChar">
    <w:name w:val="Comment Text Char"/>
    <w:basedOn w:val="DefaultParagraphFont"/>
    <w:link w:val="CommentText"/>
    <w:semiHidden/>
    <w:rsid w:val="00DE557B"/>
    <w:rPr>
      <w:rFonts w:ascii="Times New Roman" w:eastAsia="Times New Roman" w:hAnsi="Times New Roman" w:cs="Times New Roman"/>
      <w:kern w:val="0"/>
      <w:sz w:val="20"/>
      <w:szCs w:val="20"/>
      <w:lang w:val="nl-NL" w:eastAsia="zh-CN"/>
      <w14:ligatures w14:val="none"/>
    </w:rPr>
  </w:style>
  <w:style w:type="paragraph" w:styleId="NoSpacing">
    <w:name w:val="No Spacing"/>
    <w:link w:val="NoSpacingChar"/>
    <w:uiPriority w:val="1"/>
    <w:qFormat/>
    <w:rsid w:val="00DE55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E557B"/>
    <w:rPr>
      <w:rFonts w:eastAsiaTheme="minorEastAsia"/>
      <w:kern w:val="0"/>
      <w14:ligatures w14:val="none"/>
    </w:rPr>
  </w:style>
  <w:style w:type="paragraph" w:customStyle="1" w:styleId="Default">
    <w:name w:val="Default"/>
    <w:rsid w:val="00DE557B"/>
    <w:pPr>
      <w:autoSpaceDE w:val="0"/>
      <w:autoSpaceDN w:val="0"/>
      <w:adjustRightInd w:val="0"/>
      <w:spacing w:after="0" w:line="240" w:lineRule="auto"/>
    </w:pPr>
    <w:rPr>
      <w:rFonts w:ascii="Times New Roman" w:eastAsia="MS Mincho" w:hAnsi="Times New Roman" w:cs="Times New Roman"/>
      <w:color w:val="000000"/>
      <w:kern w:val="0"/>
      <w:sz w:val="24"/>
      <w:szCs w:val="24"/>
      <w:lang w:val="nl-NL"/>
      <w14:ligatures w14:val="none"/>
    </w:rPr>
  </w:style>
  <w:style w:type="character" w:styleId="UnresolvedMention">
    <w:name w:val="Unresolved Mention"/>
    <w:basedOn w:val="DefaultParagraphFont"/>
    <w:uiPriority w:val="99"/>
    <w:semiHidden/>
    <w:unhideWhenUsed/>
    <w:rsid w:val="00DE557B"/>
    <w:rPr>
      <w:color w:val="605E5C"/>
      <w:shd w:val="clear" w:color="auto" w:fill="E1DFDD"/>
    </w:rPr>
  </w:style>
  <w:style w:type="paragraph" w:styleId="Revision">
    <w:name w:val="Revision"/>
    <w:hidden/>
    <w:uiPriority w:val="99"/>
    <w:semiHidden/>
    <w:rsid w:val="000F4D3E"/>
    <w:pPr>
      <w:spacing w:after="0" w:line="240" w:lineRule="auto"/>
    </w:pPr>
    <w:rPr>
      <w:rFonts w:ascii="Times New Roman" w:eastAsia="Times New Roman" w:hAnsi="Times New Roman" w:cs="Times New Roman"/>
      <w:kern w:val="0"/>
      <w:szCs w:val="20"/>
      <w:lang w:val="nl-NL" w:eastAsia="zh-CN"/>
      <w14:ligatures w14:val="none"/>
    </w:rPr>
  </w:style>
  <w:style w:type="paragraph" w:styleId="CommentSubject">
    <w:name w:val="annotation subject"/>
    <w:basedOn w:val="CommentText"/>
    <w:next w:val="CommentText"/>
    <w:link w:val="CommentSubjectChar"/>
    <w:uiPriority w:val="99"/>
    <w:semiHidden/>
    <w:unhideWhenUsed/>
    <w:rsid w:val="00D02A81"/>
    <w:pPr>
      <w:spacing w:line="240" w:lineRule="auto"/>
    </w:pPr>
    <w:rPr>
      <w:b/>
      <w:bCs/>
    </w:rPr>
  </w:style>
  <w:style w:type="character" w:customStyle="1" w:styleId="CommentSubjectChar">
    <w:name w:val="Comment Subject Char"/>
    <w:basedOn w:val="CommentTextChar"/>
    <w:link w:val="CommentSubject"/>
    <w:uiPriority w:val="99"/>
    <w:semiHidden/>
    <w:rsid w:val="00D02A81"/>
    <w:rPr>
      <w:rFonts w:ascii="Times New Roman" w:eastAsia="Times New Roman" w:hAnsi="Times New Roman" w:cs="Times New Roman"/>
      <w:b/>
      <w:bCs/>
      <w:kern w:val="0"/>
      <w:sz w:val="20"/>
      <w:szCs w:val="20"/>
      <w:lang w:val="nl-NL" w:eastAsia="zh-CN"/>
      <w14:ligatures w14:val="none"/>
    </w:rPr>
  </w:style>
  <w:style w:type="character" w:styleId="FollowedHyperlink">
    <w:name w:val="FollowedHyperlink"/>
    <w:basedOn w:val="DefaultParagraphFont"/>
    <w:uiPriority w:val="99"/>
    <w:semiHidden/>
    <w:unhideWhenUsed/>
    <w:rsid w:val="00F96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4683">
      <w:bodyDiv w:val="1"/>
      <w:marLeft w:val="0"/>
      <w:marRight w:val="0"/>
      <w:marTop w:val="0"/>
      <w:marBottom w:val="0"/>
      <w:divBdr>
        <w:top w:val="none" w:sz="0" w:space="0" w:color="auto"/>
        <w:left w:val="none" w:sz="0" w:space="0" w:color="auto"/>
        <w:bottom w:val="none" w:sz="0" w:space="0" w:color="auto"/>
        <w:right w:val="none" w:sz="0" w:space="0" w:color="auto"/>
      </w:divBdr>
    </w:div>
    <w:div w:id="741567215">
      <w:bodyDiv w:val="1"/>
      <w:marLeft w:val="0"/>
      <w:marRight w:val="0"/>
      <w:marTop w:val="0"/>
      <w:marBottom w:val="0"/>
      <w:divBdr>
        <w:top w:val="none" w:sz="0" w:space="0" w:color="auto"/>
        <w:left w:val="none" w:sz="0" w:space="0" w:color="auto"/>
        <w:bottom w:val="none" w:sz="0" w:space="0" w:color="auto"/>
        <w:right w:val="none" w:sz="0" w:space="0" w:color="auto"/>
      </w:divBdr>
    </w:div>
    <w:div w:id="944188903">
      <w:bodyDiv w:val="1"/>
      <w:marLeft w:val="0"/>
      <w:marRight w:val="0"/>
      <w:marTop w:val="0"/>
      <w:marBottom w:val="0"/>
      <w:divBdr>
        <w:top w:val="none" w:sz="0" w:space="0" w:color="auto"/>
        <w:left w:val="none" w:sz="0" w:space="0" w:color="auto"/>
        <w:bottom w:val="none" w:sz="0" w:space="0" w:color="auto"/>
        <w:right w:val="none" w:sz="0" w:space="0" w:color="auto"/>
      </w:divBdr>
    </w:div>
    <w:div w:id="19848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hyperlink" Target="https://eur-lex.europa.eu/legal-content/NL/TXT/?uri=CELEX%3A52025JC0026&amp;qid=1761119034186"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3/05/fiche-1-mededeling-vaardigheidsunie" TargetMode="External"/><Relationship Id="rId1" Type="http://schemas.openxmlformats.org/officeDocument/2006/relationships/hyperlink" Target="https://www.tweedekamer.nl/zoeken?qry=21501-04-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3701</ap:Words>
  <ap:Characters>20358</ap:Characters>
  <ap:DocSecurity>0</ap:DocSecurity>
  <ap:Lines>169</ap:Lines>
  <ap:Paragraphs>48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24011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2025-11-14T10:48:00.0000000Z</dcterms:created>
  <dcterms:modified xsi:type="dcterms:W3CDTF">2025-11-14T10:48:00.0000000Z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ClassificationContentMarkingFooterShapeIds">
    <vt:lpwstr>29a6f4d2,1d5afbad,6ed3dafc</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BZForumOrganisation">
    <vt:lpwstr>2;#Not applicable|0049e722-bfb1-4a3f-9d08-af7366a9af40</vt:lpwstr>
  </property>
  <property fmtid="{D5CDD505-2E9C-101B-9397-08002B2CF9AE}" pid="7" name="BZTheme">
    <vt:lpwstr>150;#Organization and management general|0de1cc90-a8d1-4553-a3b7-516b6498b343</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_dlc_DocIdItemGuid">
    <vt:lpwstr>5af5a2c4-5610-4abf-a831-89c575a906e6</vt:lpwstr>
  </property>
  <property fmtid="{D5CDD505-2E9C-101B-9397-08002B2CF9AE}" pid="11" name="BZClassification">
    <vt:lpwstr>4;#UNCLASSIFIED (U)|284e6a62-15ab-4017-be27-a1e965f4e940</vt:lpwstr>
  </property>
</Properties>
</file>