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2C05" w:rsidR="00B06701" w:rsidP="00947580" w:rsidRDefault="009F3D62" w14:paraId="70E0BA04" w14:textId="67C67F65">
      <w:pPr>
        <w:spacing w:after="0"/>
        <w:rPr>
          <w:b/>
          <w:bCs/>
          <w:lang w:val="nl-NL"/>
        </w:rPr>
      </w:pPr>
      <w:r w:rsidRPr="005E2C05">
        <w:rPr>
          <w:b/>
          <w:bCs/>
          <w:lang w:val="nl-NL"/>
        </w:rPr>
        <w:t xml:space="preserve">Taakopdracht IBO </w:t>
      </w:r>
      <w:r w:rsidR="005B6451">
        <w:rPr>
          <w:b/>
          <w:bCs/>
          <w:lang w:val="nl-NL"/>
        </w:rPr>
        <w:t>Inkomensvoorziening ouderen</w:t>
      </w:r>
    </w:p>
    <w:p w:rsidRPr="002F37EC" w:rsidR="009F3D62" w:rsidP="00947580" w:rsidRDefault="009F3D62" w14:paraId="1C9FFC15" w14:textId="77777777">
      <w:pPr>
        <w:spacing w:after="0"/>
        <w:rPr>
          <w:lang w:val="nl-NL"/>
        </w:rPr>
      </w:pPr>
    </w:p>
    <w:p w:rsidRPr="005E2C05" w:rsidR="009F3D62" w:rsidP="00947580" w:rsidRDefault="0088739C" w14:paraId="66273DAB" w14:textId="5D375568">
      <w:pPr>
        <w:spacing w:after="0"/>
        <w:rPr>
          <w:b/>
          <w:bCs/>
          <w:lang w:val="nl-NL"/>
        </w:rPr>
      </w:pPr>
      <w:r>
        <w:rPr>
          <w:b/>
          <w:bCs/>
          <w:lang w:val="nl-NL"/>
        </w:rPr>
        <w:t>Aan</w:t>
      </w:r>
      <w:r w:rsidRPr="005E2C05" w:rsidR="009F3D62">
        <w:rPr>
          <w:b/>
          <w:bCs/>
          <w:lang w:val="nl-NL"/>
        </w:rPr>
        <w:t>leiding</w:t>
      </w:r>
    </w:p>
    <w:p w:rsidR="002D62AD" w:rsidP="00947580" w:rsidRDefault="002D62AD" w14:paraId="59B00C6D" w14:textId="3012F7B4">
      <w:pPr>
        <w:spacing w:after="0"/>
        <w:rPr>
          <w:lang w:val="nl-NL"/>
        </w:rPr>
      </w:pPr>
      <w:r>
        <w:rPr>
          <w:lang w:val="nl-NL"/>
        </w:rPr>
        <w:t xml:space="preserve">Met het oog op behoud van gezonde overheidsfinanciën en brede welvaart adviseert de Studiegroep Begrotingsruimte (SBR) een besparing van 7 miljard richting 2030. Omdat Nederland zich </w:t>
      </w:r>
      <w:r w:rsidR="005F3C1C">
        <w:rPr>
          <w:lang w:val="nl-NL"/>
        </w:rPr>
        <w:t xml:space="preserve">tot </w:t>
      </w:r>
      <w:r>
        <w:rPr>
          <w:lang w:val="nl-NL"/>
        </w:rPr>
        <w:t>verschillende maatschappelijke opgave</w:t>
      </w:r>
      <w:r w:rsidR="00BF533A">
        <w:rPr>
          <w:lang w:val="nl-NL"/>
        </w:rPr>
        <w:t>n</w:t>
      </w:r>
      <w:r>
        <w:rPr>
          <w:lang w:val="nl-NL"/>
        </w:rPr>
        <w:t xml:space="preserve"> heeft te verhouden, waaronder verhoogde uitgaven aan defensie, adviseert de SBR ook de vergrijzingsgevoelige uitgave</w:t>
      </w:r>
      <w:r w:rsidR="008A6A61">
        <w:rPr>
          <w:lang w:val="nl-NL"/>
        </w:rPr>
        <w:t>n in de zorg en de sociale zekerheid</w:t>
      </w:r>
      <w:r>
        <w:rPr>
          <w:lang w:val="nl-NL"/>
        </w:rPr>
        <w:t xml:space="preserve"> te herzien. Een belangrijk onderdeel hiervan is de AOW (</w:t>
      </w:r>
      <w:r w:rsidR="009F29AE">
        <w:rPr>
          <w:lang w:val="nl-NL"/>
        </w:rPr>
        <w:t>10,8</w:t>
      </w:r>
      <w:r>
        <w:rPr>
          <w:lang w:val="nl-NL"/>
        </w:rPr>
        <w:t xml:space="preserve">% </w:t>
      </w:r>
      <w:r w:rsidR="009F29AE">
        <w:rPr>
          <w:lang w:val="nl-NL"/>
        </w:rPr>
        <w:t xml:space="preserve">van de </w:t>
      </w:r>
      <w:r w:rsidR="001031DB">
        <w:rPr>
          <w:lang w:val="nl-NL"/>
        </w:rPr>
        <w:t xml:space="preserve">totale </w:t>
      </w:r>
      <w:r>
        <w:rPr>
          <w:lang w:val="nl-NL"/>
        </w:rPr>
        <w:t>Rijks</w:t>
      </w:r>
      <w:r w:rsidR="001031DB">
        <w:rPr>
          <w:lang w:val="nl-NL"/>
        </w:rPr>
        <w:t>uitgaven</w:t>
      </w:r>
      <w:r w:rsidR="009F29AE">
        <w:rPr>
          <w:lang w:val="nl-NL"/>
        </w:rPr>
        <w:t xml:space="preserve"> in 2030</w:t>
      </w:r>
      <w:r>
        <w:rPr>
          <w:lang w:val="nl-NL"/>
        </w:rPr>
        <w:t>).</w:t>
      </w:r>
    </w:p>
    <w:p w:rsidR="002D62AD" w:rsidP="00947580" w:rsidRDefault="002D62AD" w14:paraId="20ECA331" w14:textId="5B8CCFF3">
      <w:pPr>
        <w:spacing w:after="0"/>
        <w:rPr>
          <w:lang w:val="nl-NL"/>
        </w:rPr>
      </w:pPr>
    </w:p>
    <w:p w:rsidRPr="00382B47" w:rsidR="00382B47" w:rsidP="00947580" w:rsidRDefault="007F00F1" w14:paraId="322C1F9D" w14:textId="2B0562BE">
      <w:pPr>
        <w:spacing w:after="0"/>
        <w:rPr>
          <w:i/>
          <w:iCs/>
          <w:lang w:val="nl-NL"/>
        </w:rPr>
      </w:pPr>
      <w:r>
        <w:rPr>
          <w:i/>
          <w:iCs/>
          <w:lang w:val="nl-NL"/>
        </w:rPr>
        <w:t>Steeds minder werkenden t.o.v. het aantal AOW’ers</w:t>
      </w:r>
    </w:p>
    <w:p w:rsidRPr="002F37EC" w:rsidR="002F37EC" w:rsidP="00947580" w:rsidRDefault="002F37EC" w14:paraId="3070737F" w14:textId="63D98C0E">
      <w:pPr>
        <w:spacing w:after="0"/>
        <w:rPr>
          <w:lang w:val="nl-NL"/>
        </w:rPr>
      </w:pPr>
      <w:r w:rsidRPr="002F37EC">
        <w:rPr>
          <w:lang w:val="nl-NL"/>
        </w:rPr>
        <w:t xml:space="preserve">Het aandeel van de AOW-gerechtigden ten opzichte van de beroepsbevolking stijgt van 30% nu naar 37% in 2040. </w:t>
      </w:r>
      <w:r w:rsidR="002D62AD">
        <w:rPr>
          <w:lang w:val="nl-NL"/>
        </w:rPr>
        <w:t>Deze vergrijzing zorgt er via de AOW voor dat de uitgaven aan sociale zekerheid een groter aandeel van de overheidsuitgaven zullen beslaan.</w:t>
      </w:r>
      <w:r w:rsidR="002D62AD">
        <w:rPr>
          <w:rStyle w:val="Voetnootmarkering"/>
          <w:lang w:val="nl-NL"/>
        </w:rPr>
        <w:footnoteReference w:id="2"/>
      </w:r>
      <w:r w:rsidR="002D62AD">
        <w:rPr>
          <w:lang w:val="nl-NL"/>
        </w:rPr>
        <w:t xml:space="preserve"> </w:t>
      </w:r>
      <w:r w:rsidR="00FC5B11">
        <w:rPr>
          <w:lang w:val="nl-NL"/>
        </w:rPr>
        <w:t>Om de opwaartse ontwikkeling van de uitgaven aan de AOW te dempen zijn diverse moderniseringen doorgevoerd, waaronder de koppeling van de AOW-leeftijd aan de levensverwachting.</w:t>
      </w:r>
      <w:r w:rsidR="00FC5B11">
        <w:rPr>
          <w:rStyle w:val="Voetnootmarkering"/>
          <w:lang w:val="nl-NL"/>
        </w:rPr>
        <w:footnoteReference w:id="3"/>
      </w:r>
      <w:r w:rsidR="00FC5B11">
        <w:rPr>
          <w:lang w:val="nl-NL"/>
        </w:rPr>
        <w:t xml:space="preserve"> </w:t>
      </w:r>
      <w:r w:rsidR="00225639">
        <w:rPr>
          <w:lang w:val="nl-NL"/>
        </w:rPr>
        <w:t>Desondanks is de verwachting</w:t>
      </w:r>
      <w:r w:rsidR="00866408">
        <w:rPr>
          <w:lang w:val="nl-NL"/>
        </w:rPr>
        <w:t xml:space="preserve"> </w:t>
      </w:r>
      <w:r w:rsidR="00225639">
        <w:rPr>
          <w:lang w:val="nl-NL"/>
        </w:rPr>
        <w:t>dat de kost</w:t>
      </w:r>
      <w:r w:rsidR="00866408">
        <w:rPr>
          <w:lang w:val="nl-NL"/>
        </w:rPr>
        <w:t>en</w:t>
      </w:r>
      <w:r w:rsidR="00225639">
        <w:rPr>
          <w:lang w:val="nl-NL"/>
        </w:rPr>
        <w:t xml:space="preserve"> van de AOW</w:t>
      </w:r>
      <w:r w:rsidR="00DD132A">
        <w:rPr>
          <w:lang w:val="nl-NL"/>
        </w:rPr>
        <w:t xml:space="preserve"> als percentage van het BBP </w:t>
      </w:r>
      <w:r w:rsidR="00225639">
        <w:rPr>
          <w:lang w:val="nl-NL"/>
        </w:rPr>
        <w:t>zullen</w:t>
      </w:r>
      <w:r w:rsidR="00B71B77">
        <w:rPr>
          <w:lang w:val="nl-NL"/>
        </w:rPr>
        <w:t xml:space="preserve"> stijgen met 21% </w:t>
      </w:r>
      <w:r w:rsidR="005C4DB2">
        <w:rPr>
          <w:lang w:val="nl-NL"/>
        </w:rPr>
        <w:t xml:space="preserve">van </w:t>
      </w:r>
      <w:proofErr w:type="gramStart"/>
      <w:r w:rsidR="005C4DB2">
        <w:rPr>
          <w:lang w:val="nl-NL"/>
        </w:rPr>
        <w:t>circa</w:t>
      </w:r>
      <w:proofErr w:type="gramEnd"/>
      <w:r w:rsidR="005C4DB2">
        <w:rPr>
          <w:lang w:val="nl-NL"/>
        </w:rPr>
        <w:t xml:space="preserve"> 4,7% </w:t>
      </w:r>
      <w:r w:rsidR="00146BC3">
        <w:rPr>
          <w:lang w:val="nl-NL"/>
        </w:rPr>
        <w:t>in 2024</w:t>
      </w:r>
      <w:r w:rsidR="005C4DB2">
        <w:rPr>
          <w:lang w:val="nl-NL"/>
        </w:rPr>
        <w:t xml:space="preserve"> naar 5,7% in</w:t>
      </w:r>
      <w:r w:rsidR="00146BC3">
        <w:rPr>
          <w:lang w:val="nl-NL"/>
        </w:rPr>
        <w:t xml:space="preserve"> 2040</w:t>
      </w:r>
      <w:r w:rsidRPr="002F37EC">
        <w:rPr>
          <w:lang w:val="nl-NL"/>
        </w:rPr>
        <w:t xml:space="preserve">. Deze stijging kan </w:t>
      </w:r>
      <w:r w:rsidR="00B71B77">
        <w:rPr>
          <w:lang w:val="nl-NL"/>
        </w:rPr>
        <w:t xml:space="preserve">grotendeels </w:t>
      </w:r>
      <w:r w:rsidRPr="002F37EC">
        <w:rPr>
          <w:lang w:val="nl-NL"/>
        </w:rPr>
        <w:t>worden toegeschreven aan de vergrijzende bevolking</w:t>
      </w:r>
      <w:r w:rsidR="00B71B77">
        <w:rPr>
          <w:lang w:val="nl-NL"/>
        </w:rPr>
        <w:t xml:space="preserve">. De toename van het aandeel alleenstaande ouderen speelt </w:t>
      </w:r>
      <w:r w:rsidR="00866408">
        <w:rPr>
          <w:lang w:val="nl-NL"/>
        </w:rPr>
        <w:t xml:space="preserve">daarbij </w:t>
      </w:r>
      <w:r w:rsidR="00B71B77">
        <w:rPr>
          <w:lang w:val="nl-NL"/>
        </w:rPr>
        <w:t>ook een rol</w:t>
      </w:r>
      <w:r w:rsidRPr="002F37EC">
        <w:rPr>
          <w:lang w:val="nl-NL"/>
        </w:rPr>
        <w:t>.</w:t>
      </w:r>
      <w:r w:rsidR="009A683E">
        <w:rPr>
          <w:lang w:val="nl-NL"/>
        </w:rPr>
        <w:t xml:space="preserve"> </w:t>
      </w:r>
      <w:r w:rsidR="00AD7D43">
        <w:rPr>
          <w:lang w:val="nl-NL"/>
        </w:rPr>
        <w:t>Bovendien hebben d</w:t>
      </w:r>
      <w:r w:rsidR="009A683E">
        <w:rPr>
          <w:lang w:val="nl-NL"/>
        </w:rPr>
        <w:t xml:space="preserve">eze ontwikkelingen gevolgen voor de belasting- en </w:t>
      </w:r>
      <w:r w:rsidR="00465C93">
        <w:rPr>
          <w:lang w:val="nl-NL"/>
        </w:rPr>
        <w:t>premie-inkomsten</w:t>
      </w:r>
      <w:r w:rsidR="009A683E">
        <w:rPr>
          <w:lang w:val="nl-NL"/>
        </w:rPr>
        <w:t>.</w:t>
      </w:r>
    </w:p>
    <w:p w:rsidR="005B6451" w:rsidP="00947580" w:rsidRDefault="005B6451" w14:paraId="5499A34A" w14:textId="77777777">
      <w:pPr>
        <w:spacing w:after="0"/>
        <w:rPr>
          <w:lang w:val="nl-NL"/>
        </w:rPr>
      </w:pPr>
    </w:p>
    <w:p w:rsidRPr="007F00F1" w:rsidR="007F00F1" w:rsidP="00947580" w:rsidRDefault="00C40DE4" w14:paraId="207B03BE" w14:textId="34F582EE">
      <w:pPr>
        <w:spacing w:after="0"/>
        <w:rPr>
          <w:i/>
          <w:iCs/>
          <w:lang w:val="nl-NL"/>
        </w:rPr>
      </w:pPr>
      <w:r>
        <w:rPr>
          <w:i/>
          <w:iCs/>
          <w:lang w:val="nl-NL"/>
        </w:rPr>
        <w:t>Inkomens</w:t>
      </w:r>
      <w:r w:rsidR="00C85F45">
        <w:rPr>
          <w:i/>
          <w:iCs/>
          <w:lang w:val="nl-NL"/>
        </w:rPr>
        <w:t>positie</w:t>
      </w:r>
      <w:r w:rsidRPr="007F00F1" w:rsidR="00C85F45">
        <w:rPr>
          <w:i/>
          <w:iCs/>
          <w:lang w:val="nl-NL"/>
        </w:rPr>
        <w:t xml:space="preserve"> </w:t>
      </w:r>
      <w:r w:rsidRPr="007F00F1" w:rsidR="007F00F1">
        <w:rPr>
          <w:i/>
          <w:iCs/>
          <w:lang w:val="nl-NL"/>
        </w:rPr>
        <w:t>ouderen</w:t>
      </w:r>
      <w:r w:rsidR="007B40FA">
        <w:rPr>
          <w:i/>
          <w:iCs/>
          <w:lang w:val="nl-NL"/>
        </w:rPr>
        <w:t xml:space="preserve"> en onvolledige AOW-opbouw</w:t>
      </w:r>
    </w:p>
    <w:p w:rsidR="006A4FCC" w:rsidP="00947580" w:rsidRDefault="007F1704" w14:paraId="516788FB" w14:textId="248E9571">
      <w:pPr>
        <w:spacing w:after="0"/>
        <w:rPr>
          <w:lang w:val="nl-NL"/>
        </w:rPr>
      </w:pPr>
      <w:r w:rsidRPr="005E2C05">
        <w:rPr>
          <w:lang w:val="nl-NL"/>
        </w:rPr>
        <w:t xml:space="preserve">De </w:t>
      </w:r>
      <w:r w:rsidR="00AD7D43">
        <w:rPr>
          <w:lang w:val="nl-NL"/>
        </w:rPr>
        <w:t>inkomens</w:t>
      </w:r>
      <w:r w:rsidRPr="005E2C05">
        <w:rPr>
          <w:lang w:val="nl-NL"/>
        </w:rPr>
        <w:t xml:space="preserve">positie van gepensioneerden </w:t>
      </w:r>
      <w:r w:rsidR="00AD7D43">
        <w:rPr>
          <w:lang w:val="nl-NL"/>
        </w:rPr>
        <w:t xml:space="preserve">is </w:t>
      </w:r>
      <w:r w:rsidRPr="005E2C05">
        <w:rPr>
          <w:lang w:val="nl-NL"/>
        </w:rPr>
        <w:t xml:space="preserve">over het algemeen financieel gezien gunstiger ten </w:t>
      </w:r>
      <w:proofErr w:type="gramStart"/>
      <w:r w:rsidRPr="005E2C05">
        <w:rPr>
          <w:lang w:val="nl-NL"/>
        </w:rPr>
        <w:t>opzichte</w:t>
      </w:r>
      <w:proofErr w:type="gramEnd"/>
      <w:r w:rsidRPr="005E2C05">
        <w:rPr>
          <w:lang w:val="nl-NL"/>
        </w:rPr>
        <w:t xml:space="preserve"> van werkende huishoudens</w:t>
      </w:r>
      <w:r>
        <w:rPr>
          <w:lang w:val="nl-NL"/>
        </w:rPr>
        <w:t xml:space="preserve"> en uitkeringsgerechtigden</w:t>
      </w:r>
      <w:r w:rsidRPr="005E2C05">
        <w:rPr>
          <w:lang w:val="nl-NL"/>
        </w:rPr>
        <w:t>.</w:t>
      </w:r>
      <w:r w:rsidR="00AD7D43">
        <w:rPr>
          <w:rStyle w:val="Voetnootmarkering"/>
          <w:lang w:val="nl-NL"/>
        </w:rPr>
        <w:footnoteReference w:id="4"/>
      </w:r>
      <w:r w:rsidRPr="005E2C05">
        <w:rPr>
          <w:lang w:val="nl-NL"/>
        </w:rPr>
        <w:t xml:space="preserve"> </w:t>
      </w:r>
      <w:r>
        <w:rPr>
          <w:lang w:val="nl-NL"/>
        </w:rPr>
        <w:t>Een grote</w:t>
      </w:r>
      <w:r w:rsidRPr="0088739C">
        <w:rPr>
          <w:lang w:val="nl-NL"/>
        </w:rPr>
        <w:t xml:space="preserve"> groep gepensioneerden </w:t>
      </w:r>
      <w:r>
        <w:rPr>
          <w:lang w:val="nl-NL"/>
        </w:rPr>
        <w:t xml:space="preserve">heeft </w:t>
      </w:r>
      <w:r w:rsidRPr="0088739C">
        <w:rPr>
          <w:lang w:val="nl-NL"/>
        </w:rPr>
        <w:t xml:space="preserve">aanzienlijke aanvullende pensioenen </w:t>
      </w:r>
      <w:r>
        <w:rPr>
          <w:lang w:val="nl-NL"/>
        </w:rPr>
        <w:t>en vanwege de accumulatie van vermogen een sterke sociaaleconomische positie. O</w:t>
      </w:r>
      <w:r w:rsidRPr="005E2C05">
        <w:rPr>
          <w:lang w:val="nl-NL"/>
        </w:rPr>
        <w:t xml:space="preserve">udere huishoudens met een mediaan inkomen hebben momenteel nauwelijks schulden en hebben wel bezittingen. </w:t>
      </w:r>
      <w:r w:rsidR="00C40DE4">
        <w:rPr>
          <w:lang w:val="nl-NL"/>
        </w:rPr>
        <w:t xml:space="preserve">De AOW heeft als doel armoede onder ouderen te voorkomen. Hierdoor </w:t>
      </w:r>
      <w:r w:rsidR="00735237">
        <w:rPr>
          <w:lang w:val="nl-NL"/>
        </w:rPr>
        <w:t>leven relatief minder ouderen in armoede, dan onder andere leeftijdscohorten het geval is.</w:t>
      </w:r>
      <w:r w:rsidR="00D81B9D">
        <w:rPr>
          <w:lang w:val="nl-NL"/>
        </w:rPr>
        <w:t xml:space="preserve"> </w:t>
      </w:r>
      <w:r w:rsidRPr="005E2C05" w:rsidR="005E2C05">
        <w:rPr>
          <w:lang w:val="nl-NL"/>
        </w:rPr>
        <w:t>Een deel van de ouderen is</w:t>
      </w:r>
      <w:r w:rsidR="005E2C05">
        <w:rPr>
          <w:lang w:val="nl-NL"/>
        </w:rPr>
        <w:t xml:space="preserve"> wel</w:t>
      </w:r>
      <w:r w:rsidRPr="005E2C05" w:rsidR="005E2C05">
        <w:rPr>
          <w:lang w:val="nl-NL"/>
        </w:rPr>
        <w:t xml:space="preserve"> financieel kwetsbaar, met name als er sprake is </w:t>
      </w:r>
      <w:r w:rsidR="00FC6B7A">
        <w:rPr>
          <w:lang w:val="nl-NL"/>
        </w:rPr>
        <w:t xml:space="preserve">van </w:t>
      </w:r>
      <w:r w:rsidRPr="005E2C05" w:rsidR="005E2C05">
        <w:rPr>
          <w:lang w:val="nl-NL"/>
        </w:rPr>
        <w:t xml:space="preserve">een onvolledige AOW-uitkering </w:t>
      </w:r>
      <w:r w:rsidR="005B6451">
        <w:rPr>
          <w:lang w:val="nl-NL"/>
        </w:rPr>
        <w:t>in combinatie met geen of een klein pensioen</w:t>
      </w:r>
      <w:r w:rsidR="00F25B08">
        <w:rPr>
          <w:lang w:val="nl-NL"/>
        </w:rPr>
        <w:t>.</w:t>
      </w:r>
    </w:p>
    <w:p w:rsidR="006A4FCC" w:rsidP="00947580" w:rsidRDefault="006A4FCC" w14:paraId="4B294193" w14:textId="77777777">
      <w:pPr>
        <w:spacing w:after="0"/>
        <w:rPr>
          <w:lang w:val="nl-NL"/>
        </w:rPr>
      </w:pPr>
    </w:p>
    <w:p w:rsidR="005E2C05" w:rsidP="00947580" w:rsidRDefault="00D12DBB" w14:paraId="7B4A8264" w14:textId="03233648">
      <w:pPr>
        <w:spacing w:after="0"/>
        <w:rPr>
          <w:i/>
          <w:iCs/>
          <w:lang w:val="nl-NL"/>
        </w:rPr>
      </w:pPr>
      <w:r>
        <w:rPr>
          <w:i/>
          <w:iCs/>
          <w:lang w:val="nl-NL"/>
        </w:rPr>
        <w:t xml:space="preserve">Partnerbegrip </w:t>
      </w:r>
      <w:r w:rsidR="00C77468">
        <w:rPr>
          <w:i/>
          <w:iCs/>
          <w:lang w:val="nl-NL"/>
        </w:rPr>
        <w:t xml:space="preserve">in de </w:t>
      </w:r>
      <w:r w:rsidR="007F00F1">
        <w:rPr>
          <w:i/>
          <w:iCs/>
          <w:lang w:val="nl-NL"/>
        </w:rPr>
        <w:t xml:space="preserve">AOW </w:t>
      </w:r>
      <w:r w:rsidR="00735237">
        <w:rPr>
          <w:i/>
          <w:iCs/>
          <w:lang w:val="nl-NL"/>
        </w:rPr>
        <w:t xml:space="preserve">en </w:t>
      </w:r>
      <w:r w:rsidR="00A4090E">
        <w:rPr>
          <w:i/>
          <w:iCs/>
          <w:lang w:val="nl-NL"/>
        </w:rPr>
        <w:t>s</w:t>
      </w:r>
      <w:r w:rsidR="007F00F1">
        <w:rPr>
          <w:i/>
          <w:iCs/>
          <w:lang w:val="nl-NL"/>
        </w:rPr>
        <w:t>amenw</w:t>
      </w:r>
      <w:r w:rsidRPr="00947580" w:rsidR="00947580">
        <w:rPr>
          <w:i/>
          <w:iCs/>
          <w:lang w:val="nl-NL"/>
        </w:rPr>
        <w:t>onen</w:t>
      </w:r>
    </w:p>
    <w:p w:rsidR="001F4ED4" w:rsidP="001A2C4A" w:rsidRDefault="00B118B6" w14:paraId="03FD8D4E" w14:textId="29D02395">
      <w:pPr>
        <w:spacing w:after="0"/>
        <w:rPr>
          <w:lang w:val="nl-NL"/>
        </w:rPr>
      </w:pPr>
      <w:r>
        <w:rPr>
          <w:lang w:val="nl-NL"/>
        </w:rPr>
        <w:t xml:space="preserve">Een deel van de verwachte toename in AOW-kosten is toe te schrijven aan een toename van het aandeel alleenstaande ouderen. </w:t>
      </w:r>
      <w:r w:rsidR="00125B17">
        <w:rPr>
          <w:lang w:val="nl-NL"/>
        </w:rPr>
        <w:t xml:space="preserve">Het aantal alleenstaande AOW’ers neemt de komende jaren toe van 1,4 miljoen naar bijna 2 miljoen. </w:t>
      </w:r>
      <w:r w:rsidR="00735237">
        <w:rPr>
          <w:lang w:val="nl-NL"/>
        </w:rPr>
        <w:t>Als</w:t>
      </w:r>
      <w:r w:rsidR="003D4334">
        <w:rPr>
          <w:lang w:val="nl-NL"/>
        </w:rPr>
        <w:t xml:space="preserve"> AOW-gerechtigden </w:t>
      </w:r>
      <w:r w:rsidR="00735237">
        <w:rPr>
          <w:lang w:val="nl-NL"/>
        </w:rPr>
        <w:t xml:space="preserve">(gaan) samenwonen, ontvangen zij een lagere AOW </w:t>
      </w:r>
      <w:r w:rsidR="00BF533A">
        <w:rPr>
          <w:lang w:val="nl-NL"/>
        </w:rPr>
        <w:t>per persoon dan als alleenstaande</w:t>
      </w:r>
      <w:r w:rsidR="00125B17">
        <w:rPr>
          <w:lang w:val="nl-NL"/>
        </w:rPr>
        <w:t>, 50% in plaats van 70%</w:t>
      </w:r>
      <w:r w:rsidR="00735237">
        <w:rPr>
          <w:lang w:val="nl-NL"/>
        </w:rPr>
        <w:t>.</w:t>
      </w:r>
      <w:r w:rsidR="001F4ED4">
        <w:rPr>
          <w:lang w:val="nl-NL"/>
        </w:rPr>
        <w:t xml:space="preserve"> </w:t>
      </w:r>
      <w:r w:rsidR="00AD7D43">
        <w:rPr>
          <w:lang w:val="nl-NL"/>
        </w:rPr>
        <w:t>Hierdoor krijgen AOW-gerechtigden een lagere AOW-uitkering als zij gaan samenwonen.</w:t>
      </w:r>
      <w:r w:rsidDel="00854E7E" w:rsidR="00854E7E">
        <w:rPr>
          <w:lang w:val="nl-NL"/>
        </w:rPr>
        <w:t xml:space="preserve"> </w:t>
      </w:r>
      <w:r w:rsidR="00F635F2">
        <w:rPr>
          <w:lang w:val="nl-NL"/>
        </w:rPr>
        <w:t>Dit kan gevolgen hebben voor mantelzorg en de woningmarkt.</w:t>
      </w:r>
    </w:p>
    <w:p w:rsidR="001F4ED4" w:rsidP="001A2C4A" w:rsidRDefault="001F4ED4" w14:paraId="580060A1" w14:textId="77777777">
      <w:pPr>
        <w:spacing w:after="0"/>
        <w:rPr>
          <w:lang w:val="nl-NL"/>
        </w:rPr>
      </w:pPr>
    </w:p>
    <w:p w:rsidRPr="00F6030A" w:rsidR="005E2C05" w:rsidP="00947580" w:rsidRDefault="00F6030A" w14:paraId="2D6143F3" w14:textId="07AB864D">
      <w:pPr>
        <w:spacing w:after="0"/>
        <w:rPr>
          <w:i/>
          <w:iCs/>
          <w:lang w:val="nl-NL"/>
        </w:rPr>
      </w:pPr>
      <w:r>
        <w:rPr>
          <w:i/>
          <w:iCs/>
          <w:lang w:val="nl-NL"/>
        </w:rPr>
        <w:t xml:space="preserve">Groeiende </w:t>
      </w:r>
      <w:r w:rsidRPr="00F6030A" w:rsidR="005E2C05">
        <w:rPr>
          <w:i/>
          <w:iCs/>
          <w:lang w:val="nl-NL"/>
        </w:rPr>
        <w:t>uitvoeringsproblemen</w:t>
      </w:r>
      <w:r w:rsidR="004F2233">
        <w:rPr>
          <w:i/>
          <w:iCs/>
          <w:lang w:val="nl-NL"/>
        </w:rPr>
        <w:t xml:space="preserve"> en complexiteit</w:t>
      </w:r>
    </w:p>
    <w:p w:rsidR="00947580" w:rsidP="00947580" w:rsidRDefault="00735237" w14:paraId="19B028C6" w14:textId="50C429DF">
      <w:pPr>
        <w:spacing w:after="0"/>
        <w:rPr>
          <w:lang w:val="nl-NL"/>
        </w:rPr>
      </w:pPr>
      <w:r>
        <w:rPr>
          <w:lang w:val="nl-NL"/>
        </w:rPr>
        <w:t>D</w:t>
      </w:r>
      <w:r w:rsidR="00947580">
        <w:rPr>
          <w:lang w:val="nl-NL"/>
        </w:rPr>
        <w:t>e AOW</w:t>
      </w:r>
      <w:r>
        <w:rPr>
          <w:lang w:val="nl-NL"/>
        </w:rPr>
        <w:t xml:space="preserve"> kent</w:t>
      </w:r>
      <w:r w:rsidR="00947580">
        <w:rPr>
          <w:lang w:val="nl-NL"/>
        </w:rPr>
        <w:t xml:space="preserve"> ook</w:t>
      </w:r>
      <w:r>
        <w:rPr>
          <w:lang w:val="nl-NL"/>
        </w:rPr>
        <w:t xml:space="preserve"> </w:t>
      </w:r>
      <w:r w:rsidR="00947580">
        <w:rPr>
          <w:lang w:val="nl-NL"/>
        </w:rPr>
        <w:t>uitvoeringsproblematiek</w:t>
      </w:r>
      <w:r>
        <w:rPr>
          <w:lang w:val="nl-NL"/>
        </w:rPr>
        <w:t xml:space="preserve"> die samenhangt met de internationale dienstverlening</w:t>
      </w:r>
      <w:r w:rsidR="00935BFC">
        <w:rPr>
          <w:lang w:val="nl-NL"/>
        </w:rPr>
        <w:t xml:space="preserve"> en de export van AOW.</w:t>
      </w:r>
      <w:r w:rsidR="00947580">
        <w:rPr>
          <w:lang w:val="nl-NL"/>
        </w:rPr>
        <w:t xml:space="preserve"> Deze</w:t>
      </w:r>
      <w:r w:rsidR="00935BFC">
        <w:rPr>
          <w:lang w:val="nl-NL"/>
        </w:rPr>
        <w:t xml:space="preserve"> problematie</w:t>
      </w:r>
      <w:r w:rsidR="002F19B7">
        <w:rPr>
          <w:lang w:val="nl-NL"/>
        </w:rPr>
        <w:t>k</w:t>
      </w:r>
      <w:r w:rsidR="00947580">
        <w:rPr>
          <w:lang w:val="nl-NL"/>
        </w:rPr>
        <w:t xml:space="preserve"> wordt met de groei van het aantal AOW’ers</w:t>
      </w:r>
      <w:r w:rsidR="00935BFC">
        <w:rPr>
          <w:lang w:val="nl-NL"/>
        </w:rPr>
        <w:t xml:space="preserve"> (met een migratieachte</w:t>
      </w:r>
      <w:r w:rsidR="002F19B7">
        <w:rPr>
          <w:lang w:val="nl-NL"/>
        </w:rPr>
        <w:t>r</w:t>
      </w:r>
      <w:r w:rsidR="00935BFC">
        <w:rPr>
          <w:lang w:val="nl-NL"/>
        </w:rPr>
        <w:t>grond)</w:t>
      </w:r>
      <w:r w:rsidR="00947580">
        <w:rPr>
          <w:lang w:val="nl-NL"/>
        </w:rPr>
        <w:t xml:space="preserve"> ook steeds groter.</w:t>
      </w:r>
      <w:r w:rsidR="003427A7">
        <w:rPr>
          <w:lang w:val="nl-NL"/>
        </w:rPr>
        <w:t xml:space="preserve"> Ook neemt het aantal AOW-gerechtigden in het buitenland verder toe</w:t>
      </w:r>
      <w:r w:rsidR="00BB3D82">
        <w:rPr>
          <w:lang w:val="nl-NL"/>
        </w:rPr>
        <w:t>. De SVB schat in dat deze groep de komende 20 jaar zal toenemen</w:t>
      </w:r>
      <w:r w:rsidR="003427A7">
        <w:rPr>
          <w:lang w:val="nl-NL"/>
        </w:rPr>
        <w:t xml:space="preserve"> van 330.000 naar 500.000</w:t>
      </w:r>
      <w:r w:rsidR="00382B47">
        <w:rPr>
          <w:lang w:val="nl-NL"/>
        </w:rPr>
        <w:t>.</w:t>
      </w:r>
      <w:r w:rsidR="005560C4">
        <w:rPr>
          <w:rStyle w:val="Voetnootmarkering"/>
          <w:lang w:val="nl-NL"/>
        </w:rPr>
        <w:footnoteReference w:id="5"/>
      </w:r>
    </w:p>
    <w:p w:rsidR="00382B47" w:rsidP="00947580" w:rsidRDefault="00382B47" w14:paraId="67EA4524" w14:textId="77777777">
      <w:pPr>
        <w:spacing w:after="0"/>
        <w:rPr>
          <w:lang w:val="nl-NL"/>
        </w:rPr>
      </w:pPr>
    </w:p>
    <w:p w:rsidR="0093235C" w:rsidP="00947580" w:rsidRDefault="0093235C" w14:paraId="071F34DB" w14:textId="331A1EE1">
      <w:pPr>
        <w:spacing w:after="0"/>
        <w:rPr>
          <w:lang w:val="nl-NL"/>
        </w:rPr>
      </w:pPr>
      <w:r>
        <w:rPr>
          <w:lang w:val="nl-NL"/>
        </w:rPr>
        <w:t xml:space="preserve">Hoewel slechts 13% van de </w:t>
      </w:r>
      <w:r w:rsidR="00935BFC">
        <w:rPr>
          <w:lang w:val="nl-NL"/>
        </w:rPr>
        <w:t>klanten van de SVB</w:t>
      </w:r>
      <w:r>
        <w:rPr>
          <w:lang w:val="nl-NL"/>
        </w:rPr>
        <w:t xml:space="preserve"> in het buitenland woont, neemt de internationale dienstverlening inmiddels 50% van de totale capaciteit van de SVB in beslag. </w:t>
      </w:r>
      <w:r w:rsidR="00935BFC">
        <w:rPr>
          <w:lang w:val="nl-NL"/>
        </w:rPr>
        <w:t>De complexiteit hangt</w:t>
      </w:r>
      <w:r w:rsidR="00C40DE4">
        <w:rPr>
          <w:lang w:val="nl-NL"/>
        </w:rPr>
        <w:t xml:space="preserve"> voornamelijk samen met het vaststellen van verzekeringstijdvakken. Ook het partnerbegrip en de handhaving vormen een onderdeel van de complexiteit.</w:t>
      </w:r>
      <w:r w:rsidR="00935BFC">
        <w:rPr>
          <w:lang w:val="nl-NL"/>
        </w:rPr>
        <w:t xml:space="preserve"> </w:t>
      </w:r>
      <w:r w:rsidR="00C40DE4">
        <w:rPr>
          <w:lang w:val="nl-NL"/>
        </w:rPr>
        <w:t>Vee</w:t>
      </w:r>
      <w:r w:rsidR="00AD7D43">
        <w:rPr>
          <w:lang w:val="nl-NL"/>
        </w:rPr>
        <w:t>l</w:t>
      </w:r>
      <w:r w:rsidR="00C40DE4">
        <w:rPr>
          <w:lang w:val="nl-NL"/>
        </w:rPr>
        <w:t xml:space="preserve"> </w:t>
      </w:r>
      <w:r w:rsidR="00935BFC">
        <w:rPr>
          <w:lang w:val="nl-NL"/>
        </w:rPr>
        <w:t>werk moet handmatig gedaan worden vanwege afhankelijkheid van informatie uit het buitenland (en gebrek aan digitale gegevensuitwisseling).</w:t>
      </w:r>
      <w:r w:rsidR="00C85F45">
        <w:rPr>
          <w:lang w:val="nl-NL"/>
        </w:rPr>
        <w:t xml:space="preserve"> Ook vaststelling en handhaving van de uitkeringshoogte is in sommige leefsituaties complex.</w:t>
      </w:r>
    </w:p>
    <w:p w:rsidRPr="002F37EC" w:rsidR="005E2C05" w:rsidP="00947580" w:rsidRDefault="005E2C05" w14:paraId="056BEB18" w14:textId="77777777">
      <w:pPr>
        <w:spacing w:after="0"/>
        <w:rPr>
          <w:lang w:val="nl-NL"/>
        </w:rPr>
      </w:pPr>
    </w:p>
    <w:p w:rsidRPr="00B118B6" w:rsidR="00B118B6" w:rsidP="00947580" w:rsidRDefault="00B118B6" w14:paraId="1D91202B" w14:textId="22CBCBF8">
      <w:pPr>
        <w:spacing w:after="0"/>
        <w:rPr>
          <w:i/>
          <w:iCs/>
          <w:lang w:val="nl-NL"/>
        </w:rPr>
      </w:pPr>
      <w:r>
        <w:rPr>
          <w:i/>
          <w:iCs/>
          <w:lang w:val="nl-NL"/>
        </w:rPr>
        <w:t>Overige inkomensvoorzieningen ouderen</w:t>
      </w:r>
    </w:p>
    <w:p w:rsidR="00C81298" w:rsidP="00947580" w:rsidRDefault="004F2233" w14:paraId="6A446748" w14:textId="72D157F9">
      <w:pPr>
        <w:spacing w:after="0"/>
        <w:rPr>
          <w:lang w:val="nl-NL"/>
        </w:rPr>
      </w:pPr>
      <w:r>
        <w:rPr>
          <w:lang w:val="nl-NL"/>
        </w:rPr>
        <w:t xml:space="preserve">Rond de </w:t>
      </w:r>
      <w:r w:rsidR="00935BFC">
        <w:rPr>
          <w:lang w:val="nl-NL"/>
        </w:rPr>
        <w:t xml:space="preserve">inkomensvoorzieningen voor ouderen </w:t>
      </w:r>
      <w:r>
        <w:rPr>
          <w:lang w:val="nl-NL"/>
        </w:rPr>
        <w:t>zijn er ook m</w:t>
      </w:r>
      <w:r w:rsidR="00C81298">
        <w:rPr>
          <w:lang w:val="nl-NL"/>
        </w:rPr>
        <w:t>eerdere</w:t>
      </w:r>
      <w:r w:rsidR="00935BFC">
        <w:rPr>
          <w:lang w:val="nl-NL"/>
        </w:rPr>
        <w:t xml:space="preserve"> fiscale</w:t>
      </w:r>
      <w:r w:rsidR="00C81298">
        <w:rPr>
          <w:lang w:val="nl-NL"/>
        </w:rPr>
        <w:t xml:space="preserve"> instrumenten </w:t>
      </w:r>
      <w:r w:rsidR="00935BFC">
        <w:rPr>
          <w:lang w:val="nl-NL"/>
        </w:rPr>
        <w:t>die een rol spelen</w:t>
      </w:r>
      <w:r w:rsidR="00C81298">
        <w:rPr>
          <w:lang w:val="nl-NL"/>
        </w:rPr>
        <w:t xml:space="preserve">. </w:t>
      </w:r>
      <w:r>
        <w:rPr>
          <w:lang w:val="nl-NL"/>
        </w:rPr>
        <w:t xml:space="preserve">Naast de </w:t>
      </w:r>
      <w:r w:rsidR="00C81298">
        <w:rPr>
          <w:lang w:val="nl-NL"/>
        </w:rPr>
        <w:t>AOW-uitkering</w:t>
      </w:r>
      <w:r w:rsidR="00B118B6">
        <w:rPr>
          <w:lang w:val="nl-NL"/>
        </w:rPr>
        <w:t xml:space="preserve"> is er soms sprake van gemeentelijke regelingen ter ondersteuning van financieel kwetsbare ouderen,</w:t>
      </w:r>
      <w:r w:rsidR="00C81298">
        <w:rPr>
          <w:lang w:val="nl-NL"/>
        </w:rPr>
        <w:t xml:space="preserve"> </w:t>
      </w:r>
      <w:r>
        <w:rPr>
          <w:lang w:val="nl-NL"/>
        </w:rPr>
        <w:t xml:space="preserve">zijn er </w:t>
      </w:r>
      <w:r w:rsidR="00C81298">
        <w:rPr>
          <w:lang w:val="nl-NL"/>
        </w:rPr>
        <w:t xml:space="preserve">ook </w:t>
      </w:r>
      <w:r w:rsidR="001553B8">
        <w:rPr>
          <w:lang w:val="nl-NL"/>
        </w:rPr>
        <w:t xml:space="preserve">specifieke </w:t>
      </w:r>
      <w:r w:rsidR="00C81298">
        <w:rPr>
          <w:lang w:val="nl-NL"/>
        </w:rPr>
        <w:t>heffingskortingen</w:t>
      </w:r>
      <w:r w:rsidR="001553B8">
        <w:rPr>
          <w:lang w:val="nl-NL"/>
        </w:rPr>
        <w:t xml:space="preserve"> voor AOW-gerechtigden</w:t>
      </w:r>
      <w:r w:rsidR="00935BFC">
        <w:rPr>
          <w:lang w:val="nl-NL"/>
        </w:rPr>
        <w:t xml:space="preserve"> en wordt er in de </w:t>
      </w:r>
      <w:proofErr w:type="spellStart"/>
      <w:r w:rsidR="00935BFC">
        <w:rPr>
          <w:lang w:val="nl-NL"/>
        </w:rPr>
        <w:t>netto-netto-koppeling</w:t>
      </w:r>
      <w:proofErr w:type="spellEnd"/>
      <w:r w:rsidR="00935BFC">
        <w:rPr>
          <w:lang w:val="nl-NL"/>
        </w:rPr>
        <w:t xml:space="preserve"> rekening gehouden met een dubbele </w:t>
      </w:r>
      <w:r w:rsidR="00010A1D">
        <w:rPr>
          <w:lang w:val="nl-NL"/>
        </w:rPr>
        <w:t>algemene heffingskorting</w:t>
      </w:r>
      <w:r w:rsidR="00935BFC">
        <w:rPr>
          <w:lang w:val="nl-NL"/>
        </w:rPr>
        <w:t>.</w:t>
      </w:r>
    </w:p>
    <w:p w:rsidRPr="002F37EC" w:rsidR="005E2C05" w:rsidP="00947580" w:rsidRDefault="005E2C05" w14:paraId="0FF17C43" w14:textId="77777777">
      <w:pPr>
        <w:spacing w:after="0"/>
        <w:rPr>
          <w:lang w:val="nl-NL"/>
        </w:rPr>
      </w:pPr>
    </w:p>
    <w:p w:rsidRPr="002F37EC" w:rsidR="009F3D62" w:rsidP="00947580" w:rsidRDefault="009F3D62" w14:paraId="57916710" w14:textId="71E5CB5C">
      <w:pPr>
        <w:spacing w:after="0"/>
        <w:rPr>
          <w:b/>
          <w:bCs/>
          <w:lang w:val="nl-NL"/>
        </w:rPr>
      </w:pPr>
      <w:r w:rsidRPr="002F37EC">
        <w:rPr>
          <w:b/>
          <w:bCs/>
          <w:lang w:val="nl-NL"/>
        </w:rPr>
        <w:t>Doel van het IBO</w:t>
      </w:r>
    </w:p>
    <w:p w:rsidR="0088739C" w:rsidP="0088739C" w:rsidRDefault="00A67659" w14:paraId="47F2AB76" w14:textId="1C32CA45">
      <w:pPr>
        <w:spacing w:after="0"/>
        <w:rPr>
          <w:b/>
          <w:bCs/>
          <w:lang w:val="nl-NL"/>
        </w:rPr>
      </w:pPr>
      <w:r>
        <w:rPr>
          <w:lang w:val="nl-NL"/>
        </w:rPr>
        <w:t>Het doel van het IBO is om mogelijke aanpassingen in kaart te brengen</w:t>
      </w:r>
      <w:r w:rsidR="0088739C">
        <w:rPr>
          <w:lang w:val="nl-NL"/>
        </w:rPr>
        <w:t xml:space="preserve"> </w:t>
      </w:r>
      <w:r w:rsidR="00FA5FBF">
        <w:rPr>
          <w:lang w:val="nl-NL"/>
        </w:rPr>
        <w:t>om</w:t>
      </w:r>
      <w:r w:rsidR="0088739C">
        <w:rPr>
          <w:lang w:val="nl-NL"/>
        </w:rPr>
        <w:t xml:space="preserve"> de </w:t>
      </w:r>
      <w:r w:rsidR="00935BFC">
        <w:rPr>
          <w:lang w:val="nl-NL"/>
        </w:rPr>
        <w:t>inkomensvoorzieningen voor ouderen</w:t>
      </w:r>
      <w:r w:rsidR="00DA0FCF">
        <w:rPr>
          <w:lang w:val="nl-NL"/>
        </w:rPr>
        <w:t xml:space="preserve"> (na de AOW-leeftijd)</w:t>
      </w:r>
      <w:r w:rsidR="00935BFC">
        <w:rPr>
          <w:lang w:val="nl-NL"/>
        </w:rPr>
        <w:t xml:space="preserve"> </w:t>
      </w:r>
      <w:r w:rsidR="0088739C">
        <w:rPr>
          <w:lang w:val="nl-NL"/>
        </w:rPr>
        <w:t xml:space="preserve">te verbeteren met het oog op de betaalbaarheid, de uitvoerbaarheid en de effecten op het functioneren van de </w:t>
      </w:r>
      <w:r w:rsidR="00935BFC">
        <w:rPr>
          <w:lang w:val="nl-NL"/>
        </w:rPr>
        <w:t>arbeidsmarkt</w:t>
      </w:r>
      <w:r w:rsidR="00BF533A">
        <w:rPr>
          <w:lang w:val="nl-NL"/>
        </w:rPr>
        <w:t xml:space="preserve"> en de woningmarkt</w:t>
      </w:r>
      <w:r>
        <w:rPr>
          <w:lang w:val="nl-NL"/>
        </w:rPr>
        <w:t>. Het IBO moet leiden tot concrete beleidsopties.</w:t>
      </w:r>
    </w:p>
    <w:p w:rsidR="0088739C" w:rsidP="00947580" w:rsidRDefault="0088739C" w14:paraId="6F80418B" w14:textId="77777777">
      <w:pPr>
        <w:spacing w:after="0"/>
        <w:rPr>
          <w:lang w:val="nl-NL"/>
        </w:rPr>
      </w:pPr>
    </w:p>
    <w:p w:rsidRPr="00A67659" w:rsidR="009F3D62" w:rsidP="00947580" w:rsidRDefault="005E2C05" w14:paraId="75DC010F" w14:textId="70ADD6FC">
      <w:pPr>
        <w:spacing w:after="0"/>
        <w:rPr>
          <w:lang w:val="nl-NL"/>
        </w:rPr>
      </w:pPr>
      <w:r w:rsidRPr="008539AA">
        <w:rPr>
          <w:b/>
          <w:bCs/>
          <w:lang w:val="nl-NL"/>
        </w:rPr>
        <w:t>Onderzoeksvragen</w:t>
      </w:r>
    </w:p>
    <w:p w:rsidRPr="005E2C05" w:rsidR="005E2C05" w:rsidP="00947580" w:rsidRDefault="005E2C05" w14:paraId="0A7FDD54" w14:textId="7F271325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 w:rsidRPr="005E2C05">
        <w:rPr>
          <w:lang w:val="nl-NL"/>
        </w:rPr>
        <w:t xml:space="preserve">Budgettaire uitdaging: </w:t>
      </w:r>
      <w:r w:rsidR="008A6A61">
        <w:rPr>
          <w:lang w:val="nl-NL"/>
        </w:rPr>
        <w:t xml:space="preserve">Wat zijn </w:t>
      </w:r>
      <w:r w:rsidR="007538A2">
        <w:rPr>
          <w:lang w:val="nl-NL"/>
        </w:rPr>
        <w:t xml:space="preserve">de </w:t>
      </w:r>
      <w:r w:rsidR="008A6A61">
        <w:rPr>
          <w:lang w:val="nl-NL"/>
        </w:rPr>
        <w:t xml:space="preserve">mogelijkheden om de </w:t>
      </w:r>
      <w:r w:rsidRPr="00001352" w:rsidR="0044773B">
        <w:rPr>
          <w:lang w:val="nl-NL"/>
        </w:rPr>
        <w:t xml:space="preserve">stijging van de AOW-uitgaven als gevolg van de vergrijzing </w:t>
      </w:r>
      <w:r w:rsidR="008A6A61">
        <w:rPr>
          <w:lang w:val="nl-NL"/>
        </w:rPr>
        <w:t>te dempen</w:t>
      </w:r>
      <w:r w:rsidRPr="00001352" w:rsidR="0044773B">
        <w:rPr>
          <w:lang w:val="nl-NL"/>
        </w:rPr>
        <w:t>?</w:t>
      </w:r>
    </w:p>
    <w:p w:rsidR="005E2C05" w:rsidP="00947580" w:rsidRDefault="005E2C05" w14:paraId="08D4D669" w14:textId="6855AB4C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 w:rsidRPr="005E2C05">
        <w:rPr>
          <w:lang w:val="nl-NL"/>
        </w:rPr>
        <w:t>Arbeidsmarkt: hoe kan de AOW bij een toenemende vergrijzing tot 20</w:t>
      </w:r>
      <w:r w:rsidR="00AF14CB">
        <w:rPr>
          <w:lang w:val="nl-NL"/>
        </w:rPr>
        <w:t>6</w:t>
      </w:r>
      <w:r w:rsidRPr="005E2C05">
        <w:rPr>
          <w:lang w:val="nl-NL"/>
        </w:rPr>
        <w:t>0 bijdragen aan een meer gebalanceerde ratio tussen werkenden en niet-werkenden (I/A-ratio).</w:t>
      </w:r>
      <w:r w:rsidR="00382B47">
        <w:rPr>
          <w:lang w:val="nl-NL"/>
        </w:rPr>
        <w:t xml:space="preserve"> Hoe kunnen de </w:t>
      </w:r>
      <w:r w:rsidR="007F00F1">
        <w:rPr>
          <w:lang w:val="nl-NL"/>
        </w:rPr>
        <w:t>intergenerationele</w:t>
      </w:r>
      <w:r w:rsidR="00382B47">
        <w:rPr>
          <w:lang w:val="nl-NL"/>
        </w:rPr>
        <w:t xml:space="preserve"> </w:t>
      </w:r>
      <w:r w:rsidR="007F00F1">
        <w:rPr>
          <w:lang w:val="nl-NL"/>
        </w:rPr>
        <w:t>overdrachten worden beperkt?</w:t>
      </w:r>
    </w:p>
    <w:p w:rsidR="00125B17" w:rsidP="00125B17" w:rsidRDefault="00125B17" w14:paraId="0A70BE31" w14:textId="61C4E5EA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>
        <w:rPr>
          <w:lang w:val="nl-NL"/>
        </w:rPr>
        <w:t>Wonen</w:t>
      </w:r>
      <w:r w:rsidR="00134585">
        <w:rPr>
          <w:lang w:val="nl-NL"/>
        </w:rPr>
        <w:t>/mantelzorg</w:t>
      </w:r>
      <w:r>
        <w:rPr>
          <w:lang w:val="nl-NL"/>
        </w:rPr>
        <w:t>:</w:t>
      </w:r>
      <w:r w:rsidR="00614FED">
        <w:rPr>
          <w:lang w:val="nl-NL"/>
        </w:rPr>
        <w:t xml:space="preserve"> Welke mogelijkheden zijn</w:t>
      </w:r>
      <w:r w:rsidR="00B25E7B">
        <w:rPr>
          <w:lang w:val="nl-NL"/>
        </w:rPr>
        <w:t xml:space="preserve"> in</w:t>
      </w:r>
      <w:r w:rsidR="00614FED">
        <w:rPr>
          <w:lang w:val="nl-NL"/>
        </w:rPr>
        <w:t xml:space="preserve"> de vormgeving van de </w:t>
      </w:r>
      <w:r w:rsidR="008D3021">
        <w:rPr>
          <w:lang w:val="nl-NL"/>
        </w:rPr>
        <w:t xml:space="preserve">inkomensvoorziening voor ouderen </w:t>
      </w:r>
      <w:r w:rsidR="00614FED">
        <w:rPr>
          <w:lang w:val="nl-NL"/>
        </w:rPr>
        <w:t xml:space="preserve">aan te passen waarbij belemmeringen rondom samenwonen, </w:t>
      </w:r>
      <w:r w:rsidR="00134585">
        <w:rPr>
          <w:lang w:val="nl-NL"/>
        </w:rPr>
        <w:t xml:space="preserve">samenwonen, het verlenen van mantelzorg en </w:t>
      </w:r>
      <w:r>
        <w:rPr>
          <w:lang w:val="nl-NL"/>
        </w:rPr>
        <w:t>doorstroming op de woningmarkt</w:t>
      </w:r>
      <w:r w:rsidR="00614FED">
        <w:rPr>
          <w:lang w:val="nl-NL"/>
        </w:rPr>
        <w:t xml:space="preserve"> worden weggenomen</w:t>
      </w:r>
      <w:r>
        <w:rPr>
          <w:lang w:val="nl-NL"/>
        </w:rPr>
        <w:t xml:space="preserve">? </w:t>
      </w:r>
    </w:p>
    <w:p w:rsidRPr="002C4458" w:rsidR="006E675C" w:rsidP="002C4458" w:rsidRDefault="007B25F7" w14:paraId="6F6E7D39" w14:textId="59B52C54">
      <w:pPr>
        <w:pStyle w:val="Lijstalinea"/>
        <w:numPr>
          <w:ilvl w:val="0"/>
          <w:numId w:val="2"/>
        </w:numPr>
        <w:spacing w:after="0"/>
        <w:rPr>
          <w:lang w:val="nl-NL"/>
        </w:rPr>
      </w:pPr>
      <w:r w:rsidRPr="002C4458">
        <w:rPr>
          <w:lang w:val="nl-NL"/>
        </w:rPr>
        <w:t xml:space="preserve">Uitvoering: </w:t>
      </w:r>
      <w:r w:rsidRPr="002C4458" w:rsidR="00D20CD1">
        <w:rPr>
          <w:lang w:val="nl-NL"/>
        </w:rPr>
        <w:t>i</w:t>
      </w:r>
      <w:r w:rsidRPr="002C4458" w:rsidR="007F00F1">
        <w:rPr>
          <w:lang w:val="nl-NL"/>
        </w:rPr>
        <w:t xml:space="preserve">s de huidige vormgeving van de </w:t>
      </w:r>
      <w:r w:rsidR="008D3021">
        <w:rPr>
          <w:lang w:val="nl-NL"/>
        </w:rPr>
        <w:t>inkomensvoorziening voor ouderen</w:t>
      </w:r>
      <w:r w:rsidRPr="002C4458" w:rsidR="008D3021">
        <w:rPr>
          <w:lang w:val="nl-NL"/>
        </w:rPr>
        <w:t xml:space="preserve"> </w:t>
      </w:r>
      <w:r w:rsidRPr="002C4458" w:rsidR="007F00F1">
        <w:rPr>
          <w:lang w:val="nl-NL"/>
        </w:rPr>
        <w:t>op lange termijn uitvoerbaar</w:t>
      </w:r>
      <w:r w:rsidRPr="002C4458" w:rsidR="00B118B6">
        <w:rPr>
          <w:lang w:val="nl-NL"/>
        </w:rPr>
        <w:t>, ook met het oog op toegenomen arbeidsmigratie</w:t>
      </w:r>
      <w:r w:rsidRPr="002C4458" w:rsidR="007F00F1">
        <w:rPr>
          <w:lang w:val="nl-NL"/>
        </w:rPr>
        <w:t xml:space="preserve">? </w:t>
      </w:r>
      <w:r w:rsidRPr="002C4458">
        <w:rPr>
          <w:lang w:val="nl-NL"/>
        </w:rPr>
        <w:t>Hoe kan de uitvoering van de AOW worden vereenvoudigd?</w:t>
      </w:r>
    </w:p>
    <w:p w:rsidR="002C4458" w:rsidP="00F735A5" w:rsidRDefault="002C4458" w14:paraId="09E14B22" w14:textId="77777777">
      <w:pPr>
        <w:spacing w:after="0"/>
        <w:rPr>
          <w:lang w:val="nl-NL"/>
        </w:rPr>
      </w:pPr>
    </w:p>
    <w:p w:rsidRPr="00F735A5" w:rsidR="006E675C" w:rsidP="00F735A5" w:rsidRDefault="000A7B6E" w14:paraId="49543219" w14:textId="484B9326">
      <w:pPr>
        <w:spacing w:after="0"/>
        <w:rPr>
          <w:caps/>
          <w:lang w:val="nl-NL"/>
        </w:rPr>
      </w:pPr>
      <w:r>
        <w:rPr>
          <w:lang w:val="nl-NL"/>
        </w:rPr>
        <w:t xml:space="preserve">Bij het uitwerken van de beleidsopties moeten ook </w:t>
      </w:r>
      <w:r w:rsidR="00B25E7B">
        <w:rPr>
          <w:lang w:val="nl-NL"/>
        </w:rPr>
        <w:t xml:space="preserve">de uitvoeringsaspecten, de </w:t>
      </w:r>
      <w:r>
        <w:rPr>
          <w:lang w:val="nl-NL"/>
        </w:rPr>
        <w:t xml:space="preserve">mogelijke ‘ingroeipaden’ </w:t>
      </w:r>
      <w:r w:rsidR="00D12DBB">
        <w:rPr>
          <w:lang w:val="nl-NL"/>
        </w:rPr>
        <w:t xml:space="preserve">en overgangsrecht </w:t>
      </w:r>
      <w:r>
        <w:rPr>
          <w:lang w:val="nl-NL"/>
        </w:rPr>
        <w:t>bij de beleidsopties worden uitgewerkt.</w:t>
      </w:r>
      <w:r w:rsidR="00C97A86">
        <w:rPr>
          <w:lang w:val="nl-NL"/>
        </w:rPr>
        <w:t xml:space="preserve"> Daarnaast is er ook aandacht voor </w:t>
      </w:r>
      <w:r w:rsidRPr="00C97A86" w:rsidR="00C97A86">
        <w:rPr>
          <w:lang w:val="nl-NL"/>
        </w:rPr>
        <w:t>de interactie-effecten met andere beleidsterreinen, zoals eigen betalingen in de zorg</w:t>
      </w:r>
      <w:r w:rsidR="00C97A86">
        <w:rPr>
          <w:lang w:val="nl-NL"/>
        </w:rPr>
        <w:t>.</w:t>
      </w:r>
      <w:r w:rsidRPr="00C97A86" w:rsidR="00C97A86">
        <w:rPr>
          <w:lang w:val="nl-NL"/>
        </w:rPr>
        <w:t xml:space="preserve"> </w:t>
      </w:r>
    </w:p>
    <w:p w:rsidRPr="002F37EC" w:rsidR="005E2C05" w:rsidP="00947580" w:rsidRDefault="005E2C05" w14:paraId="78157FFF" w14:textId="4DE9A6AD">
      <w:pPr>
        <w:spacing w:after="0"/>
        <w:rPr>
          <w:lang w:val="nl-NL"/>
        </w:rPr>
      </w:pPr>
    </w:p>
    <w:p w:rsidRPr="002F37EC" w:rsidR="009F3D62" w:rsidP="00947580" w:rsidRDefault="009F3D62" w14:paraId="693E5BEE" w14:textId="4253164E">
      <w:pPr>
        <w:spacing w:after="0"/>
        <w:rPr>
          <w:b/>
          <w:bCs/>
          <w:lang w:val="nl-NL"/>
        </w:rPr>
      </w:pPr>
      <w:r w:rsidRPr="002F37EC">
        <w:rPr>
          <w:b/>
          <w:bCs/>
          <w:lang w:val="nl-NL"/>
        </w:rPr>
        <w:t>Grondslag</w:t>
      </w:r>
    </w:p>
    <w:p w:rsidR="0044773B" w:rsidP="00382B47" w:rsidRDefault="0044773B" w14:paraId="569F1CC3" w14:textId="69A12446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De uitgaven aan AOW op</w:t>
      </w:r>
      <w:r w:rsidRPr="004F7F62">
        <w:rPr>
          <w:lang w:val="nl-NL"/>
        </w:rPr>
        <w:t xml:space="preserve"> </w:t>
      </w:r>
      <w:r>
        <w:rPr>
          <w:lang w:val="nl-NL"/>
        </w:rPr>
        <w:t>a</w:t>
      </w:r>
      <w:r w:rsidRPr="004F7F62">
        <w:rPr>
          <w:lang w:val="nl-NL"/>
        </w:rPr>
        <w:t xml:space="preserve">rtikel 8 (Oudedagvoorziening) </w:t>
      </w:r>
      <w:r w:rsidR="00674C9C">
        <w:rPr>
          <w:lang w:val="nl-NL"/>
        </w:rPr>
        <w:t xml:space="preserve">van de </w:t>
      </w:r>
      <w:proofErr w:type="gramStart"/>
      <w:r w:rsidR="00674C9C">
        <w:rPr>
          <w:lang w:val="nl-NL"/>
        </w:rPr>
        <w:t>SZW begroting</w:t>
      </w:r>
      <w:proofErr w:type="gramEnd"/>
    </w:p>
    <w:p w:rsidRPr="00382B47" w:rsidR="009F3D62" w:rsidP="00382B47" w:rsidRDefault="00382B47" w14:paraId="68CC3C5C" w14:textId="18E7C277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De</w:t>
      </w:r>
      <w:r w:rsidRPr="00382B47" w:rsidR="000B6C42">
        <w:rPr>
          <w:lang w:val="nl-NL"/>
        </w:rPr>
        <w:t xml:space="preserve"> uitgaven aan AIO op artikel 2 (Bijstand, Participatiewet en Toeslagenwet)</w:t>
      </w:r>
      <w:r w:rsidR="00674C9C">
        <w:rPr>
          <w:lang w:val="nl-NL"/>
        </w:rPr>
        <w:t xml:space="preserve"> van de </w:t>
      </w:r>
      <w:proofErr w:type="gramStart"/>
      <w:r w:rsidR="00674C9C">
        <w:rPr>
          <w:lang w:val="nl-NL"/>
        </w:rPr>
        <w:t>SZW begroting</w:t>
      </w:r>
      <w:proofErr w:type="gramEnd"/>
    </w:p>
    <w:p w:rsidRPr="00382B47" w:rsidR="000B6C42" w:rsidP="00382B47" w:rsidRDefault="000B6C42" w14:paraId="5D6BB9FB" w14:textId="01F013BE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0382B47">
        <w:rPr>
          <w:lang w:val="nl-NL"/>
        </w:rPr>
        <w:t xml:space="preserve">De </w:t>
      </w:r>
      <w:proofErr w:type="gramStart"/>
      <w:r w:rsidRPr="00382B47">
        <w:rPr>
          <w:lang w:val="nl-NL"/>
        </w:rPr>
        <w:t>AOW premie</w:t>
      </w:r>
      <w:proofErr w:type="gramEnd"/>
      <w:r w:rsidRPr="00382B47">
        <w:rPr>
          <w:lang w:val="nl-NL"/>
        </w:rPr>
        <w:t>-inkomsten</w:t>
      </w:r>
    </w:p>
    <w:p w:rsidR="000B6C42" w:rsidP="00382B47" w:rsidRDefault="000B6C42" w14:paraId="05738F11" w14:textId="6FB2AE41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 w:rsidRPr="00382B47">
        <w:rPr>
          <w:lang w:val="nl-NL"/>
        </w:rPr>
        <w:t>Fiscale ouderenregelingen</w:t>
      </w:r>
    </w:p>
    <w:p w:rsidRPr="00382B47" w:rsidR="00C31D09" w:rsidP="00382B47" w:rsidRDefault="00B118B6" w14:paraId="78485B3B" w14:textId="4D7038FF">
      <w:pPr>
        <w:pStyle w:val="Lijstalinea"/>
        <w:numPr>
          <w:ilvl w:val="0"/>
          <w:numId w:val="3"/>
        </w:numPr>
        <w:spacing w:after="0"/>
        <w:rPr>
          <w:lang w:val="nl-NL"/>
        </w:rPr>
      </w:pPr>
      <w:r>
        <w:rPr>
          <w:lang w:val="nl-NL"/>
        </w:rPr>
        <w:t>Gemeentelijke regelingen</w:t>
      </w:r>
      <w:r w:rsidR="005560C4">
        <w:rPr>
          <w:lang w:val="nl-NL"/>
        </w:rPr>
        <w:t xml:space="preserve"> gericht op senioren met een laag inkomen</w:t>
      </w:r>
    </w:p>
    <w:p w:rsidR="00382B47" w:rsidP="00947580" w:rsidRDefault="00382B47" w14:paraId="32903FA0" w14:textId="77777777">
      <w:pPr>
        <w:spacing w:after="0"/>
        <w:rPr>
          <w:b/>
          <w:bCs/>
          <w:lang w:val="nl-NL"/>
        </w:rPr>
      </w:pPr>
    </w:p>
    <w:p w:rsidRPr="002F37EC" w:rsidR="009F3D62" w:rsidP="00947580" w:rsidRDefault="009F3D62" w14:paraId="3D9D0381" w14:textId="080E95AA">
      <w:pPr>
        <w:spacing w:after="0"/>
        <w:rPr>
          <w:b/>
          <w:bCs/>
          <w:lang w:val="nl-NL"/>
        </w:rPr>
      </w:pPr>
      <w:r w:rsidRPr="002F37EC">
        <w:rPr>
          <w:b/>
          <w:bCs/>
          <w:lang w:val="nl-NL"/>
        </w:rPr>
        <w:t>Organisatie</w:t>
      </w:r>
    </w:p>
    <w:p w:rsidR="001F4145" w:rsidP="00152C77" w:rsidRDefault="009F3D62" w14:paraId="04DCD47C" w14:textId="6F27A12D">
      <w:pPr>
        <w:spacing w:after="0"/>
        <w:rPr>
          <w:lang w:val="nl-NL"/>
        </w:rPr>
      </w:pPr>
      <w:r w:rsidRPr="002F37EC">
        <w:rPr>
          <w:lang w:val="nl-NL"/>
        </w:rPr>
        <w:t xml:space="preserve">De werkgroep bestaat uit vertegenwoordigers van </w:t>
      </w:r>
      <w:r w:rsidR="005560C4">
        <w:rPr>
          <w:lang w:val="nl-NL"/>
        </w:rPr>
        <w:t xml:space="preserve">AZ, </w:t>
      </w:r>
      <w:r w:rsidRPr="002F37EC">
        <w:rPr>
          <w:lang w:val="nl-NL"/>
        </w:rPr>
        <w:t>FIN</w:t>
      </w:r>
      <w:r w:rsidR="00F97060">
        <w:rPr>
          <w:lang w:val="nl-NL"/>
        </w:rPr>
        <w:t>,</w:t>
      </w:r>
      <w:r w:rsidR="00614FED">
        <w:rPr>
          <w:lang w:val="nl-NL"/>
        </w:rPr>
        <w:t xml:space="preserve"> BZK</w:t>
      </w:r>
      <w:r w:rsidR="00A67659">
        <w:rPr>
          <w:lang w:val="nl-NL"/>
        </w:rPr>
        <w:t>,</w:t>
      </w:r>
      <w:r w:rsidR="00F97060">
        <w:rPr>
          <w:lang w:val="nl-NL"/>
        </w:rPr>
        <w:t xml:space="preserve"> SVB </w:t>
      </w:r>
      <w:r w:rsidR="005560C4">
        <w:rPr>
          <w:lang w:val="nl-NL"/>
        </w:rPr>
        <w:t>en</w:t>
      </w:r>
      <w:r w:rsidRPr="002F37EC">
        <w:rPr>
          <w:lang w:val="nl-NL"/>
        </w:rPr>
        <w:t xml:space="preserve"> SZW. Ook word</w:t>
      </w:r>
      <w:r w:rsidR="00A67659">
        <w:rPr>
          <w:lang w:val="nl-NL"/>
        </w:rPr>
        <w:t>t een</w:t>
      </w:r>
      <w:r w:rsidRPr="002F37EC">
        <w:rPr>
          <w:lang w:val="nl-NL"/>
        </w:rPr>
        <w:t xml:space="preserve"> expert van CPB verzocht om deel te nemen aan de werkgroep. De voorzitter wordt ondersteund door secretarissen van de ministeries van FIN en SZW. Het onderzoek start in </w:t>
      </w:r>
      <w:r w:rsidR="00F45643">
        <w:rPr>
          <w:lang w:val="nl-NL"/>
        </w:rPr>
        <w:t>december</w:t>
      </w:r>
      <w:r w:rsidRPr="002F37EC">
        <w:rPr>
          <w:lang w:val="nl-NL"/>
        </w:rPr>
        <w:t xml:space="preserve">. De werkgroep rond haar eindrapport uiterlijk </w:t>
      </w:r>
      <w:r w:rsidR="00AD7D43">
        <w:rPr>
          <w:lang w:val="nl-NL"/>
        </w:rPr>
        <w:t xml:space="preserve">in de </w:t>
      </w:r>
      <w:r w:rsidR="00B56EDE">
        <w:rPr>
          <w:lang w:val="nl-NL"/>
        </w:rPr>
        <w:t>september</w:t>
      </w:r>
      <w:r w:rsidR="00F45643">
        <w:rPr>
          <w:lang w:val="nl-NL"/>
        </w:rPr>
        <w:t xml:space="preserve"> </w:t>
      </w:r>
      <w:r w:rsidR="00AD7D43">
        <w:rPr>
          <w:lang w:val="nl-NL"/>
        </w:rPr>
        <w:t xml:space="preserve">van </w:t>
      </w:r>
      <w:r w:rsidR="00B118B6">
        <w:rPr>
          <w:lang w:val="nl-NL"/>
        </w:rPr>
        <w:t>2026</w:t>
      </w:r>
      <w:r w:rsidRPr="002F37EC">
        <w:rPr>
          <w:lang w:val="nl-NL"/>
        </w:rPr>
        <w:t xml:space="preserve"> af. De omvang van het rapport is niet groter dan dertig bladzijden plus een samenvatting van maximaal vijf bladzijden.</w:t>
      </w:r>
    </w:p>
    <w:sectPr w:rsidR="001F4145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64C2" w14:textId="77777777" w:rsidR="00520B07" w:rsidRDefault="00520B07" w:rsidP="00947580">
      <w:pPr>
        <w:spacing w:after="0" w:line="240" w:lineRule="auto"/>
      </w:pPr>
      <w:r>
        <w:separator/>
      </w:r>
    </w:p>
  </w:endnote>
  <w:endnote w:type="continuationSeparator" w:id="0">
    <w:p w14:paraId="6B703B4E" w14:textId="77777777" w:rsidR="00520B07" w:rsidRDefault="00520B07" w:rsidP="00947580">
      <w:pPr>
        <w:spacing w:after="0" w:line="240" w:lineRule="auto"/>
      </w:pPr>
      <w:r>
        <w:continuationSeparator/>
      </w:r>
    </w:p>
  </w:endnote>
  <w:endnote w:type="continuationNotice" w:id="1">
    <w:p w14:paraId="53FBBB86" w14:textId="77777777" w:rsidR="00520B07" w:rsidRDefault="00520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33A0" w14:textId="77777777" w:rsidR="00520B07" w:rsidRDefault="00520B07" w:rsidP="00947580">
      <w:pPr>
        <w:spacing w:after="0" w:line="240" w:lineRule="auto"/>
      </w:pPr>
      <w:r>
        <w:separator/>
      </w:r>
    </w:p>
  </w:footnote>
  <w:footnote w:type="continuationSeparator" w:id="0">
    <w:p w14:paraId="53B95B18" w14:textId="77777777" w:rsidR="00520B07" w:rsidRDefault="00520B07" w:rsidP="00947580">
      <w:pPr>
        <w:spacing w:after="0" w:line="240" w:lineRule="auto"/>
      </w:pPr>
      <w:r>
        <w:continuationSeparator/>
      </w:r>
    </w:p>
  </w:footnote>
  <w:footnote w:type="continuationNotice" w:id="1">
    <w:p w14:paraId="5D09823D" w14:textId="77777777" w:rsidR="00520B07" w:rsidRDefault="00520B07">
      <w:pPr>
        <w:spacing w:after="0" w:line="240" w:lineRule="auto"/>
      </w:pPr>
    </w:p>
  </w:footnote>
  <w:footnote w:id="2">
    <w:p w14:paraId="28B0011B" w14:textId="7A00514D" w:rsidR="002D62AD" w:rsidRPr="00854E7E" w:rsidRDefault="002D62AD" w:rsidP="002D62AD">
      <w:pPr>
        <w:pStyle w:val="Voetnoottekst"/>
        <w:rPr>
          <w:sz w:val="16"/>
          <w:szCs w:val="16"/>
          <w:lang w:val="nl-NL"/>
        </w:rPr>
      </w:pPr>
      <w:r w:rsidRPr="00854E7E">
        <w:rPr>
          <w:rStyle w:val="Voetnootmarkering"/>
          <w:sz w:val="16"/>
          <w:szCs w:val="16"/>
        </w:rPr>
        <w:footnoteRef/>
      </w:r>
      <w:r w:rsidRPr="00854E7E">
        <w:rPr>
          <w:sz w:val="16"/>
          <w:szCs w:val="16"/>
          <w:lang w:val="nl-NL"/>
        </w:rPr>
        <w:t xml:space="preserve"> </w:t>
      </w:r>
      <w:hyperlink r:id="rId1" w:history="1">
        <w:r w:rsidR="00674C9C" w:rsidRPr="00336A07">
          <w:rPr>
            <w:rStyle w:val="Hyperlink"/>
            <w:sz w:val="16"/>
            <w:szCs w:val="16"/>
            <w:lang w:val="nl-NL"/>
          </w:rPr>
          <w:t>https://open.overheid.nl/documenten/5c71238d-ee9a-43e7-86ff-8fe29bc19938/file</w:t>
        </w:r>
      </w:hyperlink>
      <w:r w:rsidR="00674C9C">
        <w:rPr>
          <w:sz w:val="16"/>
          <w:szCs w:val="16"/>
          <w:lang w:val="nl-NL"/>
        </w:rPr>
        <w:t xml:space="preserve"> </w:t>
      </w:r>
    </w:p>
  </w:footnote>
  <w:footnote w:id="3">
    <w:p w14:paraId="4D04BCB5" w14:textId="3BBF642F" w:rsidR="00FC5B11" w:rsidRPr="00854E7E" w:rsidRDefault="00FC5B11">
      <w:pPr>
        <w:pStyle w:val="Voetnoottekst"/>
        <w:rPr>
          <w:sz w:val="16"/>
          <w:szCs w:val="16"/>
          <w:lang w:val="nl-NL"/>
        </w:rPr>
      </w:pPr>
      <w:r w:rsidRPr="00854E7E">
        <w:rPr>
          <w:rStyle w:val="Voetnootmarkering"/>
          <w:sz w:val="16"/>
          <w:szCs w:val="16"/>
        </w:rPr>
        <w:footnoteRef/>
      </w:r>
      <w:r w:rsidRPr="00854E7E">
        <w:rPr>
          <w:sz w:val="16"/>
          <w:szCs w:val="16"/>
          <w:lang w:val="nl-NL"/>
        </w:rPr>
        <w:t xml:space="preserve"> Overige wijzigingen die zijn doorgevoerd om het budgettair beslag van de AOW te beperken zijn: het afschaffen van de AOW-partnertoeslag (2015) en het afschaffen van de Inkomensondersteuning AOW (2025).  </w:t>
      </w:r>
    </w:p>
  </w:footnote>
  <w:footnote w:id="4">
    <w:p w14:paraId="03BC0F5A" w14:textId="2C5D2B45" w:rsidR="00AD7D43" w:rsidRPr="008539AA" w:rsidRDefault="00AD7D43">
      <w:pPr>
        <w:pStyle w:val="Voetnoottekst"/>
        <w:rPr>
          <w:lang w:val="nl-NL"/>
        </w:rPr>
      </w:pPr>
      <w:r w:rsidRPr="008539AA">
        <w:rPr>
          <w:rStyle w:val="Voetnootmarkering"/>
          <w:sz w:val="16"/>
          <w:szCs w:val="16"/>
        </w:rPr>
        <w:footnoteRef/>
      </w:r>
      <w:r w:rsidRPr="008539AA">
        <w:rPr>
          <w:sz w:val="16"/>
          <w:szCs w:val="16"/>
          <w:lang w:val="nl-NL"/>
        </w:rPr>
        <w:t xml:space="preserve"> </w:t>
      </w:r>
      <w:r w:rsidR="00854E7E" w:rsidRPr="008539AA">
        <w:rPr>
          <w:sz w:val="16"/>
          <w:szCs w:val="16"/>
          <w:lang w:val="nl-NL"/>
        </w:rPr>
        <w:t>Zie ook de publicaties ‘Armoede en sociale uitsluiting 2023’ van het CBS en het rapport ‘Een zeker bestaan’ van de Commissie Sociaal Minimum uit 2023</w:t>
      </w:r>
    </w:p>
  </w:footnote>
  <w:footnote w:id="5">
    <w:p w14:paraId="10873ADD" w14:textId="0E25C490" w:rsidR="005560C4" w:rsidRPr="005560C4" w:rsidRDefault="005560C4">
      <w:pPr>
        <w:pStyle w:val="Voetnoottekst"/>
        <w:rPr>
          <w:sz w:val="16"/>
          <w:szCs w:val="16"/>
          <w:lang w:val="nl-NL"/>
        </w:rPr>
      </w:pPr>
      <w:r w:rsidRPr="00134585">
        <w:rPr>
          <w:rStyle w:val="Voetnootmarkering"/>
          <w:sz w:val="16"/>
          <w:szCs w:val="16"/>
        </w:rPr>
        <w:footnoteRef/>
      </w:r>
      <w:r w:rsidRPr="00134585">
        <w:rPr>
          <w:sz w:val="16"/>
          <w:szCs w:val="16"/>
          <w:lang w:val="nl-NL"/>
        </w:rPr>
        <w:t xml:space="preserve"> </w:t>
      </w:r>
      <w:proofErr w:type="gramStart"/>
      <w:r w:rsidR="00AE39ED">
        <w:rPr>
          <w:sz w:val="16"/>
          <w:szCs w:val="16"/>
          <w:lang w:val="nl-NL"/>
        </w:rPr>
        <w:t>zie</w:t>
      </w:r>
      <w:proofErr w:type="gramEnd"/>
      <w:r w:rsidR="00AE39ED">
        <w:rPr>
          <w:sz w:val="16"/>
          <w:szCs w:val="16"/>
          <w:lang w:val="nl-NL"/>
        </w:rPr>
        <w:t xml:space="preserve"> ook de oproep in de knelpuntenbrief van de SVB over een </w:t>
      </w:r>
      <w:hyperlink r:id="rId2" w:history="1">
        <w:r w:rsidR="002E691B" w:rsidRPr="008539AA">
          <w:rPr>
            <w:rStyle w:val="Hyperlink"/>
            <w:sz w:val="16"/>
            <w:szCs w:val="16"/>
            <w:lang w:val="nl-NL"/>
          </w:rPr>
          <w:t>Toekomstbestendige AOW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50F"/>
    <w:multiLevelType w:val="hybridMultilevel"/>
    <w:tmpl w:val="2F52ADB6"/>
    <w:lvl w:ilvl="0" w:tplc="F3B028A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6B7"/>
    <w:multiLevelType w:val="hybridMultilevel"/>
    <w:tmpl w:val="182A4A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0162"/>
    <w:multiLevelType w:val="hybridMultilevel"/>
    <w:tmpl w:val="6A46A016"/>
    <w:lvl w:ilvl="0" w:tplc="F3B028A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5098F"/>
    <w:multiLevelType w:val="hybridMultilevel"/>
    <w:tmpl w:val="B6C2E096"/>
    <w:lvl w:ilvl="0" w:tplc="808888B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C12E823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802A575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4ED48FD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B3820CA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CCD6A9B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28D009A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CE229B3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A25AE2E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4" w15:restartNumberingAfterBreak="0">
    <w:nsid w:val="63091CAF"/>
    <w:multiLevelType w:val="hybridMultilevel"/>
    <w:tmpl w:val="2B26D4F4"/>
    <w:lvl w:ilvl="0" w:tplc="4EA2F5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04C47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3B0DE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9003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986CA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4D256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E5E20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D1489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AC45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809546615">
    <w:abstractNumId w:val="1"/>
  </w:num>
  <w:num w:numId="2" w16cid:durableId="79448551">
    <w:abstractNumId w:val="0"/>
  </w:num>
  <w:num w:numId="3" w16cid:durableId="1486360633">
    <w:abstractNumId w:val="2"/>
  </w:num>
  <w:num w:numId="4" w16cid:durableId="1705594320">
    <w:abstractNumId w:val="4"/>
  </w:num>
  <w:num w:numId="5" w16cid:durableId="617370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62"/>
    <w:rsid w:val="000006CD"/>
    <w:rsid w:val="00007366"/>
    <w:rsid w:val="00010A1D"/>
    <w:rsid w:val="00017E5D"/>
    <w:rsid w:val="00021E58"/>
    <w:rsid w:val="00065B18"/>
    <w:rsid w:val="000A7B6E"/>
    <w:rsid w:val="000B1E2E"/>
    <w:rsid w:val="000B6C42"/>
    <w:rsid w:val="000B747D"/>
    <w:rsid w:val="000D5008"/>
    <w:rsid w:val="00102180"/>
    <w:rsid w:val="001031DB"/>
    <w:rsid w:val="00103EAA"/>
    <w:rsid w:val="00115BFD"/>
    <w:rsid w:val="001174F8"/>
    <w:rsid w:val="00125B17"/>
    <w:rsid w:val="00134585"/>
    <w:rsid w:val="00143EF0"/>
    <w:rsid w:val="00146BC3"/>
    <w:rsid w:val="00152C77"/>
    <w:rsid w:val="001553B8"/>
    <w:rsid w:val="0015652D"/>
    <w:rsid w:val="0017667E"/>
    <w:rsid w:val="001A2C4A"/>
    <w:rsid w:val="001A362B"/>
    <w:rsid w:val="001A3FF6"/>
    <w:rsid w:val="001C2523"/>
    <w:rsid w:val="001C283B"/>
    <w:rsid w:val="001C445F"/>
    <w:rsid w:val="001C669E"/>
    <w:rsid w:val="001D2536"/>
    <w:rsid w:val="001D391F"/>
    <w:rsid w:val="001E4214"/>
    <w:rsid w:val="001E6A24"/>
    <w:rsid w:val="001F2C83"/>
    <w:rsid w:val="001F3EBA"/>
    <w:rsid w:val="001F4145"/>
    <w:rsid w:val="001F4ED4"/>
    <w:rsid w:val="002143C3"/>
    <w:rsid w:val="00225639"/>
    <w:rsid w:val="002379FA"/>
    <w:rsid w:val="0028069D"/>
    <w:rsid w:val="0028129A"/>
    <w:rsid w:val="002960F4"/>
    <w:rsid w:val="002A7669"/>
    <w:rsid w:val="002B4241"/>
    <w:rsid w:val="002C4458"/>
    <w:rsid w:val="002D62AD"/>
    <w:rsid w:val="002D6D6C"/>
    <w:rsid w:val="002E0258"/>
    <w:rsid w:val="002E2CAA"/>
    <w:rsid w:val="002E691B"/>
    <w:rsid w:val="002F19B7"/>
    <w:rsid w:val="002F2D7E"/>
    <w:rsid w:val="002F37EC"/>
    <w:rsid w:val="002F4E3A"/>
    <w:rsid w:val="002F57E3"/>
    <w:rsid w:val="00303715"/>
    <w:rsid w:val="003427A7"/>
    <w:rsid w:val="00360110"/>
    <w:rsid w:val="00382B47"/>
    <w:rsid w:val="003A631F"/>
    <w:rsid w:val="003B0119"/>
    <w:rsid w:val="003B3E30"/>
    <w:rsid w:val="003B6EC4"/>
    <w:rsid w:val="003C1B0C"/>
    <w:rsid w:val="003D33C7"/>
    <w:rsid w:val="003D4334"/>
    <w:rsid w:val="003E6095"/>
    <w:rsid w:val="00406C40"/>
    <w:rsid w:val="00417113"/>
    <w:rsid w:val="0042341B"/>
    <w:rsid w:val="00433129"/>
    <w:rsid w:val="0044773B"/>
    <w:rsid w:val="00451D81"/>
    <w:rsid w:val="00452885"/>
    <w:rsid w:val="004557F2"/>
    <w:rsid w:val="004569F7"/>
    <w:rsid w:val="00460520"/>
    <w:rsid w:val="00465C93"/>
    <w:rsid w:val="00482875"/>
    <w:rsid w:val="00493922"/>
    <w:rsid w:val="004960B8"/>
    <w:rsid w:val="004B7040"/>
    <w:rsid w:val="004E30A6"/>
    <w:rsid w:val="004F2233"/>
    <w:rsid w:val="00515624"/>
    <w:rsid w:val="00516547"/>
    <w:rsid w:val="00520B07"/>
    <w:rsid w:val="005334AE"/>
    <w:rsid w:val="00535129"/>
    <w:rsid w:val="005560C4"/>
    <w:rsid w:val="0056193B"/>
    <w:rsid w:val="00570765"/>
    <w:rsid w:val="005B493B"/>
    <w:rsid w:val="005B6451"/>
    <w:rsid w:val="005C246C"/>
    <w:rsid w:val="005C4DB2"/>
    <w:rsid w:val="005D35D2"/>
    <w:rsid w:val="005E0683"/>
    <w:rsid w:val="005E2C05"/>
    <w:rsid w:val="005E2D54"/>
    <w:rsid w:val="005F3C1C"/>
    <w:rsid w:val="00610B75"/>
    <w:rsid w:val="00614FED"/>
    <w:rsid w:val="006171F4"/>
    <w:rsid w:val="00646119"/>
    <w:rsid w:val="00656246"/>
    <w:rsid w:val="00674C9C"/>
    <w:rsid w:val="00691ED7"/>
    <w:rsid w:val="00694735"/>
    <w:rsid w:val="00694FA5"/>
    <w:rsid w:val="006A13BF"/>
    <w:rsid w:val="006A4FCC"/>
    <w:rsid w:val="006B2D7C"/>
    <w:rsid w:val="006B55EA"/>
    <w:rsid w:val="006C7924"/>
    <w:rsid w:val="006E675C"/>
    <w:rsid w:val="006F5567"/>
    <w:rsid w:val="00711DB1"/>
    <w:rsid w:val="00712EE4"/>
    <w:rsid w:val="00724B59"/>
    <w:rsid w:val="00735237"/>
    <w:rsid w:val="007456C1"/>
    <w:rsid w:val="007538A2"/>
    <w:rsid w:val="00793017"/>
    <w:rsid w:val="007A6BD6"/>
    <w:rsid w:val="007B25F7"/>
    <w:rsid w:val="007B40FA"/>
    <w:rsid w:val="007B4CA4"/>
    <w:rsid w:val="007E15C8"/>
    <w:rsid w:val="007F00F1"/>
    <w:rsid w:val="007F093B"/>
    <w:rsid w:val="007F1704"/>
    <w:rsid w:val="008005C6"/>
    <w:rsid w:val="00806BE3"/>
    <w:rsid w:val="00807B32"/>
    <w:rsid w:val="00812F34"/>
    <w:rsid w:val="00813A06"/>
    <w:rsid w:val="008235EE"/>
    <w:rsid w:val="0084603A"/>
    <w:rsid w:val="0085109A"/>
    <w:rsid w:val="008539AA"/>
    <w:rsid w:val="00854E7E"/>
    <w:rsid w:val="00866408"/>
    <w:rsid w:val="008707FF"/>
    <w:rsid w:val="00874BDD"/>
    <w:rsid w:val="0088739C"/>
    <w:rsid w:val="00890B09"/>
    <w:rsid w:val="008A6A61"/>
    <w:rsid w:val="008A6F0F"/>
    <w:rsid w:val="008C0093"/>
    <w:rsid w:val="008C2187"/>
    <w:rsid w:val="008D3021"/>
    <w:rsid w:val="008D4674"/>
    <w:rsid w:val="008E0D49"/>
    <w:rsid w:val="008F5DDB"/>
    <w:rsid w:val="009137FF"/>
    <w:rsid w:val="009152F8"/>
    <w:rsid w:val="0091728D"/>
    <w:rsid w:val="00922B7D"/>
    <w:rsid w:val="0093235C"/>
    <w:rsid w:val="00934886"/>
    <w:rsid w:val="00935BFC"/>
    <w:rsid w:val="00945C01"/>
    <w:rsid w:val="00947580"/>
    <w:rsid w:val="0096236C"/>
    <w:rsid w:val="009632BA"/>
    <w:rsid w:val="00973945"/>
    <w:rsid w:val="00985AD4"/>
    <w:rsid w:val="00986D17"/>
    <w:rsid w:val="00987095"/>
    <w:rsid w:val="00987CE2"/>
    <w:rsid w:val="00990365"/>
    <w:rsid w:val="009A683E"/>
    <w:rsid w:val="009A7C90"/>
    <w:rsid w:val="009A7EA8"/>
    <w:rsid w:val="009B4A8D"/>
    <w:rsid w:val="009D7AD6"/>
    <w:rsid w:val="009E6049"/>
    <w:rsid w:val="009F29AE"/>
    <w:rsid w:val="009F3D62"/>
    <w:rsid w:val="009F632D"/>
    <w:rsid w:val="00A15846"/>
    <w:rsid w:val="00A169CB"/>
    <w:rsid w:val="00A16D27"/>
    <w:rsid w:val="00A31E5B"/>
    <w:rsid w:val="00A4090E"/>
    <w:rsid w:val="00A67659"/>
    <w:rsid w:val="00A71A79"/>
    <w:rsid w:val="00A860F2"/>
    <w:rsid w:val="00AD122D"/>
    <w:rsid w:val="00AD5786"/>
    <w:rsid w:val="00AD7D43"/>
    <w:rsid w:val="00AE39ED"/>
    <w:rsid w:val="00AF14CB"/>
    <w:rsid w:val="00AF7F07"/>
    <w:rsid w:val="00B06701"/>
    <w:rsid w:val="00B118B6"/>
    <w:rsid w:val="00B25E7B"/>
    <w:rsid w:val="00B3033B"/>
    <w:rsid w:val="00B4275F"/>
    <w:rsid w:val="00B51822"/>
    <w:rsid w:val="00B56EDE"/>
    <w:rsid w:val="00B62F19"/>
    <w:rsid w:val="00B7045E"/>
    <w:rsid w:val="00B71B77"/>
    <w:rsid w:val="00B8183F"/>
    <w:rsid w:val="00BA672D"/>
    <w:rsid w:val="00BA7C3B"/>
    <w:rsid w:val="00BB3D82"/>
    <w:rsid w:val="00BF017B"/>
    <w:rsid w:val="00BF3B2A"/>
    <w:rsid w:val="00BF533A"/>
    <w:rsid w:val="00C03861"/>
    <w:rsid w:val="00C124F7"/>
    <w:rsid w:val="00C12896"/>
    <w:rsid w:val="00C31D09"/>
    <w:rsid w:val="00C40DE4"/>
    <w:rsid w:val="00C463E8"/>
    <w:rsid w:val="00C55A52"/>
    <w:rsid w:val="00C77468"/>
    <w:rsid w:val="00C81298"/>
    <w:rsid w:val="00C85F45"/>
    <w:rsid w:val="00C97A86"/>
    <w:rsid w:val="00CA44B4"/>
    <w:rsid w:val="00CF2019"/>
    <w:rsid w:val="00CF29A5"/>
    <w:rsid w:val="00CF2F2C"/>
    <w:rsid w:val="00CF5338"/>
    <w:rsid w:val="00D11B7C"/>
    <w:rsid w:val="00D12DBB"/>
    <w:rsid w:val="00D20CD1"/>
    <w:rsid w:val="00D354E6"/>
    <w:rsid w:val="00D36514"/>
    <w:rsid w:val="00D4613E"/>
    <w:rsid w:val="00D50EBB"/>
    <w:rsid w:val="00D5532D"/>
    <w:rsid w:val="00D744CA"/>
    <w:rsid w:val="00D74D13"/>
    <w:rsid w:val="00D81B9D"/>
    <w:rsid w:val="00D875B8"/>
    <w:rsid w:val="00DA0652"/>
    <w:rsid w:val="00DA0FCF"/>
    <w:rsid w:val="00DB2213"/>
    <w:rsid w:val="00DC4712"/>
    <w:rsid w:val="00DD132A"/>
    <w:rsid w:val="00DF6EBD"/>
    <w:rsid w:val="00E13ED1"/>
    <w:rsid w:val="00E171F6"/>
    <w:rsid w:val="00E211CB"/>
    <w:rsid w:val="00E21659"/>
    <w:rsid w:val="00E47FAE"/>
    <w:rsid w:val="00E50EF2"/>
    <w:rsid w:val="00E57E8E"/>
    <w:rsid w:val="00E60501"/>
    <w:rsid w:val="00E73751"/>
    <w:rsid w:val="00EA64D4"/>
    <w:rsid w:val="00EC5B67"/>
    <w:rsid w:val="00F05D71"/>
    <w:rsid w:val="00F25B08"/>
    <w:rsid w:val="00F45643"/>
    <w:rsid w:val="00F6030A"/>
    <w:rsid w:val="00F635F2"/>
    <w:rsid w:val="00F735A5"/>
    <w:rsid w:val="00F769B2"/>
    <w:rsid w:val="00F77FF0"/>
    <w:rsid w:val="00F87A23"/>
    <w:rsid w:val="00F97060"/>
    <w:rsid w:val="00FA5FBF"/>
    <w:rsid w:val="00FB38F7"/>
    <w:rsid w:val="00FB53DF"/>
    <w:rsid w:val="00FC3281"/>
    <w:rsid w:val="00FC5B11"/>
    <w:rsid w:val="00FC6B7A"/>
    <w:rsid w:val="00FE2823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D5A9B"/>
  <w15:chartTrackingRefBased/>
  <w15:docId w15:val="{9E55596D-A675-4C3C-A611-7A3D38E8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3D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3D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3D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3D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3D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3D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3D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3D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3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3D6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3D6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3D6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3D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3D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3D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3D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3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3D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3D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3D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3D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3D6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3D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3D62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3D62"/>
    <w:rPr>
      <w:b/>
      <w:bCs/>
      <w:smallCaps/>
      <w:color w:val="2E74B5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4758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758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4758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27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27A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27A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27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27A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769B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D6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6D6C"/>
  </w:style>
  <w:style w:type="paragraph" w:styleId="Voettekst">
    <w:name w:val="footer"/>
    <w:basedOn w:val="Standaard"/>
    <w:link w:val="VoettekstChar"/>
    <w:uiPriority w:val="99"/>
    <w:unhideWhenUsed/>
    <w:rsid w:val="002D6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6D6C"/>
  </w:style>
  <w:style w:type="character" w:styleId="Hyperlink">
    <w:name w:val="Hyperlink"/>
    <w:basedOn w:val="Standaardalinea-lettertype"/>
    <w:uiPriority w:val="99"/>
    <w:unhideWhenUsed/>
    <w:rsid w:val="0064611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611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3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vb.nl/nl/over-de-svb/knelpuntenbrieven/knelpunten-szw/knelpuntenbrief-2025/stand-van-zaken/oproep1-naar-een-toekomstbestendige-aow" TargetMode="External"/><Relationship Id="rId1" Type="http://schemas.openxmlformats.org/officeDocument/2006/relationships/hyperlink" Target="https://open.overheid.nl/documenten/5c71238d-ee9a-43e7-86ff-8fe29bc19938/fil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979</ap:Words>
  <ap:Characters>5388</ap:Characters>
  <ap:DocSecurity>0</ap:DocSecurity>
  <ap:Lines>44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2025-11-14T15:42:00.0000000Z</dcterms:created>
  <dcterms:modified xsi:type="dcterms:W3CDTF">2025-11-14T15:42:00.0000000Z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39f15-c483-4670-87f9-f365ba551dce_Enabled">
    <vt:lpwstr>true</vt:lpwstr>
  </property>
  <property fmtid="{D5CDD505-2E9C-101B-9397-08002B2CF9AE}" pid="3" name="MSIP_Label_f5339f15-c483-4670-87f9-f365ba551dce_SetDate">
    <vt:lpwstr>2025-07-08T09:36:04Z</vt:lpwstr>
  </property>
  <property fmtid="{D5CDD505-2E9C-101B-9397-08002B2CF9AE}" pid="4" name="MSIP_Label_f5339f15-c483-4670-87f9-f365ba551dce_Method">
    <vt:lpwstr>Standard</vt:lpwstr>
  </property>
  <property fmtid="{D5CDD505-2E9C-101B-9397-08002B2CF9AE}" pid="5" name="MSIP_Label_f5339f15-c483-4670-87f9-f365ba551dce_Name">
    <vt:lpwstr>FIN-IRF-Dep. V.</vt:lpwstr>
  </property>
  <property fmtid="{D5CDD505-2E9C-101B-9397-08002B2CF9AE}" pid="6" name="MSIP_Label_f5339f15-c483-4670-87f9-f365ba551dce_SiteId">
    <vt:lpwstr>84712536-f524-40a0-913b-5d25ba502732</vt:lpwstr>
  </property>
  <property fmtid="{D5CDD505-2E9C-101B-9397-08002B2CF9AE}" pid="7" name="MSIP_Label_f5339f15-c483-4670-87f9-f365ba551dce_ActionId">
    <vt:lpwstr>0dc4db2b-2139-4491-bebb-a069035dcae5</vt:lpwstr>
  </property>
  <property fmtid="{D5CDD505-2E9C-101B-9397-08002B2CF9AE}" pid="8" name="MSIP_Label_f5339f15-c483-4670-87f9-f365ba551dce_ContentBits">
    <vt:lpwstr>0</vt:lpwstr>
  </property>
</Properties>
</file>