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D01F459" w14:textId="77777777">
        <w:tc>
          <w:tcPr>
            <w:tcW w:w="6379" w:type="dxa"/>
            <w:gridSpan w:val="2"/>
            <w:tcBorders>
              <w:top w:val="nil"/>
              <w:left w:val="nil"/>
              <w:bottom w:val="nil"/>
              <w:right w:val="nil"/>
            </w:tcBorders>
            <w:vAlign w:val="center"/>
          </w:tcPr>
          <w:p w:rsidR="004330ED" w:rsidP="00EA1CE4" w:rsidRDefault="004330ED" w14:paraId="22DC44B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745D4C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8F37E36" w14:textId="77777777">
        <w:trPr>
          <w:cantSplit/>
        </w:trPr>
        <w:tc>
          <w:tcPr>
            <w:tcW w:w="10348" w:type="dxa"/>
            <w:gridSpan w:val="3"/>
            <w:tcBorders>
              <w:top w:val="single" w:color="auto" w:sz="4" w:space="0"/>
              <w:left w:val="nil"/>
              <w:bottom w:val="nil"/>
              <w:right w:val="nil"/>
            </w:tcBorders>
          </w:tcPr>
          <w:p w:rsidR="004330ED" w:rsidP="006D7738" w:rsidRDefault="004330ED" w14:paraId="5F07CA94" w14:textId="4F214C28">
            <w:pPr>
              <w:pStyle w:val="Amendement"/>
              <w:tabs>
                <w:tab w:val="clear" w:pos="3310"/>
                <w:tab w:val="clear" w:pos="3600"/>
              </w:tabs>
              <w:rPr>
                <w:rFonts w:ascii="Times New Roman" w:hAnsi="Times New Roman"/>
              </w:rPr>
            </w:pPr>
            <w:r>
              <w:rPr>
                <w:rFonts w:ascii="Times New Roman" w:hAnsi="Times New Roman"/>
                <w:b w:val="0"/>
              </w:rPr>
              <w:t>Vergaderjaar 20</w:t>
            </w:r>
            <w:r w:rsidR="00827898">
              <w:rPr>
                <w:rFonts w:ascii="Times New Roman" w:hAnsi="Times New Roman"/>
                <w:b w:val="0"/>
              </w:rPr>
              <w:t>2</w:t>
            </w:r>
            <w:r w:rsidR="004E58A5">
              <w:rPr>
                <w:rFonts w:ascii="Times New Roman" w:hAnsi="Times New Roman"/>
                <w:b w:val="0"/>
              </w:rPr>
              <w:t>5</w:t>
            </w:r>
            <w:r w:rsidR="005A6097">
              <w:rPr>
                <w:rFonts w:ascii="Times New Roman" w:hAnsi="Times New Roman"/>
                <w:b w:val="0"/>
              </w:rPr>
              <w:t>-20</w:t>
            </w:r>
            <w:r w:rsidR="00ED0585">
              <w:rPr>
                <w:rFonts w:ascii="Times New Roman" w:hAnsi="Times New Roman"/>
                <w:b w:val="0"/>
              </w:rPr>
              <w:t>2</w:t>
            </w:r>
            <w:r w:rsidR="004E58A5">
              <w:rPr>
                <w:rFonts w:ascii="Times New Roman" w:hAnsi="Times New Roman"/>
                <w:b w:val="0"/>
              </w:rPr>
              <w:t>6</w:t>
            </w:r>
          </w:p>
        </w:tc>
      </w:tr>
      <w:tr w:rsidR="004330ED" w:rsidTr="00EA1CE4" w14:paraId="1932A682" w14:textId="77777777">
        <w:trPr>
          <w:cantSplit/>
        </w:trPr>
        <w:tc>
          <w:tcPr>
            <w:tcW w:w="10348" w:type="dxa"/>
            <w:gridSpan w:val="3"/>
            <w:tcBorders>
              <w:top w:val="nil"/>
              <w:left w:val="nil"/>
              <w:bottom w:val="nil"/>
              <w:right w:val="nil"/>
            </w:tcBorders>
          </w:tcPr>
          <w:p w:rsidR="004330ED" w:rsidP="00BF623B" w:rsidRDefault="004330ED" w14:paraId="403DAD6B" w14:textId="77777777">
            <w:pPr>
              <w:pStyle w:val="Amendement"/>
              <w:tabs>
                <w:tab w:val="clear" w:pos="3310"/>
                <w:tab w:val="clear" w:pos="3600"/>
              </w:tabs>
              <w:rPr>
                <w:rFonts w:ascii="Times New Roman" w:hAnsi="Times New Roman"/>
                <w:b w:val="0"/>
              </w:rPr>
            </w:pPr>
          </w:p>
        </w:tc>
      </w:tr>
      <w:tr w:rsidR="004330ED" w:rsidTr="00EA1CE4" w14:paraId="46323DB7" w14:textId="77777777">
        <w:trPr>
          <w:cantSplit/>
        </w:trPr>
        <w:tc>
          <w:tcPr>
            <w:tcW w:w="10348" w:type="dxa"/>
            <w:gridSpan w:val="3"/>
            <w:tcBorders>
              <w:top w:val="nil"/>
              <w:left w:val="nil"/>
              <w:bottom w:val="single" w:color="auto" w:sz="4" w:space="0"/>
              <w:right w:val="nil"/>
            </w:tcBorders>
          </w:tcPr>
          <w:p w:rsidR="004330ED" w:rsidP="00BF623B" w:rsidRDefault="004330ED" w14:paraId="472A8B63" w14:textId="77777777">
            <w:pPr>
              <w:pStyle w:val="Amendement"/>
              <w:tabs>
                <w:tab w:val="clear" w:pos="3310"/>
                <w:tab w:val="clear" w:pos="3600"/>
              </w:tabs>
              <w:rPr>
                <w:rFonts w:ascii="Times New Roman" w:hAnsi="Times New Roman"/>
              </w:rPr>
            </w:pPr>
          </w:p>
        </w:tc>
      </w:tr>
      <w:tr w:rsidR="004330ED" w:rsidTr="00EA1CE4" w14:paraId="35D56D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0766CC6"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2A37B2DC" w14:textId="77777777">
            <w:pPr>
              <w:suppressAutoHyphens/>
              <w:ind w:left="-70"/>
              <w:rPr>
                <w:b/>
              </w:rPr>
            </w:pPr>
          </w:p>
        </w:tc>
      </w:tr>
      <w:tr w:rsidR="003C21AC" w:rsidTr="00EA1CE4" w14:paraId="72E859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827898" w:rsidRDefault="00DA3D32" w14:paraId="57E8D14E" w14:textId="7307DE69">
            <w:pPr>
              <w:pStyle w:val="Amendement"/>
              <w:tabs>
                <w:tab w:val="clear" w:pos="3310"/>
                <w:tab w:val="clear" w:pos="3600"/>
              </w:tabs>
              <w:rPr>
                <w:rFonts w:ascii="Times New Roman" w:hAnsi="Times New Roman"/>
              </w:rPr>
            </w:pPr>
            <w:r>
              <w:rPr>
                <w:rFonts w:ascii="Times New Roman" w:hAnsi="Times New Roman"/>
              </w:rPr>
              <w:t>36</w:t>
            </w:r>
            <w:r w:rsidR="00AE7064">
              <w:rPr>
                <w:rFonts w:ascii="Times New Roman" w:hAnsi="Times New Roman"/>
              </w:rPr>
              <w:t xml:space="preserve"> </w:t>
            </w:r>
            <w:r w:rsidR="00014EF9">
              <w:rPr>
                <w:rFonts w:ascii="Times New Roman" w:hAnsi="Times New Roman"/>
              </w:rPr>
              <w:t>8</w:t>
            </w:r>
            <w:r>
              <w:rPr>
                <w:rFonts w:ascii="Times New Roman" w:hAnsi="Times New Roman"/>
              </w:rPr>
              <w:t>12</w:t>
            </w:r>
          </w:p>
        </w:tc>
        <w:tc>
          <w:tcPr>
            <w:tcW w:w="7371" w:type="dxa"/>
            <w:gridSpan w:val="2"/>
          </w:tcPr>
          <w:p w:rsidRPr="00C035D4" w:rsidR="003C21AC" w:rsidP="008413F4" w:rsidRDefault="00BF76E5" w14:paraId="19B2941A" w14:textId="29EA93AA">
            <w:pPr>
              <w:ind w:left="-70"/>
              <w:rPr>
                <w:b/>
              </w:rPr>
            </w:pPr>
            <w:r w:rsidRPr="00C035D4">
              <w:rPr>
                <w:b/>
              </w:rPr>
              <w:fldChar w:fldCharType="begin"/>
            </w:r>
            <w:r w:rsidRPr="00C035D4" w:rsidR="001656EE">
              <w:rPr>
                <w:b/>
              </w:rPr>
              <w:instrText xml:space="preserve"> =  \* MERGEFORMAT </w:instrText>
            </w:r>
            <w:r w:rsidRPr="00C035D4">
              <w:rPr>
                <w:b/>
              </w:rPr>
              <w:fldChar w:fldCharType="separate"/>
            </w:r>
            <w:r w:rsidRPr="00941C3A" w:rsidR="00941C3A">
              <w:rPr>
                <w:b/>
                <w:noProof/>
              </w:rPr>
              <w:t xml:space="preserve">Wijziging van enkele belastingwetten en enige </w:t>
            </w:r>
            <w:r w:rsidR="00ED0585">
              <w:rPr>
                <w:b/>
                <w:noProof/>
              </w:rPr>
              <w:t>a</w:t>
            </w:r>
            <w:r w:rsidR="006D7738">
              <w:rPr>
                <w:b/>
                <w:noProof/>
              </w:rPr>
              <w:t>ndere wetten (Belastingplan 202</w:t>
            </w:r>
            <w:r w:rsidR="004E58A5">
              <w:rPr>
                <w:b/>
                <w:noProof/>
              </w:rPr>
              <w:t>6</w:t>
            </w:r>
            <w:r w:rsidRPr="00941C3A" w:rsidR="00941C3A">
              <w:rPr>
                <w:b/>
                <w:noProof/>
              </w:rPr>
              <w:t>)</w:t>
            </w:r>
            <w:r w:rsidRPr="00C035D4">
              <w:rPr>
                <w:b/>
              </w:rPr>
              <w:fldChar w:fldCharType="end"/>
            </w:r>
          </w:p>
        </w:tc>
      </w:tr>
      <w:tr w:rsidR="003C21AC" w:rsidTr="00EA1CE4" w14:paraId="1BA251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6AF020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2ECA5D3" w14:textId="77777777">
            <w:pPr>
              <w:pStyle w:val="Amendement"/>
              <w:tabs>
                <w:tab w:val="clear" w:pos="3310"/>
                <w:tab w:val="clear" w:pos="3600"/>
              </w:tabs>
              <w:ind w:left="-70"/>
              <w:rPr>
                <w:rFonts w:ascii="Times New Roman" w:hAnsi="Times New Roman"/>
              </w:rPr>
            </w:pPr>
          </w:p>
        </w:tc>
      </w:tr>
      <w:tr w:rsidR="003C21AC" w:rsidTr="00EA1CE4" w14:paraId="081E6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D26A17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E0C4777" w14:textId="77777777">
            <w:pPr>
              <w:pStyle w:val="Amendement"/>
              <w:tabs>
                <w:tab w:val="clear" w:pos="3310"/>
                <w:tab w:val="clear" w:pos="3600"/>
              </w:tabs>
              <w:ind w:left="-70"/>
              <w:rPr>
                <w:rFonts w:ascii="Times New Roman" w:hAnsi="Times New Roman"/>
              </w:rPr>
            </w:pPr>
          </w:p>
        </w:tc>
      </w:tr>
      <w:tr w:rsidR="003C21AC" w:rsidTr="00EA1CE4" w14:paraId="2229C4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1F37099" w14:textId="13AD4450">
            <w:pPr>
              <w:pStyle w:val="Amendement"/>
              <w:tabs>
                <w:tab w:val="clear" w:pos="3310"/>
                <w:tab w:val="clear" w:pos="3600"/>
              </w:tabs>
              <w:rPr>
                <w:rFonts w:ascii="Times New Roman" w:hAnsi="Times New Roman"/>
              </w:rPr>
            </w:pPr>
            <w:r w:rsidRPr="00C035D4">
              <w:rPr>
                <w:rFonts w:ascii="Times New Roman" w:hAnsi="Times New Roman"/>
              </w:rPr>
              <w:t xml:space="preserve">Nr. </w:t>
            </w:r>
            <w:r w:rsidR="00F35799">
              <w:rPr>
                <w:rFonts w:ascii="Times New Roman" w:hAnsi="Times New Roman"/>
                <w:caps/>
              </w:rPr>
              <w:t>30</w:t>
            </w:r>
          </w:p>
        </w:tc>
        <w:tc>
          <w:tcPr>
            <w:tcW w:w="7371" w:type="dxa"/>
            <w:gridSpan w:val="2"/>
          </w:tcPr>
          <w:p w:rsidRPr="00C035D4" w:rsidR="003C21AC" w:rsidP="006E0971" w:rsidRDefault="003F625C" w14:paraId="43334D50" w14:textId="146F460D">
            <w:pPr>
              <w:pStyle w:val="Amendement"/>
              <w:tabs>
                <w:tab w:val="clear" w:pos="3310"/>
                <w:tab w:val="clear" w:pos="3600"/>
              </w:tabs>
              <w:ind w:left="-70"/>
              <w:rPr>
                <w:rFonts w:ascii="Times New Roman" w:hAnsi="Times New Roman"/>
                <w:caps/>
              </w:rPr>
            </w:pPr>
            <w:r>
              <w:rPr>
                <w:rFonts w:ascii="Times New Roman" w:hAnsi="Times New Roman"/>
                <w:caps/>
              </w:rPr>
              <w:t xml:space="preserve">Amendement van het lid </w:t>
            </w:r>
            <w:r w:rsidR="00F35799">
              <w:rPr>
                <w:rFonts w:ascii="Times New Roman" w:hAnsi="Times New Roman"/>
                <w:caps/>
              </w:rPr>
              <w:t>Stoffer</w:t>
            </w:r>
          </w:p>
        </w:tc>
      </w:tr>
      <w:tr w:rsidR="003C21AC" w:rsidTr="00EA1CE4" w14:paraId="68CC7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767961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BF6DEC2" w14:textId="01491DA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35799">
              <w:rPr>
                <w:rFonts w:ascii="Times New Roman" w:hAnsi="Times New Roman"/>
                <w:b w:val="0"/>
              </w:rPr>
              <w:t>17 november 2025</w:t>
            </w:r>
          </w:p>
        </w:tc>
      </w:tr>
      <w:tr w:rsidR="00B01BA6" w:rsidTr="00EA1CE4" w14:paraId="7899A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69DF29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46F9AFC" w14:textId="77777777">
            <w:pPr>
              <w:pStyle w:val="Amendement"/>
              <w:tabs>
                <w:tab w:val="clear" w:pos="3310"/>
                <w:tab w:val="clear" w:pos="3600"/>
              </w:tabs>
              <w:ind w:left="-70"/>
              <w:rPr>
                <w:rFonts w:ascii="Times New Roman" w:hAnsi="Times New Roman"/>
                <w:b w:val="0"/>
              </w:rPr>
            </w:pPr>
          </w:p>
        </w:tc>
      </w:tr>
      <w:tr w:rsidRPr="00EA69AC" w:rsidR="00B01BA6" w:rsidTr="00EA1CE4" w14:paraId="134AA1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AC7851E" w14:textId="77777777">
            <w:pPr>
              <w:ind w:firstLine="284"/>
            </w:pPr>
            <w:r w:rsidRPr="00EA69AC">
              <w:t>De ondergetekende stelt het volgende amendement voor:</w:t>
            </w:r>
          </w:p>
        </w:tc>
      </w:tr>
    </w:tbl>
    <w:p w:rsidRPr="00EA69AC" w:rsidR="004330ED" w:rsidP="00D774B3" w:rsidRDefault="004330ED" w14:paraId="31111856" w14:textId="77777777"/>
    <w:p w:rsidR="004330ED" w:rsidP="00EA1CE4" w:rsidRDefault="004330ED" w14:paraId="77DF5FF3" w14:textId="77777777">
      <w:r w:rsidRPr="00EA69AC">
        <w:t>I</w:t>
      </w:r>
    </w:p>
    <w:p w:rsidR="005438CB" w:rsidP="00EA1CE4" w:rsidRDefault="005438CB" w14:paraId="650A93BC" w14:textId="77777777"/>
    <w:p w:rsidR="005438CB" w:rsidP="00F35799" w:rsidRDefault="005438CB" w14:paraId="1265D576" w14:textId="6FE2B510">
      <w:pPr>
        <w:ind w:firstLine="284"/>
      </w:pPr>
      <w:r>
        <w:t>In artikel IV vervallen de aanhef alsmede de aanduiding “A” voor het eerste onderdeel en in dat onderdeel wordt “In” vervangen door “In d</w:t>
      </w:r>
      <w:r w:rsidRPr="00B72E65">
        <w:t>e Wet op de loonbelasting 1964</w:t>
      </w:r>
      <w:r>
        <w:t xml:space="preserve"> wordt met ingang van 1 januari 2027 in”. Voorts wordt “eerste lid, wordt” vervangen door “eerste lid,”.</w:t>
      </w:r>
    </w:p>
    <w:p w:rsidRPr="00EA69AC" w:rsidR="005438CB" w:rsidP="00EA1CE4" w:rsidRDefault="005438CB" w14:paraId="6374C992" w14:textId="77777777"/>
    <w:p w:rsidR="00E15D6B" w:rsidP="00E15D6B" w:rsidRDefault="005438CB" w14:paraId="752B36AB" w14:textId="0C597D6C">
      <w:r>
        <w:t>II</w:t>
      </w:r>
    </w:p>
    <w:p w:rsidR="005438CB" w:rsidP="00E15D6B" w:rsidRDefault="005438CB" w14:paraId="47CF137C" w14:textId="77777777"/>
    <w:p w:rsidR="005B1DCC" w:rsidP="00F35799" w:rsidRDefault="00E15D6B" w14:paraId="37D25632" w14:textId="225D6CFF">
      <w:pPr>
        <w:ind w:firstLine="284"/>
      </w:pPr>
      <w:r>
        <w:t xml:space="preserve">Artikel IV, onderdeel B, vervalt. </w:t>
      </w:r>
    </w:p>
    <w:p w:rsidR="00E15D6B" w:rsidP="00E15D6B" w:rsidRDefault="00E15D6B" w14:paraId="58756235" w14:textId="77777777"/>
    <w:p w:rsidR="00E15D6B" w:rsidP="00E15D6B" w:rsidRDefault="00E15D6B" w14:paraId="4529E589" w14:textId="6E2B48EC">
      <w:r>
        <w:t>II</w:t>
      </w:r>
      <w:r w:rsidR="005438CB">
        <w:t>I</w:t>
      </w:r>
    </w:p>
    <w:p w:rsidR="00E15D6B" w:rsidP="00E15D6B" w:rsidRDefault="00E15D6B" w14:paraId="0FAD3749" w14:textId="77777777"/>
    <w:p w:rsidR="00E15D6B" w:rsidP="00F35799" w:rsidRDefault="00E15D6B" w14:paraId="323124CC" w14:textId="55B7982F">
      <w:pPr>
        <w:ind w:firstLine="284"/>
      </w:pPr>
      <w:r>
        <w:t xml:space="preserve">Artikel IV, onderdeel C, </w:t>
      </w:r>
      <w:r w:rsidR="005438CB">
        <w:t>vervalt.</w:t>
      </w:r>
      <w:r>
        <w:t xml:space="preserve"> </w:t>
      </w:r>
    </w:p>
    <w:p w:rsidR="005438CB" w:rsidP="00E15D6B" w:rsidRDefault="005438CB" w14:paraId="3413C337" w14:textId="77777777"/>
    <w:p w:rsidR="005438CB" w:rsidP="00E15D6B" w:rsidRDefault="005438CB" w14:paraId="0793044E" w14:textId="5D237952">
      <w:r>
        <w:t>I</w:t>
      </w:r>
      <w:r w:rsidR="00014EF9">
        <w:t>V</w:t>
      </w:r>
    </w:p>
    <w:p w:rsidR="005438CB" w:rsidP="00E15D6B" w:rsidRDefault="005438CB" w14:paraId="77FCE6B8" w14:textId="77777777"/>
    <w:p w:rsidR="005438CB" w:rsidP="00F35799" w:rsidRDefault="005438CB" w14:paraId="520B0418" w14:textId="3652DF9F">
      <w:pPr>
        <w:ind w:firstLine="284"/>
      </w:pPr>
      <w:r>
        <w:t>Artikel V</w:t>
      </w:r>
      <w:r w:rsidR="00014EF9">
        <w:t xml:space="preserve">I vervalt. </w:t>
      </w:r>
    </w:p>
    <w:p w:rsidR="00014EF9" w:rsidP="00E15D6B" w:rsidRDefault="00014EF9" w14:paraId="49AA0780" w14:textId="77777777"/>
    <w:p w:rsidR="00014EF9" w:rsidP="00E15D6B" w:rsidRDefault="00014EF9" w14:paraId="4EBC7516" w14:textId="2EE4A808">
      <w:r>
        <w:t>V</w:t>
      </w:r>
    </w:p>
    <w:p w:rsidR="00014EF9" w:rsidP="00E15D6B" w:rsidRDefault="00014EF9" w14:paraId="7CD8695C" w14:textId="77777777"/>
    <w:p w:rsidR="00014EF9" w:rsidP="00F35799" w:rsidRDefault="00014EF9" w14:paraId="0F4DAB80" w14:textId="1A3CA586">
      <w:pPr>
        <w:ind w:firstLine="284"/>
      </w:pPr>
      <w:r>
        <w:t xml:space="preserve">Artikel IX vervalt. </w:t>
      </w:r>
    </w:p>
    <w:p w:rsidR="00EA1CE4" w:rsidP="00EA1CE4" w:rsidRDefault="00EA1CE4" w14:paraId="1B4193D5" w14:textId="77777777"/>
    <w:p w:rsidRPr="00EA69AC" w:rsidR="003C21AC" w:rsidP="00EA1CE4" w:rsidRDefault="003C21AC" w14:paraId="3DD119C9" w14:textId="77777777">
      <w:pPr>
        <w:rPr>
          <w:b/>
        </w:rPr>
      </w:pPr>
      <w:r w:rsidRPr="00EA69AC">
        <w:rPr>
          <w:b/>
        </w:rPr>
        <w:t>Toelichting</w:t>
      </w:r>
    </w:p>
    <w:p w:rsidR="003F625C" w:rsidP="003F625C" w:rsidRDefault="003F625C" w14:paraId="3F70A126" w14:textId="482EA2DA">
      <w:r w:rsidRPr="008467D7">
        <w:fldChar w:fldCharType="begin"/>
      </w:r>
      <w:r w:rsidRPr="008467D7">
        <w:instrText xml:space="preserve"> =  \* MERGEFORMAT </w:instrText>
      </w:r>
      <w:r w:rsidRPr="008467D7">
        <w:fldChar w:fldCharType="separate"/>
      </w:r>
      <w:r w:rsidRPr="008467D7">
        <w:fldChar w:fldCharType="end"/>
      </w:r>
    </w:p>
    <w:p w:rsidR="0064482F" w:rsidP="003F625C" w:rsidRDefault="0064482F" w14:paraId="6F562B8E" w14:textId="402A548B">
      <w:r>
        <w:t xml:space="preserve">Dit amendement haalt de maatregel om per 1 januari 2027 een pseudo-eindheffing voor fossiele personenauto’s in te voeren uit het wetsvoorstel Belastingplan 2026. </w:t>
      </w:r>
      <w:r w:rsidRPr="00BD4735">
        <w:t>In samenhang daarmee vervallen ook de bijbehorende bepalingen met betrekking tot het overgangsrecht en de evaluatie.</w:t>
      </w:r>
    </w:p>
    <w:p w:rsidR="00F35799" w:rsidP="003F625C" w:rsidRDefault="00F35799" w14:paraId="19AB2EEA" w14:textId="77777777"/>
    <w:p w:rsidR="00346A13" w:rsidP="003F625C" w:rsidRDefault="0064482F" w14:paraId="78C552CA" w14:textId="1F17CA34">
      <w:r>
        <w:t>Hoewel de indiener het stimuleren van elektrificatie van het wagenpark steunt, is de voorgestelde maatregel volgens hem niet wenselijk</w:t>
      </w:r>
      <w:r w:rsidR="007E25B3">
        <w:t xml:space="preserve"> om diverse redenen</w:t>
      </w:r>
      <w:r>
        <w:t xml:space="preserve">. </w:t>
      </w:r>
      <w:r w:rsidR="0011359D">
        <w:t>Zo</w:t>
      </w:r>
      <w:r w:rsidR="00942DED">
        <w:t xml:space="preserve"> wijst de indiener erop dat de lastendruk voor ondernemers, zowel financieel als administratief, door de pseudo-eindheffing flink stijgt. </w:t>
      </w:r>
      <w:r w:rsidR="00346A13">
        <w:t xml:space="preserve">Ook behelst de voorgestelde maatregel in het Belastingplan 2026 een extra heffing, </w:t>
      </w:r>
      <w:r w:rsidR="00A96346">
        <w:t>wat voor extra uitvoeringsproblemen kan zorgen bij de Belastingdienst.</w:t>
      </w:r>
      <w:r w:rsidR="00704BAD">
        <w:t xml:space="preserve"> </w:t>
      </w:r>
      <w:r w:rsidR="0011359D">
        <w:t>Ook i</w:t>
      </w:r>
      <w:r w:rsidR="007E25B3">
        <w:t>s</w:t>
      </w:r>
      <w:r w:rsidR="0011359D">
        <w:t xml:space="preserve"> de kans groot dat werkgevers uitwijken naar alternatieven opties, zoals het aanbieden van tweedehands brandstofauto’s of alternatieve reiskostenvergoedingen. </w:t>
      </w:r>
      <w:r w:rsidR="00704BAD">
        <w:t xml:space="preserve">Ten slotte, eind 2025 komt de Europese Commissie met een voorstel over de ingroei van emissievrije zakelijke auto’s. </w:t>
      </w:r>
      <w:r w:rsidR="00704BAD">
        <w:lastRenderedPageBreak/>
        <w:t>De maatregel uit het voorliggende wetsvoorstel loopt daarop vooruit.</w:t>
      </w:r>
      <w:r w:rsidR="00A96346">
        <w:t xml:space="preserve"> </w:t>
      </w:r>
      <w:r w:rsidR="007E25B3">
        <w:t>Kortom, i</w:t>
      </w:r>
      <w:r w:rsidR="00A96346">
        <w:t>ndiener is van mening dat er betere manieren zijn om de elektrificatie van het wagenpark te stimuleren</w:t>
      </w:r>
      <w:r w:rsidR="00047D8D">
        <w:t>.</w:t>
      </w:r>
    </w:p>
    <w:p w:rsidR="00A96346" w:rsidP="003F625C" w:rsidRDefault="00A96346" w14:paraId="728258B2" w14:textId="77777777"/>
    <w:p w:rsidR="00047D8D" w:rsidP="00BF623B" w:rsidRDefault="00A96346" w14:paraId="2F6ABEC2" w14:textId="2B91F570">
      <w:r>
        <w:t xml:space="preserve">Dit amendement levert tot en met 2034 cumulatief 1.029 miljoen euro op, en vanaf 2035 structureel 43 miljoen euro. De voorgestelde maatregel zou ingaan per 2027. Er is dus nog tijd om te komen tot een alternatieve maatregel, die effect heeft vanaf 2027. </w:t>
      </w:r>
      <w:r w:rsidR="007E25B3">
        <w:t>Daarom</w:t>
      </w:r>
      <w:r>
        <w:t xml:space="preserve"> verzoekt de indiener het vrijgekomen budget te reserveren voor één of meer alternatieve maatregelen, waarmee hetzelfde doel wordt bereikt, namelijk het stimuleren van verduurzaming van personenauto’s. Indiener verzoekt de regering </w:t>
      </w:r>
      <w:r w:rsidR="007E25B3">
        <w:t>uiterlijk bij</w:t>
      </w:r>
      <w:r>
        <w:t xml:space="preserve"> Voorjaarsnota 2026 dit alternatief te presenteren.</w:t>
      </w:r>
    </w:p>
    <w:p w:rsidRPr="00047D8D" w:rsidR="00047D8D" w:rsidP="00047D8D" w:rsidRDefault="00047D8D" w14:paraId="21C33DA3" w14:textId="77777777"/>
    <w:tbl>
      <w:tblPr>
        <w:tblW w:w="0" w:type="auto"/>
        <w:tblCellMar>
          <w:left w:w="0" w:type="dxa"/>
          <w:right w:w="0" w:type="dxa"/>
        </w:tblCellMar>
        <w:tblLook w:val="04A0" w:firstRow="1" w:lastRow="0" w:firstColumn="1" w:lastColumn="0" w:noHBand="0" w:noVBand="1"/>
      </w:tblPr>
      <w:tblGrid>
        <w:gridCol w:w="2041"/>
        <w:gridCol w:w="1635"/>
        <w:gridCol w:w="602"/>
        <w:gridCol w:w="601"/>
        <w:gridCol w:w="601"/>
        <w:gridCol w:w="601"/>
        <w:gridCol w:w="601"/>
        <w:gridCol w:w="601"/>
        <w:gridCol w:w="601"/>
        <w:gridCol w:w="601"/>
        <w:gridCol w:w="601"/>
        <w:gridCol w:w="601"/>
        <w:gridCol w:w="640"/>
      </w:tblGrid>
      <w:tr w:rsidRPr="00047D8D" w:rsidR="00047D8D" w:rsidTr="00F35799" w14:paraId="1564FC55" w14:textId="77777777">
        <w:trPr>
          <w:trHeight w:val="537"/>
        </w:trPr>
        <w:tc>
          <w:tcPr>
            <w:tcW w:w="2117" w:type="dxa"/>
            <w:tcBorders>
              <w:top w:val="single" w:color="auto" w:sz="8" w:space="0"/>
              <w:left w:val="single" w:color="auto" w:sz="8" w:space="0"/>
              <w:bottom w:val="single" w:color="auto" w:sz="8" w:space="0"/>
              <w:right w:val="single" w:color="auto" w:sz="8" w:space="0"/>
            </w:tcBorders>
            <w:shd w:val="clear" w:color="auto" w:fill="156082"/>
            <w:tcMar>
              <w:top w:w="0" w:type="dxa"/>
              <w:left w:w="70" w:type="dxa"/>
              <w:bottom w:w="0" w:type="dxa"/>
              <w:right w:w="70" w:type="dxa"/>
            </w:tcMar>
            <w:vAlign w:val="center"/>
            <w:hideMark/>
          </w:tcPr>
          <w:p w:rsidRPr="00047D8D" w:rsidR="00047D8D" w:rsidP="00047D8D" w:rsidRDefault="00047D8D" w14:paraId="5A20500F" w14:textId="77777777">
            <w:pPr>
              <w:rPr>
                <w:b/>
                <w:bCs/>
              </w:rPr>
            </w:pPr>
            <w:r w:rsidRPr="00047D8D">
              <w:rPr>
                <w:b/>
                <w:bCs/>
              </w:rPr>
              <w:t>Budgettaire effecten pakket in mln. € prijspeil 2025</w:t>
            </w:r>
          </w:p>
        </w:tc>
        <w:tc>
          <w:tcPr>
            <w:tcW w:w="1694" w:type="dxa"/>
            <w:tcBorders>
              <w:top w:val="single" w:color="auto" w:sz="8" w:space="0"/>
              <w:left w:val="nil"/>
              <w:bottom w:val="single" w:color="auto" w:sz="8" w:space="0"/>
              <w:right w:val="single" w:color="auto" w:sz="8" w:space="0"/>
            </w:tcBorders>
            <w:shd w:val="clear" w:color="auto" w:fill="156082"/>
            <w:noWrap/>
            <w:tcMar>
              <w:top w:w="0" w:type="dxa"/>
              <w:left w:w="70" w:type="dxa"/>
              <w:bottom w:w="0" w:type="dxa"/>
              <w:right w:w="70" w:type="dxa"/>
            </w:tcMar>
            <w:vAlign w:val="center"/>
            <w:hideMark/>
          </w:tcPr>
          <w:p w:rsidRPr="00047D8D" w:rsidR="00047D8D" w:rsidP="00047D8D" w:rsidRDefault="00047D8D" w14:paraId="24AC31FB" w14:textId="77777777">
            <w:pPr>
              <w:rPr>
                <w:b/>
                <w:bCs/>
              </w:rPr>
            </w:pPr>
            <w:r w:rsidRPr="00047D8D">
              <w:rPr>
                <w:b/>
                <w:bCs/>
              </w:rPr>
              <w:t>2025</w:t>
            </w:r>
          </w:p>
        </w:tc>
        <w:tc>
          <w:tcPr>
            <w:tcW w:w="0" w:type="auto"/>
            <w:tcBorders>
              <w:top w:val="single" w:color="auto" w:sz="8" w:space="0"/>
              <w:left w:val="nil"/>
              <w:bottom w:val="single" w:color="auto" w:sz="8" w:space="0"/>
              <w:right w:val="single" w:color="auto" w:sz="8" w:space="0"/>
            </w:tcBorders>
            <w:shd w:val="clear" w:color="auto" w:fill="156082"/>
            <w:noWrap/>
            <w:tcMar>
              <w:top w:w="0" w:type="dxa"/>
              <w:left w:w="70" w:type="dxa"/>
              <w:bottom w:w="0" w:type="dxa"/>
              <w:right w:w="70" w:type="dxa"/>
            </w:tcMar>
            <w:vAlign w:val="center"/>
            <w:hideMark/>
          </w:tcPr>
          <w:p w:rsidRPr="00047D8D" w:rsidR="00047D8D" w:rsidP="00047D8D" w:rsidRDefault="00047D8D" w14:paraId="7D063E8D" w14:textId="77777777">
            <w:pPr>
              <w:rPr>
                <w:b/>
                <w:bCs/>
              </w:rPr>
            </w:pPr>
            <w:r w:rsidRPr="00047D8D">
              <w:rPr>
                <w:b/>
                <w:bCs/>
              </w:rPr>
              <w:t>2026</w:t>
            </w:r>
          </w:p>
        </w:tc>
        <w:tc>
          <w:tcPr>
            <w:tcW w:w="0" w:type="auto"/>
            <w:tcBorders>
              <w:top w:val="single" w:color="auto" w:sz="8" w:space="0"/>
              <w:left w:val="nil"/>
              <w:bottom w:val="single" w:color="auto" w:sz="8" w:space="0"/>
              <w:right w:val="single" w:color="auto" w:sz="8" w:space="0"/>
            </w:tcBorders>
            <w:shd w:val="clear" w:color="auto" w:fill="156082"/>
            <w:noWrap/>
            <w:tcMar>
              <w:top w:w="0" w:type="dxa"/>
              <w:left w:w="70" w:type="dxa"/>
              <w:bottom w:w="0" w:type="dxa"/>
              <w:right w:w="70" w:type="dxa"/>
            </w:tcMar>
            <w:vAlign w:val="center"/>
            <w:hideMark/>
          </w:tcPr>
          <w:p w:rsidRPr="00047D8D" w:rsidR="00047D8D" w:rsidP="00047D8D" w:rsidRDefault="00047D8D" w14:paraId="739A954A" w14:textId="77777777">
            <w:pPr>
              <w:rPr>
                <w:b/>
                <w:bCs/>
              </w:rPr>
            </w:pPr>
            <w:r w:rsidRPr="00047D8D">
              <w:rPr>
                <w:b/>
                <w:bCs/>
              </w:rPr>
              <w:t>2027</w:t>
            </w:r>
          </w:p>
        </w:tc>
        <w:tc>
          <w:tcPr>
            <w:tcW w:w="0" w:type="auto"/>
            <w:tcBorders>
              <w:top w:val="single" w:color="auto" w:sz="8" w:space="0"/>
              <w:left w:val="nil"/>
              <w:bottom w:val="single" w:color="auto" w:sz="8" w:space="0"/>
              <w:right w:val="single" w:color="auto" w:sz="8" w:space="0"/>
            </w:tcBorders>
            <w:shd w:val="clear" w:color="auto" w:fill="156082"/>
            <w:noWrap/>
            <w:tcMar>
              <w:top w:w="0" w:type="dxa"/>
              <w:left w:w="70" w:type="dxa"/>
              <w:bottom w:w="0" w:type="dxa"/>
              <w:right w:w="70" w:type="dxa"/>
            </w:tcMar>
            <w:vAlign w:val="center"/>
            <w:hideMark/>
          </w:tcPr>
          <w:p w:rsidRPr="00047D8D" w:rsidR="00047D8D" w:rsidP="00047D8D" w:rsidRDefault="00047D8D" w14:paraId="0C5E31A5" w14:textId="77777777">
            <w:pPr>
              <w:rPr>
                <w:b/>
                <w:bCs/>
              </w:rPr>
            </w:pPr>
            <w:r w:rsidRPr="00047D8D">
              <w:rPr>
                <w:b/>
                <w:bCs/>
              </w:rPr>
              <w:t>2028</w:t>
            </w:r>
          </w:p>
        </w:tc>
        <w:tc>
          <w:tcPr>
            <w:tcW w:w="0" w:type="auto"/>
            <w:tcBorders>
              <w:top w:val="single" w:color="auto" w:sz="8" w:space="0"/>
              <w:left w:val="nil"/>
              <w:bottom w:val="single" w:color="auto" w:sz="8" w:space="0"/>
              <w:right w:val="single" w:color="auto" w:sz="8" w:space="0"/>
            </w:tcBorders>
            <w:shd w:val="clear" w:color="auto" w:fill="156082"/>
            <w:noWrap/>
            <w:tcMar>
              <w:top w:w="0" w:type="dxa"/>
              <w:left w:w="70" w:type="dxa"/>
              <w:bottom w:w="0" w:type="dxa"/>
              <w:right w:w="70" w:type="dxa"/>
            </w:tcMar>
            <w:vAlign w:val="center"/>
            <w:hideMark/>
          </w:tcPr>
          <w:p w:rsidRPr="00047D8D" w:rsidR="00047D8D" w:rsidP="00047D8D" w:rsidRDefault="00047D8D" w14:paraId="14A340DD" w14:textId="77777777">
            <w:pPr>
              <w:rPr>
                <w:b/>
                <w:bCs/>
              </w:rPr>
            </w:pPr>
            <w:r w:rsidRPr="00047D8D">
              <w:rPr>
                <w:b/>
                <w:bCs/>
              </w:rPr>
              <w:t>2029</w:t>
            </w:r>
          </w:p>
        </w:tc>
        <w:tc>
          <w:tcPr>
            <w:tcW w:w="0" w:type="auto"/>
            <w:tcBorders>
              <w:top w:val="single" w:color="auto" w:sz="8" w:space="0"/>
              <w:left w:val="nil"/>
              <w:bottom w:val="single" w:color="auto" w:sz="8" w:space="0"/>
              <w:right w:val="single" w:color="auto" w:sz="8" w:space="0"/>
            </w:tcBorders>
            <w:shd w:val="clear" w:color="auto" w:fill="156082"/>
            <w:noWrap/>
            <w:tcMar>
              <w:top w:w="0" w:type="dxa"/>
              <w:left w:w="70" w:type="dxa"/>
              <w:bottom w:w="0" w:type="dxa"/>
              <w:right w:w="70" w:type="dxa"/>
            </w:tcMar>
            <w:vAlign w:val="center"/>
            <w:hideMark/>
          </w:tcPr>
          <w:p w:rsidRPr="00047D8D" w:rsidR="00047D8D" w:rsidP="00047D8D" w:rsidRDefault="00047D8D" w14:paraId="55FC216B" w14:textId="77777777">
            <w:pPr>
              <w:rPr>
                <w:b/>
                <w:bCs/>
              </w:rPr>
            </w:pPr>
            <w:r w:rsidRPr="00047D8D">
              <w:rPr>
                <w:b/>
                <w:bCs/>
              </w:rPr>
              <w:t>2030</w:t>
            </w:r>
          </w:p>
        </w:tc>
        <w:tc>
          <w:tcPr>
            <w:tcW w:w="0" w:type="auto"/>
            <w:tcBorders>
              <w:top w:val="single" w:color="auto" w:sz="8" w:space="0"/>
              <w:left w:val="nil"/>
              <w:bottom w:val="single" w:color="auto" w:sz="8" w:space="0"/>
              <w:right w:val="single" w:color="auto" w:sz="8" w:space="0"/>
            </w:tcBorders>
            <w:shd w:val="clear" w:color="auto" w:fill="156082"/>
            <w:noWrap/>
            <w:tcMar>
              <w:top w:w="0" w:type="dxa"/>
              <w:left w:w="70" w:type="dxa"/>
              <w:bottom w:w="0" w:type="dxa"/>
              <w:right w:w="70" w:type="dxa"/>
            </w:tcMar>
            <w:vAlign w:val="center"/>
            <w:hideMark/>
          </w:tcPr>
          <w:p w:rsidRPr="00047D8D" w:rsidR="00047D8D" w:rsidP="00047D8D" w:rsidRDefault="00047D8D" w14:paraId="449AFC7C" w14:textId="77777777">
            <w:pPr>
              <w:rPr>
                <w:b/>
                <w:bCs/>
              </w:rPr>
            </w:pPr>
            <w:r w:rsidRPr="00047D8D">
              <w:rPr>
                <w:b/>
                <w:bCs/>
              </w:rPr>
              <w:t>2031</w:t>
            </w:r>
          </w:p>
        </w:tc>
        <w:tc>
          <w:tcPr>
            <w:tcW w:w="0" w:type="auto"/>
            <w:tcBorders>
              <w:top w:val="single" w:color="auto" w:sz="8" w:space="0"/>
              <w:left w:val="nil"/>
              <w:bottom w:val="single" w:color="auto" w:sz="8" w:space="0"/>
              <w:right w:val="single" w:color="auto" w:sz="8" w:space="0"/>
            </w:tcBorders>
            <w:shd w:val="clear" w:color="auto" w:fill="156082"/>
            <w:noWrap/>
            <w:tcMar>
              <w:top w:w="0" w:type="dxa"/>
              <w:left w:w="70" w:type="dxa"/>
              <w:bottom w:w="0" w:type="dxa"/>
              <w:right w:w="70" w:type="dxa"/>
            </w:tcMar>
            <w:vAlign w:val="center"/>
            <w:hideMark/>
          </w:tcPr>
          <w:p w:rsidRPr="00047D8D" w:rsidR="00047D8D" w:rsidP="00047D8D" w:rsidRDefault="00047D8D" w14:paraId="08D4E922" w14:textId="77777777">
            <w:pPr>
              <w:rPr>
                <w:b/>
                <w:bCs/>
              </w:rPr>
            </w:pPr>
            <w:r w:rsidRPr="00047D8D">
              <w:rPr>
                <w:b/>
                <w:bCs/>
              </w:rPr>
              <w:t>2032</w:t>
            </w:r>
          </w:p>
        </w:tc>
        <w:tc>
          <w:tcPr>
            <w:tcW w:w="0" w:type="auto"/>
            <w:tcBorders>
              <w:top w:val="single" w:color="auto" w:sz="8" w:space="0"/>
              <w:left w:val="nil"/>
              <w:bottom w:val="single" w:color="auto" w:sz="8" w:space="0"/>
              <w:right w:val="single" w:color="auto" w:sz="8" w:space="0"/>
            </w:tcBorders>
            <w:shd w:val="clear" w:color="auto" w:fill="156082"/>
            <w:noWrap/>
            <w:tcMar>
              <w:top w:w="0" w:type="dxa"/>
              <w:left w:w="70" w:type="dxa"/>
              <w:bottom w:w="0" w:type="dxa"/>
              <w:right w:w="70" w:type="dxa"/>
            </w:tcMar>
            <w:vAlign w:val="center"/>
            <w:hideMark/>
          </w:tcPr>
          <w:p w:rsidRPr="00047D8D" w:rsidR="00047D8D" w:rsidP="00047D8D" w:rsidRDefault="00047D8D" w14:paraId="6B0066C9" w14:textId="77777777">
            <w:pPr>
              <w:rPr>
                <w:b/>
                <w:bCs/>
              </w:rPr>
            </w:pPr>
            <w:r w:rsidRPr="00047D8D">
              <w:rPr>
                <w:b/>
                <w:bCs/>
              </w:rPr>
              <w:t>2033</w:t>
            </w:r>
          </w:p>
        </w:tc>
        <w:tc>
          <w:tcPr>
            <w:tcW w:w="0" w:type="auto"/>
            <w:tcBorders>
              <w:top w:val="single" w:color="auto" w:sz="8" w:space="0"/>
              <w:left w:val="nil"/>
              <w:bottom w:val="single" w:color="auto" w:sz="8" w:space="0"/>
              <w:right w:val="single" w:color="auto" w:sz="8" w:space="0"/>
            </w:tcBorders>
            <w:shd w:val="clear" w:color="auto" w:fill="156082"/>
            <w:noWrap/>
            <w:tcMar>
              <w:top w:w="0" w:type="dxa"/>
              <w:left w:w="70" w:type="dxa"/>
              <w:bottom w:w="0" w:type="dxa"/>
              <w:right w:w="70" w:type="dxa"/>
            </w:tcMar>
            <w:vAlign w:val="center"/>
            <w:hideMark/>
          </w:tcPr>
          <w:p w:rsidRPr="00047D8D" w:rsidR="00047D8D" w:rsidP="00047D8D" w:rsidRDefault="00047D8D" w14:paraId="09741805" w14:textId="77777777">
            <w:pPr>
              <w:rPr>
                <w:b/>
                <w:bCs/>
              </w:rPr>
            </w:pPr>
            <w:r w:rsidRPr="00047D8D">
              <w:rPr>
                <w:b/>
                <w:bCs/>
              </w:rPr>
              <w:t>2034</w:t>
            </w:r>
          </w:p>
        </w:tc>
        <w:tc>
          <w:tcPr>
            <w:tcW w:w="0" w:type="auto"/>
            <w:tcBorders>
              <w:top w:val="single" w:color="auto" w:sz="8" w:space="0"/>
              <w:left w:val="nil"/>
              <w:bottom w:val="single" w:color="auto" w:sz="8" w:space="0"/>
              <w:right w:val="single" w:color="auto" w:sz="8" w:space="0"/>
            </w:tcBorders>
            <w:shd w:val="clear" w:color="auto" w:fill="156082"/>
            <w:noWrap/>
            <w:tcMar>
              <w:top w:w="0" w:type="dxa"/>
              <w:left w:w="70" w:type="dxa"/>
              <w:bottom w:w="0" w:type="dxa"/>
              <w:right w:w="70" w:type="dxa"/>
            </w:tcMar>
            <w:vAlign w:val="center"/>
            <w:hideMark/>
          </w:tcPr>
          <w:p w:rsidRPr="00047D8D" w:rsidR="00047D8D" w:rsidP="00047D8D" w:rsidRDefault="00047D8D" w14:paraId="45CA39FA" w14:textId="77777777">
            <w:pPr>
              <w:rPr>
                <w:b/>
                <w:bCs/>
              </w:rPr>
            </w:pPr>
            <w:r w:rsidRPr="00047D8D">
              <w:rPr>
                <w:b/>
                <w:bCs/>
              </w:rPr>
              <w:t>2035</w:t>
            </w:r>
          </w:p>
        </w:tc>
        <w:tc>
          <w:tcPr>
            <w:tcW w:w="0" w:type="auto"/>
            <w:tcBorders>
              <w:top w:val="single" w:color="auto" w:sz="8" w:space="0"/>
              <w:left w:val="nil"/>
              <w:bottom w:val="single" w:color="auto" w:sz="8" w:space="0"/>
              <w:right w:val="single" w:color="auto" w:sz="8" w:space="0"/>
            </w:tcBorders>
            <w:shd w:val="clear" w:color="auto" w:fill="156082"/>
            <w:noWrap/>
            <w:tcMar>
              <w:top w:w="0" w:type="dxa"/>
              <w:left w:w="70" w:type="dxa"/>
              <w:bottom w:w="0" w:type="dxa"/>
              <w:right w:w="70" w:type="dxa"/>
            </w:tcMar>
            <w:vAlign w:val="center"/>
            <w:hideMark/>
          </w:tcPr>
          <w:p w:rsidRPr="00047D8D" w:rsidR="00047D8D" w:rsidP="00047D8D" w:rsidRDefault="00047D8D" w14:paraId="7A1F1491" w14:textId="77777777">
            <w:pPr>
              <w:rPr>
                <w:b/>
                <w:bCs/>
              </w:rPr>
            </w:pPr>
            <w:proofErr w:type="spellStart"/>
            <w:r w:rsidRPr="00047D8D">
              <w:rPr>
                <w:b/>
                <w:bCs/>
              </w:rPr>
              <w:t>struc</w:t>
            </w:r>
            <w:proofErr w:type="spellEnd"/>
          </w:p>
        </w:tc>
      </w:tr>
      <w:tr w:rsidRPr="00047D8D" w:rsidR="00047D8D" w:rsidTr="00F35799" w14:paraId="22D9507C" w14:textId="77777777">
        <w:trPr>
          <w:trHeight w:val="608"/>
        </w:trPr>
        <w:tc>
          <w:tcPr>
            <w:tcW w:w="211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047D8D" w:rsidR="00047D8D" w:rsidP="00047D8D" w:rsidRDefault="00047D8D" w14:paraId="203D229E" w14:textId="367AC63F">
            <w:r w:rsidRPr="00047D8D">
              <w:t>n</w:t>
            </w:r>
            <w:r>
              <w:t>i</w:t>
            </w:r>
            <w:r w:rsidRPr="00047D8D">
              <w:t>et invoeren pseudo-eindheffing</w:t>
            </w:r>
          </w:p>
        </w:tc>
        <w:tc>
          <w:tcPr>
            <w:tcW w:w="169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047D8D" w:rsidR="00047D8D" w:rsidP="00047D8D" w:rsidRDefault="00047D8D" w14:paraId="6465D612" w14:textId="77777777">
            <w:r w:rsidRPr="00047D8D">
              <w:t> </w:t>
            </w:r>
          </w:p>
        </w:tc>
        <w:tc>
          <w:tcPr>
            <w:tcW w:w="0" w:type="auto"/>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047D8D" w:rsidR="00047D8D" w:rsidP="00047D8D" w:rsidRDefault="00047D8D" w14:paraId="31D2661A" w14:textId="77777777">
            <w:r w:rsidRPr="00047D8D">
              <w:t>-208</w:t>
            </w:r>
          </w:p>
        </w:tc>
        <w:tc>
          <w:tcPr>
            <w:tcW w:w="0" w:type="auto"/>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047D8D" w:rsidR="00047D8D" w:rsidP="00047D8D" w:rsidRDefault="00047D8D" w14:paraId="6FA3CD0F" w14:textId="77777777">
            <w:r w:rsidRPr="00047D8D">
              <w:t>313</w:t>
            </w:r>
          </w:p>
        </w:tc>
        <w:tc>
          <w:tcPr>
            <w:tcW w:w="0" w:type="auto"/>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047D8D" w:rsidR="00047D8D" w:rsidP="00047D8D" w:rsidRDefault="00047D8D" w14:paraId="79FE9B93" w14:textId="77777777">
            <w:r w:rsidRPr="00047D8D">
              <w:t>276</w:t>
            </w:r>
          </w:p>
        </w:tc>
        <w:tc>
          <w:tcPr>
            <w:tcW w:w="0" w:type="auto"/>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047D8D" w:rsidR="00047D8D" w:rsidP="00047D8D" w:rsidRDefault="00047D8D" w14:paraId="37A36298" w14:textId="77777777">
            <w:r w:rsidRPr="00047D8D">
              <w:t>178</w:t>
            </w:r>
          </w:p>
        </w:tc>
        <w:tc>
          <w:tcPr>
            <w:tcW w:w="0" w:type="auto"/>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047D8D" w:rsidR="00047D8D" w:rsidP="00047D8D" w:rsidRDefault="00047D8D" w14:paraId="120A355E" w14:textId="77777777">
            <w:r w:rsidRPr="00047D8D">
              <w:t>135</w:t>
            </w:r>
          </w:p>
        </w:tc>
        <w:tc>
          <w:tcPr>
            <w:tcW w:w="0" w:type="auto"/>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047D8D" w:rsidR="00047D8D" w:rsidP="00047D8D" w:rsidRDefault="00047D8D" w14:paraId="2CAE09F4" w14:textId="77777777">
            <w:r w:rsidRPr="00047D8D">
              <w:t>100</w:t>
            </w:r>
          </w:p>
        </w:tc>
        <w:tc>
          <w:tcPr>
            <w:tcW w:w="0" w:type="auto"/>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047D8D" w:rsidR="00047D8D" w:rsidP="00047D8D" w:rsidRDefault="00047D8D" w14:paraId="2BC08EF6" w14:textId="77777777">
            <w:r w:rsidRPr="00047D8D">
              <w:t>104</w:t>
            </w:r>
          </w:p>
        </w:tc>
        <w:tc>
          <w:tcPr>
            <w:tcW w:w="0" w:type="auto"/>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047D8D" w:rsidR="00047D8D" w:rsidP="00047D8D" w:rsidRDefault="00047D8D" w14:paraId="15394B7C" w14:textId="77777777">
            <w:r w:rsidRPr="00047D8D">
              <w:t>61</w:t>
            </w:r>
          </w:p>
        </w:tc>
        <w:tc>
          <w:tcPr>
            <w:tcW w:w="0" w:type="auto"/>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047D8D" w:rsidR="00047D8D" w:rsidP="00047D8D" w:rsidRDefault="00047D8D" w14:paraId="52119EE6" w14:textId="77777777">
            <w:r w:rsidRPr="00047D8D">
              <w:t>70</w:t>
            </w:r>
          </w:p>
        </w:tc>
        <w:tc>
          <w:tcPr>
            <w:tcW w:w="0" w:type="auto"/>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047D8D" w:rsidR="00047D8D" w:rsidP="00047D8D" w:rsidRDefault="00047D8D" w14:paraId="0909C901" w14:textId="77777777">
            <w:r w:rsidRPr="00047D8D">
              <w:t>43</w:t>
            </w:r>
          </w:p>
        </w:tc>
        <w:tc>
          <w:tcPr>
            <w:tcW w:w="0" w:type="auto"/>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047D8D" w:rsidR="00047D8D" w:rsidP="00047D8D" w:rsidRDefault="00047D8D" w14:paraId="5770F0F8" w14:textId="77777777">
            <w:r w:rsidRPr="00047D8D">
              <w:t>43</w:t>
            </w:r>
          </w:p>
        </w:tc>
      </w:tr>
    </w:tbl>
    <w:p w:rsidR="00047D8D" w:rsidP="00BF623B" w:rsidRDefault="00047D8D" w14:paraId="5EA2D386" w14:textId="77777777"/>
    <w:p w:rsidRPr="00EA69AC" w:rsidR="00B4708A" w:rsidP="00EA1CE4" w:rsidRDefault="0064482F" w14:paraId="4554FBCB" w14:textId="2CD2BC63">
      <w:r>
        <w:t>Stoffer</w:t>
      </w:r>
    </w:p>
    <w:sectPr w:rsidRPr="00EA69AC" w:rsidR="00B4708A" w:rsidSect="00EA1CE4">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3A533" w14:textId="77777777" w:rsidR="00F66B7A" w:rsidRDefault="00F66B7A">
      <w:pPr>
        <w:spacing w:line="20" w:lineRule="exact"/>
      </w:pPr>
    </w:p>
  </w:endnote>
  <w:endnote w:type="continuationSeparator" w:id="0">
    <w:p w14:paraId="7AC3BA3E" w14:textId="77777777" w:rsidR="00F66B7A" w:rsidRDefault="00F66B7A">
      <w:pPr>
        <w:pStyle w:val="Amendement"/>
      </w:pPr>
      <w:r>
        <w:rPr>
          <w:b w:val="0"/>
        </w:rPr>
        <w:t xml:space="preserve"> </w:t>
      </w:r>
    </w:p>
  </w:endnote>
  <w:endnote w:type="continuationNotice" w:id="1">
    <w:p w14:paraId="6BC3B750" w14:textId="77777777" w:rsidR="00F66B7A" w:rsidRDefault="00F66B7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00A4" w14:textId="77777777" w:rsidR="00E94B6C" w:rsidRDefault="00E94B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AB87" w14:textId="77777777" w:rsidR="00E94B6C" w:rsidRDefault="00E94B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818F" w14:textId="77777777" w:rsidR="00E94B6C" w:rsidRDefault="00E94B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6BD5E" w14:textId="77777777" w:rsidR="00F66B7A" w:rsidRDefault="00F66B7A">
      <w:pPr>
        <w:pStyle w:val="Amendement"/>
      </w:pPr>
      <w:r>
        <w:rPr>
          <w:b w:val="0"/>
        </w:rPr>
        <w:separator/>
      </w:r>
    </w:p>
  </w:footnote>
  <w:footnote w:type="continuationSeparator" w:id="0">
    <w:p w14:paraId="33746296" w14:textId="77777777" w:rsidR="00F66B7A" w:rsidRDefault="00F66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69CB" w14:textId="77777777" w:rsidR="00E94B6C" w:rsidRDefault="00E94B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50DE" w14:textId="77777777" w:rsidR="00E94B6C" w:rsidRDefault="00E94B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6343" w14:textId="77777777" w:rsidR="00E94B6C" w:rsidRDefault="00E94B6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A449D"/>
    <w:multiLevelType w:val="hybridMultilevel"/>
    <w:tmpl w:val="ED72BF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79695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A36"/>
    <w:rsid w:val="00014EF9"/>
    <w:rsid w:val="00047D8D"/>
    <w:rsid w:val="000725F1"/>
    <w:rsid w:val="000D17BF"/>
    <w:rsid w:val="0011359D"/>
    <w:rsid w:val="00157CAF"/>
    <w:rsid w:val="001656EE"/>
    <w:rsid w:val="0016653D"/>
    <w:rsid w:val="001E0E21"/>
    <w:rsid w:val="002153B0"/>
    <w:rsid w:val="0021777F"/>
    <w:rsid w:val="00241DD0"/>
    <w:rsid w:val="002A0713"/>
    <w:rsid w:val="00300E76"/>
    <w:rsid w:val="00346A13"/>
    <w:rsid w:val="003C21AC"/>
    <w:rsid w:val="003C5218"/>
    <w:rsid w:val="003E2F98"/>
    <w:rsid w:val="003F625C"/>
    <w:rsid w:val="0042574B"/>
    <w:rsid w:val="004330ED"/>
    <w:rsid w:val="00477537"/>
    <w:rsid w:val="00481C91"/>
    <w:rsid w:val="004911E3"/>
    <w:rsid w:val="00497D57"/>
    <w:rsid w:val="004A7DD4"/>
    <w:rsid w:val="004B50D8"/>
    <w:rsid w:val="004B5B90"/>
    <w:rsid w:val="004E58A5"/>
    <w:rsid w:val="00501109"/>
    <w:rsid w:val="00526F63"/>
    <w:rsid w:val="005438CB"/>
    <w:rsid w:val="005703C9"/>
    <w:rsid w:val="00597703"/>
    <w:rsid w:val="005A6097"/>
    <w:rsid w:val="005B1DCC"/>
    <w:rsid w:val="005B7323"/>
    <w:rsid w:val="005C25B9"/>
    <w:rsid w:val="006267E6"/>
    <w:rsid w:val="0064482F"/>
    <w:rsid w:val="006558D2"/>
    <w:rsid w:val="00672D25"/>
    <w:rsid w:val="006738BC"/>
    <w:rsid w:val="006D3E69"/>
    <w:rsid w:val="006D7738"/>
    <w:rsid w:val="006E0971"/>
    <w:rsid w:val="00704BAD"/>
    <w:rsid w:val="007709F6"/>
    <w:rsid w:val="00786649"/>
    <w:rsid w:val="007965FC"/>
    <w:rsid w:val="007D2608"/>
    <w:rsid w:val="007E25B3"/>
    <w:rsid w:val="007E3E68"/>
    <w:rsid w:val="008164E5"/>
    <w:rsid w:val="00827898"/>
    <w:rsid w:val="00830081"/>
    <w:rsid w:val="00832A36"/>
    <w:rsid w:val="008413F4"/>
    <w:rsid w:val="008467D7"/>
    <w:rsid w:val="00852541"/>
    <w:rsid w:val="00865D47"/>
    <w:rsid w:val="008766F7"/>
    <w:rsid w:val="0088452C"/>
    <w:rsid w:val="008D7DCB"/>
    <w:rsid w:val="009055DB"/>
    <w:rsid w:val="00905ECB"/>
    <w:rsid w:val="00941C3A"/>
    <w:rsid w:val="00942DED"/>
    <w:rsid w:val="0096165D"/>
    <w:rsid w:val="009A409F"/>
    <w:rsid w:val="009B5845"/>
    <w:rsid w:val="009C0C1F"/>
    <w:rsid w:val="00A10505"/>
    <w:rsid w:val="00A1288B"/>
    <w:rsid w:val="00A53203"/>
    <w:rsid w:val="00A772EB"/>
    <w:rsid w:val="00A96346"/>
    <w:rsid w:val="00AE7064"/>
    <w:rsid w:val="00B01BA6"/>
    <w:rsid w:val="00B424E3"/>
    <w:rsid w:val="00B4708A"/>
    <w:rsid w:val="00B709BF"/>
    <w:rsid w:val="00B87F58"/>
    <w:rsid w:val="00BA0069"/>
    <w:rsid w:val="00BF623B"/>
    <w:rsid w:val="00BF76E5"/>
    <w:rsid w:val="00C035D4"/>
    <w:rsid w:val="00C159CB"/>
    <w:rsid w:val="00C34704"/>
    <w:rsid w:val="00C679BF"/>
    <w:rsid w:val="00C81BBD"/>
    <w:rsid w:val="00CD3132"/>
    <w:rsid w:val="00CE27CD"/>
    <w:rsid w:val="00D015CB"/>
    <w:rsid w:val="00D134F3"/>
    <w:rsid w:val="00D47D01"/>
    <w:rsid w:val="00D774B3"/>
    <w:rsid w:val="00DA3D32"/>
    <w:rsid w:val="00DD35A5"/>
    <w:rsid w:val="00DF68BE"/>
    <w:rsid w:val="00DF712A"/>
    <w:rsid w:val="00E01659"/>
    <w:rsid w:val="00E14CC9"/>
    <w:rsid w:val="00E15D6B"/>
    <w:rsid w:val="00E25DF4"/>
    <w:rsid w:val="00E3485D"/>
    <w:rsid w:val="00E6619B"/>
    <w:rsid w:val="00E94B6C"/>
    <w:rsid w:val="00EA1CE4"/>
    <w:rsid w:val="00EA69AC"/>
    <w:rsid w:val="00EB40A1"/>
    <w:rsid w:val="00EC3112"/>
    <w:rsid w:val="00ED0585"/>
    <w:rsid w:val="00ED5E57"/>
    <w:rsid w:val="00EE1BD8"/>
    <w:rsid w:val="00F0524D"/>
    <w:rsid w:val="00F35799"/>
    <w:rsid w:val="00F66B7A"/>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3081C"/>
  <w15:docId w15:val="{881808F6-F95C-44C6-900A-B82EEAE6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0069"/>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BA0069"/>
  </w:style>
  <w:style w:type="character" w:styleId="Eindnootmarkering">
    <w:name w:val="endnote reference"/>
    <w:semiHidden/>
    <w:rsid w:val="00BA0069"/>
    <w:rPr>
      <w:sz w:val="20"/>
      <w:vertAlign w:val="superscript"/>
    </w:rPr>
  </w:style>
  <w:style w:type="paragraph" w:styleId="Voetnoottekst">
    <w:name w:val="footnote text"/>
    <w:basedOn w:val="Standaard"/>
    <w:semiHidden/>
    <w:rsid w:val="00BA0069"/>
  </w:style>
  <w:style w:type="character" w:customStyle="1" w:styleId="Voetnootverwijzing">
    <w:name w:val="Voetnootverwijzing"/>
    <w:rsid w:val="00BA0069"/>
    <w:rPr>
      <w:sz w:val="20"/>
      <w:vertAlign w:val="superscript"/>
    </w:rPr>
  </w:style>
  <w:style w:type="paragraph" w:customStyle="1" w:styleId="wetsvoorstel">
    <w:name w:val="wetsvoorstel"/>
    <w:rsid w:val="00BA0069"/>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sid w:val="00BA0069"/>
    <w:rPr>
      <w:sz w:val="20"/>
    </w:rPr>
  </w:style>
  <w:style w:type="character" w:customStyle="1" w:styleId="Bibliografie1">
    <w:name w:val="Bibliografie1"/>
    <w:rsid w:val="00BA0069"/>
    <w:rPr>
      <w:sz w:val="20"/>
    </w:rPr>
  </w:style>
  <w:style w:type="character" w:customStyle="1" w:styleId="Dokument5">
    <w:name w:val="Dokument 5"/>
    <w:rsid w:val="00BA0069"/>
    <w:rPr>
      <w:sz w:val="20"/>
    </w:rPr>
  </w:style>
  <w:style w:type="character" w:customStyle="1" w:styleId="Dokument6">
    <w:name w:val="Dokument 6"/>
    <w:rsid w:val="00BA0069"/>
    <w:rPr>
      <w:sz w:val="20"/>
    </w:rPr>
  </w:style>
  <w:style w:type="character" w:customStyle="1" w:styleId="Dokument4">
    <w:name w:val="Dokument 4"/>
    <w:rsid w:val="00BA0069"/>
    <w:rPr>
      <w:b/>
      <w:i/>
    </w:rPr>
  </w:style>
  <w:style w:type="character" w:customStyle="1" w:styleId="Alineanummer2">
    <w:name w:val="Alineanummer 2"/>
    <w:rsid w:val="00BA0069"/>
    <w:rPr>
      <w:sz w:val="20"/>
    </w:rPr>
  </w:style>
  <w:style w:type="paragraph" w:customStyle="1" w:styleId="Dokument1">
    <w:name w:val="Dokument 1"/>
    <w:rsid w:val="00BA0069"/>
    <w:pPr>
      <w:keepNext/>
      <w:keepLines/>
      <w:widowControl w:val="0"/>
      <w:tabs>
        <w:tab w:val="left" w:pos="-720"/>
      </w:tabs>
      <w:suppressAutoHyphens/>
    </w:pPr>
    <w:rPr>
      <w:rFonts w:ascii="Courier New" w:hAnsi="Courier New"/>
      <w:sz w:val="24"/>
    </w:rPr>
  </w:style>
  <w:style w:type="character" w:customStyle="1" w:styleId="Alineanummer3">
    <w:name w:val="Alineanummer 3"/>
    <w:rsid w:val="00BA0069"/>
    <w:rPr>
      <w:sz w:val="20"/>
    </w:rPr>
  </w:style>
  <w:style w:type="character" w:customStyle="1" w:styleId="Alineanummer4">
    <w:name w:val="Alineanummer 4"/>
    <w:rsid w:val="00BA0069"/>
    <w:rPr>
      <w:sz w:val="20"/>
    </w:rPr>
  </w:style>
  <w:style w:type="character" w:customStyle="1" w:styleId="Alineanummer5">
    <w:name w:val="Alineanummer 5"/>
    <w:rsid w:val="00BA0069"/>
    <w:rPr>
      <w:sz w:val="20"/>
    </w:rPr>
  </w:style>
  <w:style w:type="character" w:customStyle="1" w:styleId="Alineanummer6">
    <w:name w:val="Alineanummer 6"/>
    <w:rsid w:val="00BA0069"/>
    <w:rPr>
      <w:sz w:val="20"/>
    </w:rPr>
  </w:style>
  <w:style w:type="character" w:customStyle="1" w:styleId="Dokument2">
    <w:name w:val="Dokument 2"/>
    <w:rsid w:val="00BA0069"/>
    <w:rPr>
      <w:rFonts w:ascii="Courier New" w:hAnsi="Courier New"/>
    </w:rPr>
  </w:style>
  <w:style w:type="character" w:customStyle="1" w:styleId="Alineanummer7">
    <w:name w:val="Alineanummer 7"/>
    <w:rsid w:val="00BA0069"/>
    <w:rPr>
      <w:sz w:val="20"/>
    </w:rPr>
  </w:style>
  <w:style w:type="character" w:customStyle="1" w:styleId="Alineanummer8">
    <w:name w:val="Alineanummer 8"/>
    <w:rsid w:val="00BA0069"/>
    <w:rPr>
      <w:sz w:val="20"/>
    </w:rPr>
  </w:style>
  <w:style w:type="character" w:customStyle="1" w:styleId="Techninit">
    <w:name w:val="Techn init"/>
    <w:rsid w:val="00BA0069"/>
    <w:rPr>
      <w:rFonts w:ascii="Courier New" w:hAnsi="Courier New"/>
    </w:rPr>
  </w:style>
  <w:style w:type="character" w:customStyle="1" w:styleId="Dokuinit">
    <w:name w:val="Doku init"/>
    <w:rsid w:val="00BA0069"/>
    <w:rPr>
      <w:sz w:val="20"/>
    </w:rPr>
  </w:style>
  <w:style w:type="character" w:customStyle="1" w:styleId="Dokument3">
    <w:name w:val="Dokument 3"/>
    <w:rsid w:val="00BA0069"/>
    <w:rPr>
      <w:rFonts w:ascii="Courier New" w:hAnsi="Courier New"/>
    </w:rPr>
  </w:style>
  <w:style w:type="character" w:customStyle="1" w:styleId="Dokument7">
    <w:name w:val="Dokument 7"/>
    <w:rsid w:val="00BA0069"/>
    <w:rPr>
      <w:sz w:val="20"/>
    </w:rPr>
  </w:style>
  <w:style w:type="character" w:customStyle="1" w:styleId="Dokument8">
    <w:name w:val="Dokument 8"/>
    <w:rsid w:val="00BA0069"/>
    <w:rPr>
      <w:sz w:val="20"/>
    </w:rPr>
  </w:style>
  <w:style w:type="character" w:customStyle="1" w:styleId="Technisch1">
    <w:name w:val="Technisch 1"/>
    <w:rsid w:val="00BA0069"/>
    <w:rPr>
      <w:rFonts w:ascii="Courier New" w:hAnsi="Courier New"/>
    </w:rPr>
  </w:style>
  <w:style w:type="character" w:customStyle="1" w:styleId="Technisch2">
    <w:name w:val="Technisch 2"/>
    <w:rsid w:val="00BA0069"/>
    <w:rPr>
      <w:rFonts w:ascii="Courier New" w:hAnsi="Courier New"/>
    </w:rPr>
  </w:style>
  <w:style w:type="character" w:customStyle="1" w:styleId="Technisch3">
    <w:name w:val="Technisch 3"/>
    <w:rsid w:val="00BA0069"/>
    <w:rPr>
      <w:rFonts w:ascii="Courier New" w:hAnsi="Courier New"/>
    </w:rPr>
  </w:style>
  <w:style w:type="character" w:customStyle="1" w:styleId="Technisch5">
    <w:name w:val="Technisch 5"/>
    <w:rsid w:val="00BA0069"/>
    <w:rPr>
      <w:sz w:val="20"/>
    </w:rPr>
  </w:style>
  <w:style w:type="character" w:customStyle="1" w:styleId="Technisch6">
    <w:name w:val="Technisch 6"/>
    <w:rsid w:val="00BA0069"/>
    <w:rPr>
      <w:sz w:val="20"/>
    </w:rPr>
  </w:style>
  <w:style w:type="character" w:customStyle="1" w:styleId="Technisch7">
    <w:name w:val="Technisch 7"/>
    <w:rsid w:val="00BA0069"/>
    <w:rPr>
      <w:sz w:val="20"/>
    </w:rPr>
  </w:style>
  <w:style w:type="character" w:customStyle="1" w:styleId="Technisch4">
    <w:name w:val="Technisch 4"/>
    <w:rsid w:val="00BA0069"/>
    <w:rPr>
      <w:sz w:val="20"/>
    </w:rPr>
  </w:style>
  <w:style w:type="character" w:customStyle="1" w:styleId="Technisch8">
    <w:name w:val="Technisch 8"/>
    <w:rsid w:val="00BA0069"/>
    <w:rPr>
      <w:sz w:val="20"/>
    </w:rPr>
  </w:style>
  <w:style w:type="paragraph" w:customStyle="1" w:styleId="Amendement">
    <w:name w:val="Amendement"/>
    <w:rsid w:val="00BA0069"/>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rsid w:val="00BA0069"/>
    <w:pPr>
      <w:tabs>
        <w:tab w:val="right" w:leader="dot" w:pos="9360"/>
      </w:tabs>
      <w:suppressAutoHyphens/>
      <w:spacing w:before="480"/>
      <w:ind w:left="720" w:right="720" w:hanging="720"/>
    </w:pPr>
  </w:style>
  <w:style w:type="paragraph" w:customStyle="1" w:styleId="inhopg2">
    <w:name w:val="inhopg 2"/>
    <w:basedOn w:val="Standaard"/>
    <w:rsid w:val="00BA0069"/>
    <w:pPr>
      <w:tabs>
        <w:tab w:val="right" w:leader="dot" w:pos="9360"/>
      </w:tabs>
      <w:suppressAutoHyphens/>
      <w:ind w:left="1440" w:right="720" w:hanging="720"/>
    </w:pPr>
  </w:style>
  <w:style w:type="paragraph" w:customStyle="1" w:styleId="inhopg3">
    <w:name w:val="inhopg 3"/>
    <w:basedOn w:val="Standaard"/>
    <w:rsid w:val="00BA0069"/>
    <w:pPr>
      <w:tabs>
        <w:tab w:val="right" w:leader="dot" w:pos="9360"/>
      </w:tabs>
      <w:suppressAutoHyphens/>
      <w:ind w:left="2160" w:right="720" w:hanging="720"/>
    </w:pPr>
  </w:style>
  <w:style w:type="paragraph" w:customStyle="1" w:styleId="inhopg4">
    <w:name w:val="inhopg 4"/>
    <w:basedOn w:val="Standaard"/>
    <w:rsid w:val="00BA0069"/>
    <w:pPr>
      <w:tabs>
        <w:tab w:val="right" w:leader="dot" w:pos="9360"/>
      </w:tabs>
      <w:suppressAutoHyphens/>
      <w:ind w:left="2880" w:right="720" w:hanging="720"/>
    </w:pPr>
  </w:style>
  <w:style w:type="paragraph" w:customStyle="1" w:styleId="inhopg5">
    <w:name w:val="inhopg 5"/>
    <w:basedOn w:val="Standaard"/>
    <w:rsid w:val="00BA0069"/>
    <w:pPr>
      <w:tabs>
        <w:tab w:val="right" w:leader="dot" w:pos="9360"/>
      </w:tabs>
      <w:suppressAutoHyphens/>
      <w:ind w:left="3600" w:right="720" w:hanging="720"/>
    </w:pPr>
  </w:style>
  <w:style w:type="paragraph" w:customStyle="1" w:styleId="inhopg6">
    <w:name w:val="inhopg 6"/>
    <w:basedOn w:val="Standaard"/>
    <w:rsid w:val="00BA0069"/>
    <w:pPr>
      <w:tabs>
        <w:tab w:val="right" w:pos="9360"/>
      </w:tabs>
      <w:suppressAutoHyphens/>
      <w:ind w:left="720" w:hanging="720"/>
    </w:pPr>
  </w:style>
  <w:style w:type="paragraph" w:customStyle="1" w:styleId="inhopg7">
    <w:name w:val="inhopg 7"/>
    <w:basedOn w:val="Standaard"/>
    <w:rsid w:val="00BA0069"/>
    <w:pPr>
      <w:suppressAutoHyphens/>
      <w:ind w:left="720" w:hanging="720"/>
    </w:pPr>
  </w:style>
  <w:style w:type="paragraph" w:customStyle="1" w:styleId="inhopg8">
    <w:name w:val="inhopg 8"/>
    <w:basedOn w:val="Standaard"/>
    <w:rsid w:val="00BA0069"/>
    <w:pPr>
      <w:tabs>
        <w:tab w:val="right" w:pos="9360"/>
      </w:tabs>
      <w:suppressAutoHyphens/>
      <w:ind w:left="720" w:hanging="720"/>
    </w:pPr>
  </w:style>
  <w:style w:type="paragraph" w:customStyle="1" w:styleId="inhopg9">
    <w:name w:val="inhopg 9"/>
    <w:basedOn w:val="Standaard"/>
    <w:rsid w:val="00BA0069"/>
    <w:pPr>
      <w:tabs>
        <w:tab w:val="right" w:leader="dot" w:pos="9360"/>
      </w:tabs>
      <w:suppressAutoHyphens/>
      <w:ind w:left="720" w:hanging="720"/>
    </w:pPr>
  </w:style>
  <w:style w:type="paragraph" w:styleId="Index1">
    <w:name w:val="index 1"/>
    <w:basedOn w:val="Standaard"/>
    <w:next w:val="Standaard"/>
    <w:semiHidden/>
    <w:rsid w:val="00BA0069"/>
    <w:pPr>
      <w:tabs>
        <w:tab w:val="right" w:leader="dot" w:pos="9360"/>
      </w:tabs>
      <w:suppressAutoHyphens/>
      <w:ind w:left="1440" w:right="720" w:hanging="1440"/>
    </w:pPr>
  </w:style>
  <w:style w:type="paragraph" w:styleId="Index2">
    <w:name w:val="index 2"/>
    <w:basedOn w:val="Standaard"/>
    <w:next w:val="Standaard"/>
    <w:semiHidden/>
    <w:rsid w:val="00BA0069"/>
    <w:pPr>
      <w:tabs>
        <w:tab w:val="right" w:leader="dot" w:pos="9360"/>
      </w:tabs>
      <w:suppressAutoHyphens/>
      <w:ind w:left="1440" w:right="720" w:hanging="720"/>
    </w:pPr>
  </w:style>
  <w:style w:type="paragraph" w:customStyle="1" w:styleId="bronvermelding">
    <w:name w:val="bronvermelding"/>
    <w:basedOn w:val="Standaard"/>
    <w:rsid w:val="00BA0069"/>
    <w:pPr>
      <w:tabs>
        <w:tab w:val="right" w:pos="9360"/>
      </w:tabs>
      <w:suppressAutoHyphens/>
    </w:pPr>
  </w:style>
  <w:style w:type="paragraph" w:customStyle="1" w:styleId="bijschrift">
    <w:name w:val="bijschrift"/>
    <w:basedOn w:val="Standaard"/>
    <w:rsid w:val="00BA0069"/>
  </w:style>
  <w:style w:type="character" w:customStyle="1" w:styleId="EquationCaption">
    <w:name w:val="_Equation Caption"/>
    <w:rsid w:val="00BA0069"/>
    <w:rPr>
      <w:sz w:val="20"/>
    </w:rPr>
  </w:style>
  <w:style w:type="paragraph" w:styleId="Koptekst">
    <w:name w:val="header"/>
    <w:basedOn w:val="Standaard"/>
    <w:rsid w:val="00BA0069"/>
    <w:pPr>
      <w:tabs>
        <w:tab w:val="center" w:pos="4536"/>
        <w:tab w:val="right" w:pos="9072"/>
      </w:tabs>
    </w:pPr>
  </w:style>
  <w:style w:type="paragraph" w:styleId="Voettekst">
    <w:name w:val="footer"/>
    <w:basedOn w:val="Standaard"/>
    <w:rsid w:val="00BA0069"/>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3F625C"/>
    <w:pPr>
      <w:widowControl/>
      <w:spacing w:line="240" w:lineRule="atLeast"/>
      <w:ind w:left="720"/>
      <w:contextualSpacing/>
    </w:pPr>
    <w:rPr>
      <w:rFonts w:ascii="Verdana" w:hAnsi="Verdana"/>
      <w:sz w:val="18"/>
      <w:szCs w:val="24"/>
    </w:rPr>
  </w:style>
  <w:style w:type="character" w:styleId="Verwijzingopmerking">
    <w:name w:val="annotation reference"/>
    <w:basedOn w:val="Standaardalinea-lettertype"/>
    <w:semiHidden/>
    <w:unhideWhenUsed/>
    <w:rsid w:val="003F625C"/>
    <w:rPr>
      <w:sz w:val="16"/>
      <w:szCs w:val="16"/>
    </w:rPr>
  </w:style>
  <w:style w:type="paragraph" w:styleId="Tekstopmerking">
    <w:name w:val="annotation text"/>
    <w:basedOn w:val="Standaard"/>
    <w:link w:val="TekstopmerkingChar"/>
    <w:unhideWhenUsed/>
    <w:rsid w:val="003F625C"/>
    <w:rPr>
      <w:sz w:val="20"/>
    </w:rPr>
  </w:style>
  <w:style w:type="character" w:customStyle="1" w:styleId="TekstopmerkingChar">
    <w:name w:val="Tekst opmerking Char"/>
    <w:basedOn w:val="Standaardalinea-lettertype"/>
    <w:link w:val="Tekstopmerking"/>
    <w:rsid w:val="003F625C"/>
  </w:style>
  <w:style w:type="paragraph" w:styleId="Onderwerpvanopmerking">
    <w:name w:val="annotation subject"/>
    <w:basedOn w:val="Tekstopmerking"/>
    <w:next w:val="Tekstopmerking"/>
    <w:link w:val="OnderwerpvanopmerkingChar"/>
    <w:semiHidden/>
    <w:unhideWhenUsed/>
    <w:rsid w:val="003F625C"/>
    <w:rPr>
      <w:b/>
      <w:bCs/>
    </w:rPr>
  </w:style>
  <w:style w:type="character" w:customStyle="1" w:styleId="OnderwerpvanopmerkingChar">
    <w:name w:val="Onderwerp van opmerking Char"/>
    <w:basedOn w:val="TekstopmerkingChar"/>
    <w:link w:val="Onderwerpvanopmerking"/>
    <w:semiHidden/>
    <w:rsid w:val="003F625C"/>
    <w:rPr>
      <w:b/>
      <w:bCs/>
    </w:rPr>
  </w:style>
  <w:style w:type="paragraph" w:styleId="Revisie">
    <w:name w:val="Revision"/>
    <w:hidden/>
    <w:uiPriority w:val="99"/>
    <w:semiHidden/>
    <w:rsid w:val="0064482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416</ap:Words>
  <ap:Characters>2291</ap:Characters>
  <ap:DocSecurity>4</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2025-11-17T12:38:00.0000000Z</dcterms:created>
  <dcterms:modified xsi:type="dcterms:W3CDTF">2025-11-17T12:38:00.0000000Z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2022-09-21T14:39:27Z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82e59650-ec89-478f-92df-3c1bc9bc05e5</vt:lpwstr>
  </property>
  <property fmtid="{D5CDD505-2E9C-101B-9397-08002B2CF9AE}" pid="8" name="MSIP_Label_b2aa6e22-2c82-48c6-bf24-1790f4b9c128_ContentBits">
    <vt:lpwstr>0</vt:lpwstr>
  </property>
</Properties>
</file>