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7804" w:rsidP="00497804" w:rsidRDefault="00497804" w14:paraId="32287CDC" w14:textId="4D7F0F65">
      <w:r>
        <w:t>AH 411</w:t>
      </w:r>
    </w:p>
    <w:p w:rsidR="00497804" w:rsidP="00497804" w:rsidRDefault="00497804" w14:paraId="74F695A7" w14:textId="318AA14D">
      <w:r>
        <w:t>2025Z17850</w:t>
      </w:r>
    </w:p>
    <w:p w:rsidR="00497804" w:rsidP="00497804" w:rsidRDefault="00497804" w14:paraId="6E4D0A4B" w14:textId="0D9BE5EE">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17 november 2025)</w:t>
      </w:r>
    </w:p>
    <w:p w:rsidR="00497804" w:rsidP="00497804" w:rsidRDefault="00497804" w14:paraId="766B7303" w14:textId="77777777"/>
    <w:p w:rsidRPr="00497804" w:rsidR="00497804" w:rsidP="00497804" w:rsidRDefault="00497804" w14:paraId="08120F47" w14:textId="765DED6B">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203</w:t>
      </w:r>
    </w:p>
    <w:p w:rsidR="00497804" w:rsidP="00497804" w:rsidRDefault="00497804" w14:paraId="564AD8BD" w14:textId="77777777">
      <w:r>
        <w:t>1</w:t>
      </w:r>
      <w:r>
        <w:tab/>
      </w:r>
    </w:p>
    <w:p w:rsidR="00497804" w:rsidP="00497804" w:rsidRDefault="00497804" w14:paraId="1069BC2E" w14:textId="77777777">
      <w:r>
        <w:t>Bent u bekend met het Deense onderzoek waaruit blijkt dat de PFAS-verbinding TFA (trifluorazijnzuur) makkelijk uitspoelt naar het milieu en daarmee drinkwaterbronnen bedreigt? Hoe kijkt u naar die conclusies?</w:t>
      </w:r>
    </w:p>
    <w:p w:rsidR="00497804" w:rsidP="00497804" w:rsidRDefault="00497804" w14:paraId="4364EB4E" w14:textId="77777777"/>
    <w:p w:rsidR="00497804" w:rsidP="00497804" w:rsidRDefault="00497804" w14:paraId="11A3EAD4" w14:textId="77777777">
      <w:r>
        <w:t>2</w:t>
      </w:r>
    </w:p>
    <w:p w:rsidR="00497804" w:rsidP="00497804" w:rsidRDefault="00497804" w14:paraId="5874722C" w14:textId="77777777">
      <w:r>
        <w:t>Hoe kijkt u naar het besluit dat door Denemarken is genomen om 23 bestrijdingsmiddelen, die het schadelijke afbraakproduct TFA vormen, per direct te verbieden vanwege de risico’s voor het grondwater en de drinkwatervoorziening?</w:t>
      </w:r>
    </w:p>
    <w:p w:rsidR="00497804" w:rsidP="00497804" w:rsidRDefault="00497804" w14:paraId="064CF3CE" w14:textId="77777777"/>
    <w:p w:rsidR="00497804" w:rsidP="00497804" w:rsidRDefault="00497804" w14:paraId="5131D5F0" w14:textId="77777777">
      <w:r>
        <w:t>Antwoord vraag 1 en 2</w:t>
      </w:r>
    </w:p>
    <w:p w:rsidR="00497804" w:rsidP="00497804" w:rsidRDefault="00497804" w14:paraId="7FE9498D" w14:textId="77777777">
      <w:r>
        <w:t xml:space="preserve">Denemarken heeft de Europese Commissie en alle lidstaten geïnformeerd over het besluit om de toelating van deze middelen in te trekken. </w:t>
      </w:r>
      <w:r w:rsidRPr="001D00C2">
        <w:t>Het Ctgb bestudeert het onderzoek waarop dit besluit is gebaseerd om te bepalen wat dit betekent voor de</w:t>
      </w:r>
      <w:r>
        <w:t xml:space="preserve"> </w:t>
      </w:r>
      <w:r w:rsidRPr="001D00C2">
        <w:t>Nederlandse situatie</w:t>
      </w:r>
      <w:r>
        <w:t>. Het is vervolgens aan het Ctgb om, als aangewezen toelatingsautoriteit, te bepalen of er aanleiding is om de in Nederland toegelaten middelen op basis van deze stoffen tussentijds opnieuw te beoordelen.</w:t>
      </w:r>
    </w:p>
    <w:p w:rsidR="00497804" w:rsidP="00497804" w:rsidRDefault="00497804" w14:paraId="33B79F9C" w14:textId="77777777"/>
    <w:p w:rsidR="00497804" w:rsidP="00497804" w:rsidRDefault="00497804" w14:paraId="2672E10A" w14:textId="77777777">
      <w:r>
        <w:t>3</w:t>
      </w:r>
      <w:r>
        <w:tab/>
      </w:r>
    </w:p>
    <w:p w:rsidR="00497804" w:rsidP="00497804" w:rsidRDefault="00497804" w14:paraId="20300D68" w14:textId="77777777">
      <w:r>
        <w:t xml:space="preserve">Hoe lang duurt het voordat het College voor de toelating van gewasbeschermingsmiddelen en biociden (Ctgb) het genoemde onderzoek en het daaropvolgende besluit in Denemarken heeft bestudeerd, zoals toegezegd tijdens het tweeminutendebat Gewasbeschermingsmiddelen op 3 september jongstleden? </w:t>
      </w:r>
    </w:p>
    <w:p w:rsidR="00497804" w:rsidP="00497804" w:rsidRDefault="00497804" w14:paraId="6E7F2146" w14:textId="77777777"/>
    <w:p w:rsidR="00497804" w:rsidP="00497804" w:rsidRDefault="00497804" w14:paraId="1E2C7A1C" w14:textId="77777777">
      <w:r>
        <w:t>4</w:t>
      </w:r>
      <w:r>
        <w:tab/>
      </w:r>
    </w:p>
    <w:p w:rsidR="00497804" w:rsidP="00497804" w:rsidRDefault="00497804" w14:paraId="2B554B6E" w14:textId="77777777">
      <w:r>
        <w:t>Wanneer gaat u de Kamer verder informeren over de analyse van het Ctgb en het mogelijke besluit dat daaruit volgt?</w:t>
      </w:r>
    </w:p>
    <w:p w:rsidR="00497804" w:rsidP="00497804" w:rsidRDefault="00497804" w14:paraId="023B8AD7" w14:textId="77777777"/>
    <w:p w:rsidR="00497804" w:rsidP="00497804" w:rsidRDefault="00497804" w14:paraId="4149FF58" w14:textId="77777777">
      <w:r>
        <w:lastRenderedPageBreak/>
        <w:t>Antwoord vraag 3 en 4</w:t>
      </w:r>
    </w:p>
    <w:p w:rsidR="00497804" w:rsidP="00497804" w:rsidRDefault="00497804" w14:paraId="4ED5B760" w14:textId="77777777">
      <w:r>
        <w:t>Het Ctgb bestudeert het Deense onderzoek momenteel zorgvuldig en dat kost tijd. Vanwege de hoeveelheid werk en complexiteit van het dossier kan het Ctgb nog niet aangeven wanneer dit is afgerond. Zodra er een besluit is genomen door het Ctgb zal ik uw Kamer hierover informeren.</w:t>
      </w:r>
    </w:p>
    <w:p w:rsidR="00497804" w:rsidP="00497804" w:rsidRDefault="00497804" w14:paraId="77E8B7A3" w14:textId="77777777"/>
    <w:p w:rsidR="00497804" w:rsidP="00497804" w:rsidRDefault="00497804" w14:paraId="35D9D948" w14:textId="77777777">
      <w:r>
        <w:t>5</w:t>
      </w:r>
      <w:r>
        <w:tab/>
      </w:r>
    </w:p>
    <w:p w:rsidR="00497804" w:rsidP="00497804" w:rsidRDefault="00497804" w14:paraId="01717CBF" w14:textId="77777777">
      <w:r>
        <w:t>Waarom zijn al deze middelen in Nederland nog steeds toegestaan terwijl het Ctgb al eerder om een snelle Europese herbeoordeling vroeg?</w:t>
      </w:r>
    </w:p>
    <w:p w:rsidR="00497804" w:rsidP="00497804" w:rsidRDefault="00497804" w14:paraId="79CB59D7" w14:textId="77777777"/>
    <w:p w:rsidR="00497804" w:rsidP="00497804" w:rsidRDefault="00497804" w14:paraId="09427EA0" w14:textId="77777777">
      <w:r>
        <w:t>Antwoord</w:t>
      </w:r>
    </w:p>
    <w:p w:rsidR="00497804" w:rsidP="00497804" w:rsidRDefault="00497804" w14:paraId="57008655" w14:textId="77777777">
      <w:r>
        <w:t>Het Ctgb heeft aangedrongen op een snelle Europese herbeoordeling van de betreffende werkzame stoffen omdat nieuwe wetenschappelijke informatie beschikbaar is over het afbraakproduct TFA. Deze nieuwe informatie zorgt voor een strengere norm voor TFA bij de beoordeling van risico’s voor het grondwater. Om vervolgens te bepalen of nog aan deze norm voldaan wordt is aanvullende informatie nodig of werkzame stoffen inderdaad TFA produceren en hoeveel TFA dan wordt gevormd en uitspoelt naar het grondwater. Deze informatie wordt gegenereerd in de Europese stofbeoordeling.</w:t>
      </w:r>
    </w:p>
    <w:p w:rsidR="00497804" w:rsidP="00497804" w:rsidRDefault="00497804" w14:paraId="4A2E4C49" w14:textId="77777777">
      <w:r>
        <w:t>Het Deense onderzoek levert voor 6 stoffen aanvullende informatie op over de vorming van TFA. Het Ctgb bestudeert deze informatie om te bepalen wat dit betekent voor de Nederlandse situatie en de in Nederland toegelaten middelen. Voor overige stoffen die mogelijk TFA produceren moet de benodigde informatie over TFA nog worden gegenereerd door middel van onderzoek. Een brede Europese aanpak op stofniveau heeft de voorkeur boven een nationale aanpak op middelniveau, omdat alle werkzame stoffen die mogelijk TFA produceren hiermee zo snel mogelijk met Europees geharmoniseerde methodes kunnen worden beoordeeld. De Europese Commissie is van mening dat de beoordeling van het afbraakproduct TFA in de lopende herbeoordelingen moet worden geadresseerd en maant lidstaten die een stof beoordelen die mogelijk TFA produceert tot een snelle afronding van de (her)beoordeling</w:t>
      </w:r>
    </w:p>
    <w:p w:rsidR="00497804" w:rsidP="00497804" w:rsidRDefault="00497804" w14:paraId="6D316B74" w14:textId="77777777"/>
    <w:p w:rsidR="00497804" w:rsidP="00497804" w:rsidRDefault="00497804" w14:paraId="1BF4204D" w14:textId="77777777">
      <w:r>
        <w:t>6</w:t>
      </w:r>
      <w:r>
        <w:tab/>
      </w:r>
    </w:p>
    <w:p w:rsidR="00497804" w:rsidP="00497804" w:rsidRDefault="00497804" w14:paraId="7F87F7D2" w14:textId="77777777">
      <w:r>
        <w:t>Waarom wordt het middel ‘Luna Sensation’ van Bayer, dat fluopyram bevat, wel verboden wegens risico’s voor boeren, bijen en vogels, maar mogen negen andere fluopyram-houdende middelen nog steeds worden toegepast?</w:t>
      </w:r>
    </w:p>
    <w:p w:rsidR="00497804" w:rsidP="00497804" w:rsidRDefault="00497804" w14:paraId="1E3B28EE" w14:textId="77777777"/>
    <w:p w:rsidR="00497804" w:rsidP="00497804" w:rsidRDefault="00497804" w14:paraId="5E9DECD4" w14:textId="77777777">
      <w:r>
        <w:t>Antwoord</w:t>
      </w:r>
    </w:p>
    <w:p w:rsidR="00497804" w:rsidP="00497804" w:rsidRDefault="00497804" w14:paraId="6B936DF6" w14:textId="77777777">
      <w:r>
        <w:lastRenderedPageBreak/>
        <w:t xml:space="preserve">Het middel Luna Sensation bevat twee werkzame stoffen: fluopyram en trifloxystrobin. De aanleiding van de herbeoordeling van het middel Luna Sensation was de herbeoordeling van de stof trifloxystrobin. De werkzame stof fluopyram wordt momenteel Europees herbeoordeeld. Wanneer deze herbeoordeling is afgerond, start het Ctgb met de herbeoordeling van toegelaten middelen op basis van fluopyram. </w:t>
      </w:r>
    </w:p>
    <w:p w:rsidR="00497804" w:rsidP="00497804" w:rsidRDefault="00497804" w14:paraId="11EE5441" w14:textId="77777777"/>
    <w:p w:rsidR="00497804" w:rsidP="00497804" w:rsidRDefault="00497804" w14:paraId="7F230C03" w14:textId="77777777">
      <w:r>
        <w:t>7</w:t>
      </w:r>
      <w:r>
        <w:tab/>
      </w:r>
    </w:p>
    <w:p w:rsidR="00497804" w:rsidP="00497804" w:rsidRDefault="00497804" w14:paraId="7E90DD73" w14:textId="77777777">
      <w:r>
        <w:t>Dringt u er bij het Ctgb op aan dat de herbeoordelingen van deze negen middelen op zeer korte termijn worden uitgevoerd, zodat deze schadelijke stoffen niet langer in het milieu terechtkomen? Zo nee, waarom niet?</w:t>
      </w:r>
    </w:p>
    <w:p w:rsidR="00497804" w:rsidP="00497804" w:rsidRDefault="00497804" w14:paraId="168C897A" w14:textId="77777777"/>
    <w:p w:rsidR="00497804" w:rsidP="00497804" w:rsidRDefault="00497804" w14:paraId="2882DB2C" w14:textId="77777777">
      <w:r>
        <w:t>Antwoord</w:t>
      </w:r>
    </w:p>
    <w:p w:rsidR="00497804" w:rsidP="00497804" w:rsidRDefault="00497804" w14:paraId="3F1EF642" w14:textId="77777777">
      <w:r>
        <w:t xml:space="preserve">Zodra de Europese herbeoordeling van fluopyram is afgerond zal het Ctgb, conform toelatingsprocedure, starten met de herbeoordeling van de betreffende middelen. De werkzame stof fluopyram is daarnaast één van de stoffen uit het Deense onderzoek over TFA. Op dit moment bestudeert het Ctgb wat deze informatie betekent voor de Nederlandse situatie. Ik heb hierbij vertrouwen in de deskundigheid van het Ctgb als Nederlandse toelatingsautoriteit.  </w:t>
      </w:r>
    </w:p>
    <w:p w:rsidR="00497804" w:rsidP="00497804" w:rsidRDefault="00497804" w14:paraId="21DA2290" w14:textId="77777777"/>
    <w:p w:rsidR="00497804" w:rsidP="00497804" w:rsidRDefault="00497804" w14:paraId="486CA6F5" w14:textId="77777777">
      <w:r>
        <w:t>8</w:t>
      </w:r>
      <w:r>
        <w:tab/>
      </w:r>
    </w:p>
    <w:p w:rsidR="00497804" w:rsidP="00497804" w:rsidRDefault="00497804" w14:paraId="0B4DEB22" w14:textId="77777777">
      <w:r>
        <w:t>Waarom mogen bestaande voorraden van ‘Luna Sensation’ nog worden opgebruikt tot juli 2026 terwijl dit besluit is genomen vanwege de risico’s voor mens en natuur? Deelt u de opvatting dat het gebruik ervan dan per direct moet worden gestopt?</w:t>
      </w:r>
    </w:p>
    <w:p w:rsidR="00497804" w:rsidP="00497804" w:rsidRDefault="00497804" w14:paraId="474240EE" w14:textId="77777777"/>
    <w:p w:rsidR="00497804" w:rsidP="00497804" w:rsidRDefault="00497804" w14:paraId="53C1D289" w14:textId="77777777">
      <w:r>
        <w:t>Antwoord</w:t>
      </w:r>
    </w:p>
    <w:p w:rsidR="00497804" w:rsidP="00497804" w:rsidRDefault="00497804" w14:paraId="4DB6B712" w14:textId="77777777">
      <w:r>
        <w:t>Het Ctgb stelt de aflever- en opgebruiktermijnen van gewasbeschermingsmiddelen vast conform het besluit beleidsregel respijttermijnen voor gewasbeschermingsmiddelen</w:t>
      </w:r>
      <w:r>
        <w:rPr>
          <w:rStyle w:val="Voetnootmarkering"/>
        </w:rPr>
        <w:footnoteReference w:id="1"/>
      </w:r>
      <w:r>
        <w:t xml:space="preserve">. Deze termijnen geven de sector de mogelijkheid om naar alternatieven te zoeken en eventuele voorraden kunnen worden afgeleverd en opgemaakt. De duur van de respijttermijn is afhankelijk van de ernst van de risico’s, omvang van de voorraad, het gebruiksseizoen en de mate waarin de keten is verrast en de mogelijkheden om de gevolgen van de intrekking op te vangen. De wettelijke vastgestelde maximum duur van respijttermijnen is 6 maanden voor afleveren en 12 maanden daarbovenop voor opgebruik (totaal maximaal 18 maanden). Het Ctgb </w:t>
      </w:r>
      <w:r>
        <w:lastRenderedPageBreak/>
        <w:t xml:space="preserve">heeft voor Luna Sensation beperkt respijt gegeven van in totaal 12 maanden (aflever- en opgebruiktermijn beide 6 maanden). </w:t>
      </w:r>
    </w:p>
    <w:p w:rsidR="00497804" w:rsidP="00497804" w:rsidRDefault="00497804" w14:paraId="759A1D8E" w14:textId="77777777"/>
    <w:p w:rsidR="00497804" w:rsidP="00497804" w:rsidRDefault="00497804" w14:paraId="346CBFA1" w14:textId="77777777">
      <w:r>
        <w:t>9</w:t>
      </w:r>
      <w:r>
        <w:tab/>
      </w:r>
    </w:p>
    <w:p w:rsidR="00497804" w:rsidP="00497804" w:rsidRDefault="00497804" w14:paraId="4B0064D2" w14:textId="77777777">
      <w:r>
        <w:t>Heeft u gesprekken met de drinkwaterbedrijven en milieuorganisaties die al veel langer waarschuwen voor de milieu- en gezondheidsrisico’s van PFAS-houdende bestrijdingsmiddelen?</w:t>
      </w:r>
    </w:p>
    <w:p w:rsidR="00497804" w:rsidP="00497804" w:rsidRDefault="00497804" w14:paraId="6928A441" w14:textId="77777777"/>
    <w:p w:rsidR="00497804" w:rsidP="00497804" w:rsidRDefault="00497804" w14:paraId="573234E4" w14:textId="77777777">
      <w:r>
        <w:t>Antwoord</w:t>
      </w:r>
    </w:p>
    <w:p w:rsidR="00497804" w:rsidP="00497804" w:rsidRDefault="00497804" w14:paraId="3C240285" w14:textId="77777777">
      <w:r>
        <w:t xml:space="preserve">Ja, ik heb gesprekken gevoerd met de vereniging van waterbedrijven in Nederland (Vewin) over PFAS-houdende gewasbeschermingsmiddelen.  </w:t>
      </w:r>
    </w:p>
    <w:p w:rsidR="00497804" w:rsidP="00497804" w:rsidRDefault="00497804" w14:paraId="4C816D2D" w14:textId="77777777"/>
    <w:p w:rsidR="00497804" w:rsidP="00497804" w:rsidRDefault="00497804" w14:paraId="1C462E6B" w14:textId="77777777">
      <w:r>
        <w:t>10</w:t>
      </w:r>
      <w:r>
        <w:tab/>
      </w:r>
    </w:p>
    <w:p w:rsidR="00497804" w:rsidP="00497804" w:rsidRDefault="00497804" w14:paraId="4B6F74E5" w14:textId="77777777">
      <w:r>
        <w:t>Deelt u de opvatting dat er voldoende wetenschappelijk onderzoek is over de risico’s van PFAS om PFAS-houdende bestrijdingsmiddelen van de markt te halen? Zo ja, per wanneer kan de Kamer een verbod verwachten? Zo nee, kunt u dat onderbouwen?</w:t>
      </w:r>
    </w:p>
    <w:p w:rsidR="00497804" w:rsidP="00497804" w:rsidRDefault="00497804" w14:paraId="0DE44D9C" w14:textId="77777777"/>
    <w:p w:rsidR="00497804" w:rsidP="00497804" w:rsidRDefault="00497804" w14:paraId="0A821A0A" w14:textId="77777777">
      <w:r>
        <w:t>Antwoord</w:t>
      </w:r>
    </w:p>
    <w:p w:rsidR="00497804" w:rsidP="00497804" w:rsidRDefault="00497804" w14:paraId="3C2DA63C" w14:textId="77777777">
      <w:r>
        <w:t>Ik heb vertrouwen in het toelatingssysteem waarbij alle toegelaten middelen zijn beoordeeld op de risico’s voor mens, dier en milieu. Hierbij zijn de stoffen Europees beoordeeld aan de hand van Europees geharmoniseerde beoordelingskaders en worden middelen nationaal toegelaten waarbij gekeken wordt naar de specifieke toepassing en naar de nationale omstandigheden. Een middel mag pas op de markt komen als wetenschappelijk is aangetoond dat dit veilig kan worden toegepast. Op het moment dat nieuwe relevante wetenschappelijk informatie beschikbaar komt over een stof zal worden bekeken of een eerdere beoordeling van een stof of middel moet worden herzien.</w:t>
      </w:r>
    </w:p>
    <w:p w:rsidR="00497804" w:rsidP="00497804" w:rsidRDefault="00497804" w14:paraId="3E4F12E7" w14:textId="77777777"/>
    <w:p w:rsidRPr="00542EEF" w:rsidR="00497804" w:rsidP="00497804" w:rsidRDefault="00497804" w14:paraId="7A951037" w14:textId="77777777">
      <w:r>
        <w:t xml:space="preserve">Naar aanleiding van het genoemde onderzoek van Denemarken is nieuwe informatie beschikbaar gekomen over de afbraak van zes werkzame stoffen tot TFA en de uitspoeling hiervan naar grondwater. Het Ctgb bestudeert momenteel het onderzoek waarop het besluit is gebaseerd om te bepalen wat dit betekent voor de Nederlandse situatie en of er aanleiding is om de in Nederland toegelaten middelen op basis van deze stoffen tussentijds opnieuw te beoordelen. Het is aan het Ctgb om, als aangewezen toelatingsautoriteit, </w:t>
      </w:r>
      <w:r w:rsidRPr="001D00C2">
        <w:t>eventueel vervolgstappen te bepalen</w:t>
      </w:r>
      <w:r>
        <w:t>.</w:t>
      </w:r>
    </w:p>
    <w:p w:rsidR="000A4DDC" w:rsidRDefault="000A4DDC" w14:paraId="439C0830" w14:textId="77777777"/>
    <w:sectPr w:rsidR="000A4DDC" w:rsidSect="00497804">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AF58E" w14:textId="77777777" w:rsidR="00497804" w:rsidRDefault="00497804" w:rsidP="00497804">
      <w:pPr>
        <w:spacing w:after="0" w:line="240" w:lineRule="auto"/>
      </w:pPr>
      <w:r>
        <w:separator/>
      </w:r>
    </w:p>
  </w:endnote>
  <w:endnote w:type="continuationSeparator" w:id="0">
    <w:p w14:paraId="498E38EC" w14:textId="77777777" w:rsidR="00497804" w:rsidRDefault="00497804" w:rsidP="00497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7F7D" w14:textId="77777777" w:rsidR="00497804" w:rsidRPr="00497804" w:rsidRDefault="00497804" w:rsidP="004978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2C3B" w14:textId="77777777" w:rsidR="00497804" w:rsidRPr="00497804" w:rsidRDefault="00497804" w:rsidP="004978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05949" w14:textId="77777777" w:rsidR="00497804" w:rsidRPr="00497804" w:rsidRDefault="00497804" w:rsidP="004978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A8B3D" w14:textId="77777777" w:rsidR="00497804" w:rsidRDefault="00497804" w:rsidP="00497804">
      <w:pPr>
        <w:spacing w:after="0" w:line="240" w:lineRule="auto"/>
      </w:pPr>
      <w:r>
        <w:separator/>
      </w:r>
    </w:p>
  </w:footnote>
  <w:footnote w:type="continuationSeparator" w:id="0">
    <w:p w14:paraId="6088E08C" w14:textId="77777777" w:rsidR="00497804" w:rsidRDefault="00497804" w:rsidP="00497804">
      <w:pPr>
        <w:spacing w:after="0" w:line="240" w:lineRule="auto"/>
      </w:pPr>
      <w:r>
        <w:continuationSeparator/>
      </w:r>
    </w:p>
  </w:footnote>
  <w:footnote w:id="1">
    <w:p w14:paraId="7A494453" w14:textId="77777777" w:rsidR="00497804" w:rsidRPr="00307850" w:rsidRDefault="00497804" w:rsidP="00497804">
      <w:pPr>
        <w:pStyle w:val="Voetnoottekst"/>
      </w:pPr>
      <w:r>
        <w:rPr>
          <w:rStyle w:val="Voetnootmarkering"/>
        </w:rPr>
        <w:footnoteRef/>
      </w:r>
      <w:r>
        <w:t xml:space="preserve"> </w:t>
      </w:r>
      <w:hyperlink r:id="rId1" w:history="1">
        <w:r>
          <w:rPr>
            <w:rStyle w:val="Hyperlink"/>
          </w:rPr>
          <w:t>wetten.nl - Regeling - Besluit beleidsregel respijttermijnen voor gewasbeschermingsmiddelen - BWBR0038443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F98F" w14:textId="77777777" w:rsidR="00497804" w:rsidRPr="00497804" w:rsidRDefault="00497804" w:rsidP="004978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E5DC5" w14:textId="77777777" w:rsidR="00497804" w:rsidRPr="00497804" w:rsidRDefault="00497804" w:rsidP="0049780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F54B" w14:textId="77777777" w:rsidR="00497804" w:rsidRPr="00497804" w:rsidRDefault="00497804" w:rsidP="0049780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804"/>
    <w:rsid w:val="000A4DDC"/>
    <w:rsid w:val="00497804"/>
    <w:rsid w:val="00DB1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65667"/>
  <w15:chartTrackingRefBased/>
  <w15:docId w15:val="{21513E35-9905-4B24-A7EE-DCB20EB4B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78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78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780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780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780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780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780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780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780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780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780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780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780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780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780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780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780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7804"/>
    <w:rPr>
      <w:rFonts w:eastAsiaTheme="majorEastAsia" w:cstheme="majorBidi"/>
      <w:color w:val="272727" w:themeColor="text1" w:themeTint="D8"/>
    </w:rPr>
  </w:style>
  <w:style w:type="paragraph" w:styleId="Titel">
    <w:name w:val="Title"/>
    <w:basedOn w:val="Standaard"/>
    <w:next w:val="Standaard"/>
    <w:link w:val="TitelChar"/>
    <w:uiPriority w:val="10"/>
    <w:qFormat/>
    <w:rsid w:val="004978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780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780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780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780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7804"/>
    <w:rPr>
      <w:i/>
      <w:iCs/>
      <w:color w:val="404040" w:themeColor="text1" w:themeTint="BF"/>
    </w:rPr>
  </w:style>
  <w:style w:type="paragraph" w:styleId="Lijstalinea">
    <w:name w:val="List Paragraph"/>
    <w:basedOn w:val="Standaard"/>
    <w:uiPriority w:val="34"/>
    <w:qFormat/>
    <w:rsid w:val="00497804"/>
    <w:pPr>
      <w:ind w:left="720"/>
      <w:contextualSpacing/>
    </w:pPr>
  </w:style>
  <w:style w:type="character" w:styleId="Intensievebenadrukking">
    <w:name w:val="Intense Emphasis"/>
    <w:basedOn w:val="Standaardalinea-lettertype"/>
    <w:uiPriority w:val="21"/>
    <w:qFormat/>
    <w:rsid w:val="00497804"/>
    <w:rPr>
      <w:i/>
      <w:iCs/>
      <w:color w:val="2F5496" w:themeColor="accent1" w:themeShade="BF"/>
    </w:rPr>
  </w:style>
  <w:style w:type="paragraph" w:styleId="Duidelijkcitaat">
    <w:name w:val="Intense Quote"/>
    <w:basedOn w:val="Standaard"/>
    <w:next w:val="Standaard"/>
    <w:link w:val="DuidelijkcitaatChar"/>
    <w:uiPriority w:val="30"/>
    <w:qFormat/>
    <w:rsid w:val="00497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7804"/>
    <w:rPr>
      <w:i/>
      <w:iCs/>
      <w:color w:val="2F5496" w:themeColor="accent1" w:themeShade="BF"/>
    </w:rPr>
  </w:style>
  <w:style w:type="character" w:styleId="Intensieveverwijzing">
    <w:name w:val="Intense Reference"/>
    <w:basedOn w:val="Standaardalinea-lettertype"/>
    <w:uiPriority w:val="32"/>
    <w:qFormat/>
    <w:rsid w:val="00497804"/>
    <w:rPr>
      <w:b/>
      <w:bCs/>
      <w:smallCaps/>
      <w:color w:val="2F5496" w:themeColor="accent1" w:themeShade="BF"/>
      <w:spacing w:val="5"/>
    </w:rPr>
  </w:style>
  <w:style w:type="paragraph" w:styleId="Koptekst">
    <w:name w:val="header"/>
    <w:basedOn w:val="Standaard"/>
    <w:link w:val="KoptekstChar1"/>
    <w:rsid w:val="004978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497804"/>
  </w:style>
  <w:style w:type="paragraph" w:styleId="Voettekst">
    <w:name w:val="footer"/>
    <w:basedOn w:val="Standaard"/>
    <w:link w:val="VoettekstChar1"/>
    <w:rsid w:val="0049780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497804"/>
  </w:style>
  <w:style w:type="paragraph" w:customStyle="1" w:styleId="Huisstijl-Adres">
    <w:name w:val="Huisstijl-Adres"/>
    <w:basedOn w:val="Standaard"/>
    <w:link w:val="Huisstijl-AdresChar"/>
    <w:rsid w:val="0049780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97804"/>
    <w:rPr>
      <w:rFonts w:ascii="Verdana" w:hAnsi="Verdana"/>
      <w:noProof/>
      <w:sz w:val="13"/>
      <w:szCs w:val="24"/>
      <w:lang w:eastAsia="nl-NL"/>
    </w:rPr>
  </w:style>
  <w:style w:type="paragraph" w:customStyle="1" w:styleId="Huisstijl-Gegeven">
    <w:name w:val="Huisstijl-Gegeven"/>
    <w:basedOn w:val="Standaard"/>
    <w:link w:val="Huisstijl-GegevenCharChar"/>
    <w:rsid w:val="0049780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9780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97804"/>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uiPriority w:val="99"/>
    <w:rsid w:val="00497804"/>
    <w:rPr>
      <w:color w:val="0000FF"/>
      <w:u w:val="single"/>
    </w:rPr>
  </w:style>
  <w:style w:type="paragraph" w:customStyle="1" w:styleId="Huisstijl-Retouradres">
    <w:name w:val="Huisstijl-Retouradres"/>
    <w:basedOn w:val="Standaard"/>
    <w:rsid w:val="0049780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97804"/>
    <w:pPr>
      <w:spacing w:after="0"/>
    </w:pPr>
    <w:rPr>
      <w:b/>
    </w:rPr>
  </w:style>
  <w:style w:type="paragraph" w:customStyle="1" w:styleId="Huisstijl-Paginanummering">
    <w:name w:val="Huisstijl-Paginanummering"/>
    <w:basedOn w:val="Standaard"/>
    <w:rsid w:val="0049780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497804"/>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97804"/>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97804"/>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497804"/>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497804"/>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4978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38443/2016-09-0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1170</ap:Words>
  <ap:Characters>6436</ap:Characters>
  <ap:DocSecurity>0</ap:DocSecurity>
  <ap:Lines>53</ap:Lines>
  <ap:Paragraphs>15</ap:Paragraphs>
  <ap:ScaleCrop>false</ap:ScaleCrop>
  <ap:LinksUpToDate>false</ap:LinksUpToDate>
  <ap:CharactersWithSpaces>7591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2025-11-17T15:05:00.0000000Z</dcterms:created>
  <dcterms:modified xsi:type="dcterms:W3CDTF">2025-11-17T15:06:00.0000000Z</dcterms:modified>
  <version/>
  <category/>
</coreProperties>
</file>