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C474C" w:rsidR="00E02166" w14:paraId="31EB8297" w14:textId="46EE9193">
      <w:pPr>
        <w:rPr>
          <w:b/>
          <w:bCs/>
          <w:sz w:val="24"/>
          <w:szCs w:val="24"/>
          <w:lang w:val="nl-NL"/>
        </w:rPr>
      </w:pPr>
      <w:r>
        <w:rPr>
          <w:b/>
          <w:bCs/>
          <w:sz w:val="24"/>
          <w:szCs w:val="24"/>
          <w:lang w:val="nl-NL"/>
        </w:rPr>
        <w:t xml:space="preserve">Stand van zaken - </w:t>
      </w:r>
      <w:r w:rsidRPr="003C474C">
        <w:rPr>
          <w:b/>
          <w:bCs/>
          <w:sz w:val="24"/>
          <w:szCs w:val="24"/>
          <w:lang w:val="nl-NL"/>
        </w:rPr>
        <w:t>Investeringsagenda NDS</w:t>
      </w:r>
    </w:p>
    <w:p w:rsidRPr="003B69B9" w:rsidR="00E02166" w14:paraId="49B68616" w14:textId="523AB2B4">
      <w:pPr>
        <w:rPr>
          <w:b/>
          <w:lang w:val="nl-NL"/>
        </w:rPr>
      </w:pPr>
      <w:r w:rsidRPr="003B69B9">
        <w:rPr>
          <w:b/>
          <w:lang w:val="nl-NL"/>
        </w:rPr>
        <w:t>Inleiding</w:t>
      </w:r>
    </w:p>
    <w:p w:rsidRPr="00106CEB" w:rsidR="00106CEB" w:rsidP="00106CEB" w14:paraId="66928BE5" w14:textId="58ACBE52">
      <w:pPr>
        <w:rPr>
          <w:lang w:val="nl-NL"/>
        </w:rPr>
      </w:pPr>
      <w:r w:rsidRPr="00106CEB">
        <w:rPr>
          <w:lang w:val="nl-NL"/>
        </w:rPr>
        <w:t>Burgers en ondernemers hebben recht op een betrouwbare overheid. Een overheid waarbij het niet uitmaakt waar je aanklopt, maar altijd wordt geholpen. Een overheid die maatschappelijke problemen aanpakt, zodat burgers en ondernemers kunnen werken en wonen in een veilig</w:t>
      </w:r>
      <w:r w:rsidR="0072291B">
        <w:rPr>
          <w:lang w:val="nl-NL"/>
        </w:rPr>
        <w:t xml:space="preserve"> en</w:t>
      </w:r>
      <w:r w:rsidRPr="00106CEB">
        <w:rPr>
          <w:lang w:val="nl-NL"/>
        </w:rPr>
        <w:t xml:space="preserve"> gezond land. Een overheid die zorgvuldig met belastinggeld omgaat. </w:t>
      </w:r>
      <w:r w:rsidRPr="000A1FC9" w:rsidR="000A1FC9">
        <w:rPr>
          <w:lang w:val="nl-NL"/>
        </w:rPr>
        <w:t>Digitalisering bepaalt in toenemende mate hoe Nederland er uit ziet en werkt</w:t>
      </w:r>
      <w:r w:rsidR="000A1FC9">
        <w:rPr>
          <w:lang w:val="nl-NL"/>
        </w:rPr>
        <w:t xml:space="preserve">, en is niet </w:t>
      </w:r>
      <w:r w:rsidRPr="00106CEB">
        <w:rPr>
          <w:lang w:val="nl-NL"/>
        </w:rPr>
        <w:t>meer weg te denken uit de samenleving.</w:t>
      </w:r>
      <w:r w:rsidR="0095428F">
        <w:rPr>
          <w:lang w:val="nl-NL"/>
        </w:rPr>
        <w:t xml:space="preserve"> </w:t>
      </w:r>
      <w:r w:rsidRPr="00106CEB">
        <w:rPr>
          <w:lang w:val="nl-NL"/>
        </w:rPr>
        <w:t>Veel dienstverlening is digitaal. We zetten AI in om bijvoorbeeld beter diagnoses te kunnen stellen</w:t>
      </w:r>
      <w:r w:rsidR="0095428F">
        <w:rPr>
          <w:lang w:val="nl-NL"/>
        </w:rPr>
        <w:t xml:space="preserve"> en w</w:t>
      </w:r>
      <w:r w:rsidRPr="00106CEB">
        <w:rPr>
          <w:lang w:val="nl-NL"/>
        </w:rPr>
        <w:t>e maken gebruik van een vooringevuld belastingformulier. Digitalisering biedt ons veel kansen om de kwaliteit van de overheid en de publieke sector te verbeteren, maar het geeft ook risico’s. Zeker gegeven de geopolitieke situatie van dit moment. We moeten daarom onze systemen beschermen zodat ze niet uitvallen. We moeten ervoor zorgen dat we niet te</w:t>
      </w:r>
      <w:r w:rsidR="00A1479B">
        <w:rPr>
          <w:lang w:val="nl-NL"/>
        </w:rPr>
        <w:t xml:space="preserve"> </w:t>
      </w:r>
      <w:r w:rsidRPr="00106CEB">
        <w:rPr>
          <w:lang w:val="nl-NL"/>
        </w:rPr>
        <w:t xml:space="preserve">veel afhankelijk zijn van </w:t>
      </w:r>
      <w:r>
        <w:rPr>
          <w:lang w:val="nl-NL"/>
        </w:rPr>
        <w:t>één</w:t>
      </w:r>
      <w:r w:rsidRPr="00106CEB">
        <w:rPr>
          <w:lang w:val="nl-NL"/>
        </w:rPr>
        <w:t xml:space="preserve"> leverancier. We moeten gevoelige gegevens veilig opslaan. </w:t>
      </w:r>
    </w:p>
    <w:p w:rsidR="008E1274" w:rsidP="1AB9DE52" w14:paraId="4CECE672" w14:textId="74A473DF">
      <w:pPr>
        <w:rPr>
          <w:lang w:val="nl-NL"/>
        </w:rPr>
      </w:pPr>
      <w:r w:rsidRPr="00106CEB">
        <w:rPr>
          <w:lang w:val="nl-NL"/>
        </w:rPr>
        <w:t>Om ervoor te zorgen dat digitalisering zo goed mogelijk wordt benut en tegelijkertijd verantwoord en veilig is, is de Nederlandse Digitaliseringsstrategie</w:t>
      </w:r>
      <w:r w:rsidR="0095428F">
        <w:rPr>
          <w:lang w:val="nl-NL"/>
        </w:rPr>
        <w:t xml:space="preserve"> (NDS)</w:t>
      </w:r>
      <w:r w:rsidRPr="00106CEB">
        <w:rPr>
          <w:lang w:val="nl-NL"/>
        </w:rPr>
        <w:t xml:space="preserve"> opgesteld.</w:t>
      </w:r>
      <w:r>
        <w:rPr>
          <w:rStyle w:val="FootnoteReference"/>
          <w:lang w:val="nl-NL"/>
        </w:rPr>
        <w:footnoteReference w:id="3"/>
      </w:r>
      <w:r w:rsidRPr="1AB9DE52" w:rsidR="004A7252">
        <w:rPr>
          <w:lang w:val="nl-NL"/>
        </w:rPr>
        <w:t xml:space="preserve"> </w:t>
      </w:r>
      <w:r w:rsidR="00E6538D">
        <w:rPr>
          <w:lang w:val="nl-NL"/>
        </w:rPr>
        <w:t xml:space="preserve">De NDS </w:t>
      </w:r>
      <w:r w:rsidR="00CD3FFB">
        <w:rPr>
          <w:lang w:val="nl-NL"/>
        </w:rPr>
        <w:t>is het product van een brede coalitie</w:t>
      </w:r>
      <w:r w:rsidR="00E6538D">
        <w:rPr>
          <w:lang w:val="nl-NL"/>
        </w:rPr>
        <w:t xml:space="preserve">: de </w:t>
      </w:r>
      <w:r w:rsidRPr="00DD0C95" w:rsidR="00E6538D">
        <w:rPr>
          <w:lang w:val="nl-NL"/>
        </w:rPr>
        <w:t xml:space="preserve">koepels van provincies, gemeenten, waterschappen en publieke dienstverleners </w:t>
      </w:r>
      <w:r w:rsidR="00E6538D">
        <w:rPr>
          <w:lang w:val="nl-NL"/>
        </w:rPr>
        <w:t xml:space="preserve">hebben </w:t>
      </w:r>
      <w:r w:rsidRPr="00DD0C95" w:rsidR="00E6538D">
        <w:rPr>
          <w:lang w:val="nl-NL"/>
        </w:rPr>
        <w:t>de NDS bestuurlijk</w:t>
      </w:r>
      <w:r w:rsidR="00E6538D">
        <w:rPr>
          <w:lang w:val="nl-NL"/>
        </w:rPr>
        <w:t xml:space="preserve"> onderschreven</w:t>
      </w:r>
      <w:r w:rsidRPr="00DD0C95" w:rsidR="00E6538D">
        <w:rPr>
          <w:lang w:val="nl-NL"/>
        </w:rPr>
        <w:t xml:space="preserve">. </w:t>
      </w:r>
      <w:r w:rsidRPr="1AB9DE52" w:rsidR="0095428F">
        <w:rPr>
          <w:lang w:val="nl-NL"/>
        </w:rPr>
        <w:t xml:space="preserve">Met de NDS </w:t>
      </w:r>
      <w:r w:rsidRPr="1AB9DE52" w:rsidR="004A7252">
        <w:rPr>
          <w:lang w:val="nl-NL"/>
        </w:rPr>
        <w:t xml:space="preserve">gaan </w:t>
      </w:r>
      <w:r w:rsidRPr="1AB9DE52" w:rsidR="0041155D">
        <w:rPr>
          <w:lang w:val="nl-NL"/>
        </w:rPr>
        <w:t xml:space="preserve">we </w:t>
      </w:r>
      <w:r w:rsidR="00837EF5">
        <w:rPr>
          <w:lang w:val="nl-NL"/>
        </w:rPr>
        <w:t xml:space="preserve">minder vrijblijvend en </w:t>
      </w:r>
      <w:r w:rsidRPr="1AB9DE52" w:rsidR="004A7252">
        <w:rPr>
          <w:lang w:val="nl-NL"/>
        </w:rPr>
        <w:t>als één overheid</w:t>
      </w:r>
      <w:r w:rsidRPr="1AB9DE52" w:rsidR="00C441A2">
        <w:rPr>
          <w:lang w:val="nl-NL"/>
        </w:rPr>
        <w:t xml:space="preserve">, gezamenlijk en </w:t>
      </w:r>
      <w:r w:rsidRPr="1AB9DE52">
        <w:rPr>
          <w:lang w:val="nl-NL"/>
        </w:rPr>
        <w:t>onder strakkere politieke regie</w:t>
      </w:r>
      <w:r w:rsidRPr="1AB9DE52" w:rsidR="004A7252">
        <w:rPr>
          <w:lang w:val="nl-NL"/>
        </w:rPr>
        <w:t xml:space="preserve"> optrekken op de grootste digitale opgaven</w:t>
      </w:r>
      <w:r w:rsidRPr="1AB9DE52">
        <w:rPr>
          <w:lang w:val="nl-NL"/>
        </w:rPr>
        <w:t xml:space="preserve"> </w:t>
      </w:r>
      <w:r w:rsidRPr="1AB9DE52" w:rsidR="00BD34EF">
        <w:rPr>
          <w:lang w:val="nl-NL"/>
        </w:rPr>
        <w:t xml:space="preserve">rond </w:t>
      </w:r>
      <w:r w:rsidRPr="1AB9DE52" w:rsidR="004A7252">
        <w:rPr>
          <w:lang w:val="nl-NL"/>
        </w:rPr>
        <w:t>AI</w:t>
      </w:r>
      <w:r w:rsidRPr="1AB9DE52" w:rsidR="00250759">
        <w:rPr>
          <w:lang w:val="nl-NL"/>
        </w:rPr>
        <w:t>,</w:t>
      </w:r>
      <w:r w:rsidRPr="1AB9DE52" w:rsidR="004A7252">
        <w:rPr>
          <w:lang w:val="nl-NL"/>
        </w:rPr>
        <w:t xml:space="preserve"> </w:t>
      </w:r>
      <w:r w:rsidRPr="1AB9DE52" w:rsidR="00146D45">
        <w:rPr>
          <w:lang w:val="nl-NL"/>
        </w:rPr>
        <w:t>c</w:t>
      </w:r>
      <w:r w:rsidRPr="1AB9DE52" w:rsidR="004A7252">
        <w:rPr>
          <w:lang w:val="nl-NL"/>
        </w:rPr>
        <w:t>loud</w:t>
      </w:r>
      <w:r w:rsidRPr="1AB9DE52" w:rsidR="00250759">
        <w:rPr>
          <w:lang w:val="nl-NL"/>
        </w:rPr>
        <w:t xml:space="preserve"> en data</w:t>
      </w:r>
      <w:r w:rsidRPr="1AB9DE52" w:rsidR="004A7252">
        <w:rPr>
          <w:lang w:val="nl-NL"/>
        </w:rPr>
        <w:t>.</w:t>
      </w:r>
      <w:r w:rsidRPr="1AB9DE52" w:rsidR="00D44E89">
        <w:rPr>
          <w:lang w:val="nl-NL"/>
        </w:rPr>
        <w:t xml:space="preserve"> </w:t>
      </w:r>
      <w:r w:rsidRPr="1AB9DE52" w:rsidR="00EB0235">
        <w:rPr>
          <w:lang w:val="nl-NL"/>
        </w:rPr>
        <w:t>Alleen z</w:t>
      </w:r>
      <w:r w:rsidRPr="1AB9DE52" w:rsidR="004A7252">
        <w:rPr>
          <w:lang w:val="nl-NL"/>
        </w:rPr>
        <w:t xml:space="preserve">o kunnen we burgers en ondernemers beter bedienen, worden we weerbaarder en vergroten we onze autonomie. </w:t>
      </w:r>
      <w:r w:rsidRPr="1AB9DE52" w:rsidR="00250759">
        <w:rPr>
          <w:lang w:val="nl-NL"/>
        </w:rPr>
        <w:t>D</w:t>
      </w:r>
      <w:r w:rsidRPr="1AB9DE52" w:rsidR="0095428F">
        <w:rPr>
          <w:lang w:val="nl-NL"/>
        </w:rPr>
        <w:t xml:space="preserve">it vraagt om het verbeteren van het digitaal vakmanschap van ambtenaren en een moderne werkomgeving: </w:t>
      </w:r>
      <w:r w:rsidRPr="1AB9DE52" w:rsidR="00BD34EF">
        <w:rPr>
          <w:lang w:val="nl-NL"/>
        </w:rPr>
        <w:t>zonder</w:t>
      </w:r>
      <w:r w:rsidRPr="1AB9DE52" w:rsidR="00400901">
        <w:rPr>
          <w:lang w:val="nl-NL"/>
        </w:rPr>
        <w:t xml:space="preserve"> </w:t>
      </w:r>
      <w:r w:rsidRPr="1AB9DE52" w:rsidR="0095428F">
        <w:rPr>
          <w:lang w:val="nl-NL"/>
        </w:rPr>
        <w:t>goed toegeruste</w:t>
      </w:r>
      <w:r w:rsidRPr="1AB9DE52" w:rsidR="00400901">
        <w:rPr>
          <w:lang w:val="nl-NL"/>
        </w:rPr>
        <w:t xml:space="preserve"> </w:t>
      </w:r>
      <w:r w:rsidRPr="1AB9DE52" w:rsidR="00BD34EF">
        <w:rPr>
          <w:lang w:val="nl-NL"/>
        </w:rPr>
        <w:t>professionals</w:t>
      </w:r>
      <w:r w:rsidRPr="1AB9DE52" w:rsidR="00400901">
        <w:rPr>
          <w:lang w:val="nl-NL"/>
        </w:rPr>
        <w:t xml:space="preserve"> </w:t>
      </w:r>
      <w:r w:rsidRPr="1AB9DE52" w:rsidR="000307B4">
        <w:rPr>
          <w:lang w:val="nl-NL"/>
        </w:rPr>
        <w:t xml:space="preserve">zijn we </w:t>
      </w:r>
      <w:r w:rsidRPr="1AB9DE52" w:rsidR="0095428F">
        <w:rPr>
          <w:lang w:val="nl-NL"/>
        </w:rPr>
        <w:t xml:space="preserve">namelijk </w:t>
      </w:r>
      <w:r w:rsidRPr="1AB9DE52" w:rsidR="000307B4">
        <w:rPr>
          <w:lang w:val="nl-NL"/>
        </w:rPr>
        <w:t>niet in staat</w:t>
      </w:r>
      <w:r w:rsidRPr="1AB9DE52" w:rsidR="00400901">
        <w:rPr>
          <w:lang w:val="nl-NL"/>
        </w:rPr>
        <w:t xml:space="preserve"> om </w:t>
      </w:r>
      <w:r w:rsidRPr="1AB9DE52" w:rsidR="00250759">
        <w:rPr>
          <w:lang w:val="nl-NL"/>
        </w:rPr>
        <w:t xml:space="preserve">onze digitale opgaven </w:t>
      </w:r>
      <w:r w:rsidRPr="1AB9DE52" w:rsidR="00400901">
        <w:rPr>
          <w:lang w:val="nl-NL"/>
        </w:rPr>
        <w:t xml:space="preserve">te </w:t>
      </w:r>
      <w:r w:rsidRPr="1AB9DE52" w:rsidR="00250759">
        <w:rPr>
          <w:lang w:val="nl-NL"/>
        </w:rPr>
        <w:t>realiseren</w:t>
      </w:r>
      <w:r w:rsidRPr="1AB9DE52" w:rsidR="00400901">
        <w:rPr>
          <w:lang w:val="nl-NL"/>
        </w:rPr>
        <w:t xml:space="preserve">. </w:t>
      </w:r>
    </w:p>
    <w:p w:rsidR="00453E7F" w14:paraId="51971658" w14:textId="31C6B3AB">
      <w:pPr>
        <w:rPr>
          <w:lang w:val="nl-NL"/>
        </w:rPr>
      </w:pPr>
      <w:r w:rsidRPr="00CA76C5">
        <w:rPr>
          <w:lang w:val="nl-NL"/>
        </w:rPr>
        <w:t>In een wereld van technologische versnelling, geopolitieke druk en arbeidsmarktkrapte is investeren in één gezamenlijke digitale koers geen luxe, maar een noodzakelijke voorwaarde voor een toekomstbestendige overheid.</w:t>
      </w:r>
      <w:r>
        <w:rPr>
          <w:lang w:val="nl-NL"/>
        </w:rPr>
        <w:t xml:space="preserve"> </w:t>
      </w:r>
      <w:r w:rsidRPr="1AB9DE52" w:rsidR="1AB9DE52">
        <w:rPr>
          <w:lang w:val="nl-NL"/>
        </w:rPr>
        <w:t xml:space="preserve">Dit document biedt een eerste inzicht in de </w:t>
      </w:r>
      <w:r w:rsidR="00D47611">
        <w:rPr>
          <w:lang w:val="nl-NL"/>
        </w:rPr>
        <w:t>kosten om de NDS te kunnen realiseren</w:t>
      </w:r>
      <w:r w:rsidRPr="1AB9DE52" w:rsidR="1AB9DE52">
        <w:rPr>
          <w:lang w:val="nl-NL"/>
        </w:rPr>
        <w:t>. Daarbij wordt ingegaan op de stappen die gezamenlijk met medeoverheden, publieke dienstverleners en Caribisch Nederland gaan worden gezet richting een volledig uitgewerkte investeringsagenda voor de NDS in de eerste helft van 2026.</w:t>
      </w:r>
      <w:r w:rsidR="003C4852">
        <w:rPr>
          <w:lang w:val="nl-NL"/>
        </w:rPr>
        <w:t xml:space="preserve"> Op basis hiervan kunnen dan (politieke) keuzes worden gemaakt, deze </w:t>
      </w:r>
      <w:r w:rsidR="00047DD8">
        <w:rPr>
          <w:lang w:val="nl-NL"/>
        </w:rPr>
        <w:t>notitie is</w:t>
      </w:r>
      <w:r w:rsidR="003C4852">
        <w:rPr>
          <w:lang w:val="nl-NL"/>
        </w:rPr>
        <w:t xml:space="preserve"> dan ook een tussenstand in de uitwerking van de NDS</w:t>
      </w:r>
      <w:r w:rsidR="009D1622">
        <w:rPr>
          <w:lang w:val="nl-NL"/>
        </w:rPr>
        <w:t>.</w:t>
      </w:r>
      <w:r w:rsidRPr="1AB9DE52" w:rsidR="1AB9DE52">
        <w:rPr>
          <w:lang w:val="nl-NL"/>
        </w:rPr>
        <w:t xml:space="preserve"> </w:t>
      </w:r>
      <w:r w:rsidR="00692926">
        <w:rPr>
          <w:lang w:val="nl-NL"/>
        </w:rPr>
        <w:t xml:space="preserve">Uit het daarvoor bestemde besluitvormingsproces moet nog blijken in welke vorm de ambities doorgang kunnen vinden. </w:t>
      </w:r>
      <w:r w:rsidR="00F512D8">
        <w:rPr>
          <w:lang w:val="nl-NL"/>
        </w:rPr>
        <w:t>Naast de financiële aspecten, speelt ook ruimte in de veranderportfolio’s van organisaties en beschikbaarheid van capaciteit een belangrijke rol bij de uitvoering van de NDS. Ook zal voor uitvoering van de NDS additionele wet- en regelgeving noodzakelijk zijn.</w:t>
      </w:r>
    </w:p>
    <w:p w:rsidRPr="003B69B9" w:rsidR="00A94EE9" w14:paraId="03C4B13A" w14:textId="7504BB6C">
      <w:pPr>
        <w:rPr>
          <w:b/>
          <w:lang w:val="nl-NL"/>
        </w:rPr>
      </w:pPr>
      <w:r>
        <w:rPr>
          <w:szCs w:val="18"/>
          <w:lang w:val="nl-NL"/>
        </w:rPr>
        <w:br/>
      </w:r>
      <w:r w:rsidR="00D47611">
        <w:rPr>
          <w:b/>
          <w:lang w:val="nl-NL"/>
        </w:rPr>
        <w:t>W</w:t>
      </w:r>
      <w:r w:rsidRPr="003B69B9" w:rsidR="008E1274">
        <w:rPr>
          <w:b/>
          <w:lang w:val="nl-NL"/>
        </w:rPr>
        <w:t>aar deze investering rendeert</w:t>
      </w:r>
    </w:p>
    <w:p w:rsidR="00C231F5" w:rsidP="003B69B9" w14:paraId="68658C86" w14:textId="77777777">
      <w:pPr>
        <w:spacing w:after="0"/>
        <w:rPr>
          <w:i/>
          <w:lang w:val="nl-NL"/>
        </w:rPr>
      </w:pPr>
      <w:r>
        <w:rPr>
          <w:lang w:val="nl-NL"/>
        </w:rPr>
        <w:t>Met de</w:t>
      </w:r>
      <w:r w:rsidRPr="003B69B9">
        <w:rPr>
          <w:lang w:val="nl-NL"/>
        </w:rPr>
        <w:t xml:space="preserve"> </w:t>
      </w:r>
      <w:r w:rsidRPr="003B69B9" w:rsidR="00A94EE9">
        <w:rPr>
          <w:lang w:val="nl-NL"/>
        </w:rPr>
        <w:t xml:space="preserve">snelle </w:t>
      </w:r>
      <w:r w:rsidRPr="003B69B9" w:rsidR="00CD3B87">
        <w:rPr>
          <w:lang w:val="nl-NL"/>
        </w:rPr>
        <w:t xml:space="preserve">en robuuste </w:t>
      </w:r>
      <w:r w:rsidRPr="003B69B9" w:rsidR="00A94EE9">
        <w:rPr>
          <w:lang w:val="nl-NL"/>
        </w:rPr>
        <w:t>uitvoering van de NDS</w:t>
      </w:r>
      <w:r w:rsidR="00EC1FAD">
        <w:rPr>
          <w:lang w:val="nl-NL"/>
        </w:rPr>
        <w:t xml:space="preserve"> </w:t>
      </w:r>
      <w:r>
        <w:rPr>
          <w:lang w:val="nl-NL"/>
        </w:rPr>
        <w:t xml:space="preserve">zouden </w:t>
      </w:r>
      <w:r w:rsidRPr="003B69B9" w:rsidR="00A94EE9">
        <w:rPr>
          <w:lang w:val="nl-NL"/>
        </w:rPr>
        <w:t>concrete resultaten</w:t>
      </w:r>
      <w:r>
        <w:rPr>
          <w:lang w:val="nl-NL"/>
        </w:rPr>
        <w:t xml:space="preserve"> geboekt kunnen worden</w:t>
      </w:r>
      <w:r w:rsidRPr="003B69B9" w:rsidR="00A94EE9">
        <w:rPr>
          <w:lang w:val="nl-NL"/>
        </w:rPr>
        <w:t xml:space="preserve"> voor burgers en ondernemers, een betere</w:t>
      </w:r>
      <w:r w:rsidRPr="003B69B9" w:rsidR="00CD3B87">
        <w:rPr>
          <w:lang w:val="nl-NL"/>
        </w:rPr>
        <w:t xml:space="preserve">, weerbaardere, autonomere </w:t>
      </w:r>
      <w:r w:rsidRPr="003B69B9" w:rsidR="00A94EE9">
        <w:rPr>
          <w:lang w:val="nl-NL"/>
        </w:rPr>
        <w:t xml:space="preserve">en efficiënter werkende overheid én een </w:t>
      </w:r>
      <w:r w:rsidRPr="003B69B9" w:rsidR="005732F8">
        <w:rPr>
          <w:lang w:val="nl-NL"/>
        </w:rPr>
        <w:t xml:space="preserve">grote </w:t>
      </w:r>
      <w:r w:rsidRPr="003B69B9" w:rsidR="00A94EE9">
        <w:rPr>
          <w:lang w:val="nl-NL"/>
        </w:rPr>
        <w:t>bijdrage aan het Nederlands</w:t>
      </w:r>
      <w:r w:rsidRPr="003B69B9" w:rsidR="00D962A2">
        <w:rPr>
          <w:lang w:val="nl-NL"/>
        </w:rPr>
        <w:t>e innovatie- en</w:t>
      </w:r>
      <w:r w:rsidRPr="003B69B9" w:rsidR="00A94EE9">
        <w:rPr>
          <w:lang w:val="nl-NL"/>
        </w:rPr>
        <w:t xml:space="preserve"> </w:t>
      </w:r>
      <w:r w:rsidRPr="003B69B9" w:rsidR="00D962A2">
        <w:rPr>
          <w:lang w:val="nl-NL"/>
        </w:rPr>
        <w:t>verdienvermogen</w:t>
      </w:r>
      <w:r w:rsidRPr="003B69B9" w:rsidR="00A94EE9">
        <w:rPr>
          <w:lang w:val="nl-NL"/>
        </w:rPr>
        <w:t xml:space="preserve">. </w:t>
      </w:r>
      <w:r w:rsidR="00A94EE9">
        <w:rPr>
          <w:szCs w:val="18"/>
          <w:lang w:val="nl-NL"/>
        </w:rPr>
        <w:br/>
      </w:r>
      <w:r w:rsidR="00A94EE9">
        <w:rPr>
          <w:b/>
          <w:bCs/>
          <w:szCs w:val="18"/>
          <w:lang w:val="nl-NL"/>
        </w:rPr>
        <w:br/>
      </w:r>
      <w:r w:rsidRPr="003B69B9" w:rsidR="00A94EE9">
        <w:rPr>
          <w:i/>
          <w:lang w:val="nl-NL"/>
        </w:rPr>
        <w:t xml:space="preserve">1. Voor burgers en ondernemers </w:t>
      </w:r>
      <w:r w:rsidR="00A94EE9">
        <w:rPr>
          <w:i/>
          <w:iCs/>
          <w:szCs w:val="18"/>
          <w:lang w:val="nl-NL"/>
        </w:rPr>
        <w:br/>
      </w:r>
      <w:r w:rsidR="00A94EE9">
        <w:rPr>
          <w:lang w:val="nl-NL"/>
        </w:rPr>
        <w:t xml:space="preserve">De digitale overheid verbeteren </w:t>
      </w:r>
      <w:r w:rsidR="00D44E89">
        <w:rPr>
          <w:lang w:val="nl-NL"/>
        </w:rPr>
        <w:t>doen we</w:t>
      </w:r>
      <w:r w:rsidR="00A94EE9">
        <w:rPr>
          <w:lang w:val="nl-NL"/>
        </w:rPr>
        <w:t xml:space="preserve"> voor onze burgers en ondernemers.</w:t>
      </w:r>
      <w:r w:rsidRPr="00A94EE9" w:rsidR="00A94EE9">
        <w:rPr>
          <w:lang w:val="nl-NL"/>
        </w:rPr>
        <w:t xml:space="preserve"> Mensen verwachten dat</w:t>
      </w:r>
      <w:r w:rsidR="005264FD">
        <w:rPr>
          <w:lang w:val="nl-NL"/>
        </w:rPr>
        <w:t xml:space="preserve"> </w:t>
      </w:r>
      <w:r w:rsidRPr="00A94EE9" w:rsidR="00A94EE9">
        <w:rPr>
          <w:lang w:val="nl-NL"/>
        </w:rPr>
        <w:t>zij met één overheid te maken hebben, die hun gegevens verantwoord gebruikt, hen niet met onnodige administratieve lasten opzadelt en proactief ondersteunt bij belangrijke levensgebeurtenissen</w:t>
      </w:r>
      <w:r w:rsidR="00A94EE9">
        <w:rPr>
          <w:lang w:val="nl-NL"/>
        </w:rPr>
        <w:t xml:space="preserve">. </w:t>
      </w:r>
      <w:r w:rsidR="00044F01">
        <w:rPr>
          <w:lang w:val="nl-NL"/>
        </w:rPr>
        <w:t>Hiervoor is het essentieel dat overhe</w:t>
      </w:r>
      <w:r w:rsidR="00BD34EF">
        <w:rPr>
          <w:lang w:val="nl-NL"/>
        </w:rPr>
        <w:t>den</w:t>
      </w:r>
      <w:r w:rsidR="00044F01">
        <w:rPr>
          <w:lang w:val="nl-NL"/>
        </w:rPr>
        <w:t xml:space="preserve"> op een verantwoorde manier data kunnen delen en de potentie van </w:t>
      </w:r>
      <w:r w:rsidR="00400901">
        <w:rPr>
          <w:lang w:val="nl-NL"/>
        </w:rPr>
        <w:t>AI</w:t>
      </w:r>
      <w:r w:rsidR="008E5AF5">
        <w:rPr>
          <w:lang w:val="nl-NL"/>
        </w:rPr>
        <w:t xml:space="preserve"> en cloudtechnologie</w:t>
      </w:r>
      <w:r w:rsidR="00044F01">
        <w:rPr>
          <w:lang w:val="nl-NL"/>
        </w:rPr>
        <w:t xml:space="preserve"> verantwoord</w:t>
      </w:r>
      <w:r w:rsidR="00400901">
        <w:rPr>
          <w:lang w:val="nl-NL"/>
        </w:rPr>
        <w:t xml:space="preserve"> benutten</w:t>
      </w:r>
      <w:r w:rsidR="00044F01">
        <w:rPr>
          <w:lang w:val="nl-NL"/>
        </w:rPr>
        <w:t xml:space="preserve">. </w:t>
      </w:r>
      <w:r w:rsidR="009F1C3C">
        <w:rPr>
          <w:lang w:val="nl-NL"/>
        </w:rPr>
        <w:br/>
      </w:r>
      <w:r w:rsidR="00A94EE9">
        <w:rPr>
          <w:i/>
          <w:iCs/>
          <w:szCs w:val="18"/>
          <w:lang w:val="nl-NL"/>
        </w:rPr>
        <w:br/>
      </w:r>
      <w:r w:rsidRPr="003B69B9" w:rsidR="00A94EE9">
        <w:rPr>
          <w:i/>
          <w:lang w:val="nl-NL"/>
        </w:rPr>
        <w:t xml:space="preserve">2. Voor een </w:t>
      </w:r>
      <w:r w:rsidRPr="003B69B9" w:rsidR="009F1C3C">
        <w:rPr>
          <w:i/>
          <w:lang w:val="nl-NL"/>
        </w:rPr>
        <w:t>weerbaardere</w:t>
      </w:r>
      <w:r w:rsidRPr="003B69B9" w:rsidR="00EB0235">
        <w:rPr>
          <w:i/>
          <w:lang w:val="nl-NL"/>
        </w:rPr>
        <w:t>, autonomere</w:t>
      </w:r>
      <w:r w:rsidRPr="003B69B9" w:rsidR="00A94EE9">
        <w:rPr>
          <w:i/>
          <w:lang w:val="nl-NL"/>
        </w:rPr>
        <w:t xml:space="preserve"> en efficiëntere overheid</w:t>
      </w:r>
      <w:r w:rsidR="00A94EE9">
        <w:rPr>
          <w:i/>
          <w:iCs/>
          <w:szCs w:val="18"/>
          <w:lang w:val="nl-NL"/>
        </w:rPr>
        <w:br/>
      </w:r>
      <w:r w:rsidR="008E5AF5">
        <w:rPr>
          <w:lang w:val="nl-NL"/>
        </w:rPr>
        <w:t>Met de NDS als leidraad</w:t>
      </w:r>
      <w:r w:rsidR="00B771FB">
        <w:rPr>
          <w:lang w:val="nl-NL"/>
        </w:rPr>
        <w:t xml:space="preserve"> kunnen</w:t>
      </w:r>
      <w:r w:rsidR="008E5AF5">
        <w:rPr>
          <w:lang w:val="nl-NL"/>
        </w:rPr>
        <w:t xml:space="preserve"> </w:t>
      </w:r>
      <w:r w:rsidR="00B771FB">
        <w:rPr>
          <w:lang w:val="nl-NL"/>
        </w:rPr>
        <w:t>we</w:t>
      </w:r>
      <w:r w:rsidR="008E5AF5">
        <w:rPr>
          <w:lang w:val="nl-NL"/>
        </w:rPr>
        <w:t xml:space="preserve"> </w:t>
      </w:r>
      <w:r w:rsidR="00462846">
        <w:rPr>
          <w:lang w:val="nl-NL"/>
        </w:rPr>
        <w:t>onze overheid samen veilig</w:t>
      </w:r>
      <w:r w:rsidR="00D129C4">
        <w:rPr>
          <w:lang w:val="nl-NL"/>
        </w:rPr>
        <w:t>er</w:t>
      </w:r>
      <w:r w:rsidR="00462846">
        <w:rPr>
          <w:lang w:val="nl-NL"/>
        </w:rPr>
        <w:t xml:space="preserve"> en autonom</w:t>
      </w:r>
      <w:r w:rsidR="00D129C4">
        <w:rPr>
          <w:lang w:val="nl-NL"/>
        </w:rPr>
        <w:t>er</w:t>
      </w:r>
      <w:r w:rsidR="00462846">
        <w:rPr>
          <w:lang w:val="nl-NL"/>
        </w:rPr>
        <w:t xml:space="preserve"> </w:t>
      </w:r>
      <w:r w:rsidR="00D129C4">
        <w:rPr>
          <w:lang w:val="nl-NL"/>
        </w:rPr>
        <w:t>maken</w:t>
      </w:r>
      <w:r w:rsidR="00462846">
        <w:rPr>
          <w:lang w:val="nl-NL"/>
        </w:rPr>
        <w:t>. De cyberdreiging is in</w:t>
      </w:r>
      <w:r w:rsidR="0041155D">
        <w:rPr>
          <w:lang w:val="nl-NL"/>
        </w:rPr>
        <w:t xml:space="preserve"> de huidige</w:t>
      </w:r>
      <w:r w:rsidR="00462846">
        <w:rPr>
          <w:lang w:val="nl-NL"/>
        </w:rPr>
        <w:t xml:space="preserve"> geopolitieke context te groot</w:t>
      </w:r>
      <w:r w:rsidR="00E54427">
        <w:rPr>
          <w:lang w:val="nl-NL"/>
        </w:rPr>
        <w:t xml:space="preserve"> en</w:t>
      </w:r>
      <w:r w:rsidR="00462846">
        <w:rPr>
          <w:lang w:val="nl-NL"/>
        </w:rPr>
        <w:t xml:space="preserve"> onze strategische afhankelijkheden moeten worden verminderd. Dat leidt niet alleen tot verbetering</w:t>
      </w:r>
      <w:r w:rsidR="001D6054">
        <w:rPr>
          <w:lang w:val="nl-NL"/>
        </w:rPr>
        <w:t xml:space="preserve"> van de digitale overheid</w:t>
      </w:r>
      <w:r w:rsidR="00462846">
        <w:rPr>
          <w:lang w:val="nl-NL"/>
        </w:rPr>
        <w:t xml:space="preserve">, maar ook tot meer efficiëntie: niet overal hetzelfde wiel uitvinden maar </w:t>
      </w:r>
      <w:r w:rsidR="00044F01">
        <w:rPr>
          <w:lang w:val="nl-NL"/>
        </w:rPr>
        <w:t xml:space="preserve">investeren in </w:t>
      </w:r>
      <w:r w:rsidR="00DD522C">
        <w:rPr>
          <w:lang w:val="nl-NL"/>
        </w:rPr>
        <w:t xml:space="preserve">gemeenschappelijke standaarden en </w:t>
      </w:r>
      <w:r w:rsidR="00462846">
        <w:rPr>
          <w:lang w:val="nl-NL"/>
        </w:rPr>
        <w:t xml:space="preserve">collectieve </w:t>
      </w:r>
      <w:r w:rsidR="00DD522C">
        <w:rPr>
          <w:lang w:val="nl-NL"/>
        </w:rPr>
        <w:t>voorzieningen,</w:t>
      </w:r>
      <w:r w:rsidR="00044F01">
        <w:rPr>
          <w:lang w:val="nl-NL"/>
        </w:rPr>
        <w:t xml:space="preserve"> </w:t>
      </w:r>
      <w:r w:rsidR="00CD3B87">
        <w:rPr>
          <w:lang w:val="nl-NL"/>
        </w:rPr>
        <w:t xml:space="preserve">bundeling van </w:t>
      </w:r>
      <w:r w:rsidR="00462846">
        <w:rPr>
          <w:lang w:val="nl-NL"/>
        </w:rPr>
        <w:t>inkoop</w:t>
      </w:r>
      <w:r w:rsidR="00CD3B87">
        <w:rPr>
          <w:lang w:val="nl-NL"/>
        </w:rPr>
        <w:t>kracht</w:t>
      </w:r>
      <w:r w:rsidR="00BD34EF">
        <w:rPr>
          <w:lang w:val="nl-NL"/>
        </w:rPr>
        <w:t>,</w:t>
      </w:r>
      <w:r w:rsidR="00044F01">
        <w:rPr>
          <w:lang w:val="nl-NL"/>
        </w:rPr>
        <w:t xml:space="preserve"> het wegnemen van onwenselijke juridische belemmeringen en het ondersteunen van overheden bij het </w:t>
      </w:r>
      <w:r w:rsidR="00044F01">
        <w:rPr>
          <w:lang w:val="nl-NL"/>
        </w:rPr>
        <w:t>voldoen aan digitale wetgeving</w:t>
      </w:r>
      <w:r w:rsidR="008F15B2">
        <w:rPr>
          <w:lang w:val="nl-NL"/>
        </w:rPr>
        <w:t>.</w:t>
      </w:r>
      <w:r>
        <w:rPr>
          <w:rStyle w:val="FootnoteReference"/>
          <w:lang w:val="nl-NL"/>
        </w:rPr>
        <w:footnoteReference w:id="4"/>
      </w:r>
      <w:r w:rsidR="00D44E89">
        <w:rPr>
          <w:lang w:val="nl-NL"/>
        </w:rPr>
        <w:t xml:space="preserve"> </w:t>
      </w:r>
      <w:r w:rsidR="00462846">
        <w:rPr>
          <w:lang w:val="nl-NL"/>
        </w:rPr>
        <w:br/>
      </w:r>
    </w:p>
    <w:p w:rsidRPr="003B69B9" w:rsidR="00462846" w:rsidP="003B69B9" w14:paraId="15633B10" w14:textId="22D88B52">
      <w:pPr>
        <w:spacing w:after="0"/>
        <w:rPr>
          <w:i/>
          <w:lang w:val="nl-NL"/>
        </w:rPr>
      </w:pPr>
      <w:r w:rsidRPr="003B69B9">
        <w:rPr>
          <w:i/>
          <w:lang w:val="nl-NL"/>
        </w:rPr>
        <w:t>3. Voor het verdienvermogen van Nederland</w:t>
      </w:r>
    </w:p>
    <w:p w:rsidR="00456962" w:rsidP="00D44E89" w14:paraId="7AFAFC89" w14:textId="72FCF67A">
      <w:pPr>
        <w:spacing w:after="0"/>
        <w:rPr>
          <w:lang w:val="nl-NL"/>
        </w:rPr>
      </w:pPr>
      <w:r>
        <w:rPr>
          <w:lang w:val="nl-NL"/>
        </w:rPr>
        <w:t>Bedrijven hebben baat bij s</w:t>
      </w:r>
      <w:r w:rsidRPr="00D44E89" w:rsidR="00462846">
        <w:rPr>
          <w:lang w:val="nl-NL"/>
        </w:rPr>
        <w:t>terke</w:t>
      </w:r>
      <w:r w:rsidR="00D129C4">
        <w:rPr>
          <w:lang w:val="nl-NL"/>
        </w:rPr>
        <w:t xml:space="preserve">, </w:t>
      </w:r>
      <w:r>
        <w:rPr>
          <w:lang w:val="nl-NL"/>
        </w:rPr>
        <w:t>stabiel functionerende</w:t>
      </w:r>
      <w:r w:rsidRPr="00D44E89" w:rsidR="00462846">
        <w:rPr>
          <w:lang w:val="nl-NL"/>
        </w:rPr>
        <w:t xml:space="preserve"> instituties</w:t>
      </w:r>
      <w:r>
        <w:rPr>
          <w:lang w:val="nl-NL"/>
        </w:rPr>
        <w:t xml:space="preserve"> zodat zij sneller en beter gebruik kunnen maken van (digitale) diensten. Zij kunnen alleen floreren op een </w:t>
      </w:r>
      <w:r w:rsidR="00E54427">
        <w:rPr>
          <w:lang w:val="nl-NL"/>
        </w:rPr>
        <w:t>weerbaar</w:t>
      </w:r>
      <w:r w:rsidRPr="00D44E89" w:rsidR="00E54427">
        <w:rPr>
          <w:lang w:val="nl-NL"/>
        </w:rPr>
        <w:t xml:space="preserve"> </w:t>
      </w:r>
      <w:r w:rsidRPr="00D44E89" w:rsidR="00462846">
        <w:rPr>
          <w:lang w:val="nl-NL"/>
        </w:rPr>
        <w:t>en autonoom digitaal fundament</w:t>
      </w:r>
      <w:r>
        <w:rPr>
          <w:lang w:val="nl-NL"/>
        </w:rPr>
        <w:t xml:space="preserve"> vanuit de overheid</w:t>
      </w:r>
      <w:r w:rsidR="00462846">
        <w:rPr>
          <w:lang w:val="nl-NL"/>
        </w:rPr>
        <w:t xml:space="preserve">. </w:t>
      </w:r>
      <w:r>
        <w:rPr>
          <w:lang w:val="nl-NL"/>
        </w:rPr>
        <w:t xml:space="preserve">Daarnaast kunnen investeringen van de overheid helpen om meer autonome Nederlandse en Europese alternatieven voor bestaande digitale technologie te ontwikkelen. </w:t>
      </w:r>
      <w:r w:rsidR="00717FDF">
        <w:rPr>
          <w:lang w:val="nl-NL"/>
        </w:rPr>
        <w:t xml:space="preserve">Zo </w:t>
      </w:r>
      <w:r w:rsidR="00367D29">
        <w:rPr>
          <w:lang w:val="nl-NL"/>
        </w:rPr>
        <w:t xml:space="preserve">zou de overheid bijvoorbeeld als </w:t>
      </w:r>
      <w:r w:rsidR="00367D29">
        <w:rPr>
          <w:i/>
          <w:iCs/>
          <w:lang w:val="nl-NL"/>
        </w:rPr>
        <w:t>launching customer</w:t>
      </w:r>
      <w:r w:rsidR="00367D29">
        <w:rPr>
          <w:lang w:val="nl-NL"/>
        </w:rPr>
        <w:t xml:space="preserve"> kunnen optreden die stabiele vraag biedt voor autonome cloud-technologie en AI van eigen bodem. </w:t>
      </w:r>
      <w:r w:rsidR="00E54427">
        <w:rPr>
          <w:lang w:val="nl-NL"/>
        </w:rPr>
        <w:t xml:space="preserve"> </w:t>
      </w:r>
    </w:p>
    <w:p w:rsidRPr="00CD3FFB" w:rsidR="00D93CCA" w:rsidP="00D44E89" w14:paraId="5410EB70" w14:textId="77777777">
      <w:pPr>
        <w:spacing w:after="0"/>
        <w:rPr>
          <w:i/>
          <w:iCs/>
          <w:lang w:val="nl-NL"/>
        </w:rPr>
      </w:pPr>
    </w:p>
    <w:p w:rsidR="00E6538D" w14:paraId="0C68C281" w14:textId="216AE8D8">
      <w:pPr>
        <w:rPr>
          <w:lang w:val="nl-NL"/>
        </w:rPr>
      </w:pPr>
      <w:r>
        <w:rPr>
          <w:lang w:val="nl-NL"/>
        </w:rPr>
        <w:t>Tot slot: d</w:t>
      </w:r>
      <w:r w:rsidR="009F1C3C">
        <w:rPr>
          <w:lang w:val="nl-NL"/>
        </w:rPr>
        <w:t xml:space="preserve">e NDS realiseren </w:t>
      </w:r>
      <w:r>
        <w:rPr>
          <w:lang w:val="nl-NL"/>
        </w:rPr>
        <w:t xml:space="preserve">en bovengenoemd rendement verzilveren </w:t>
      </w:r>
      <w:r w:rsidR="009F1C3C">
        <w:rPr>
          <w:lang w:val="nl-NL"/>
        </w:rPr>
        <w:t xml:space="preserve">vereist </w:t>
      </w:r>
      <w:r w:rsidR="00336012">
        <w:rPr>
          <w:lang w:val="nl-NL"/>
        </w:rPr>
        <w:t>centrale</w:t>
      </w:r>
      <w:r w:rsidR="000307B4">
        <w:rPr>
          <w:lang w:val="nl-NL"/>
        </w:rPr>
        <w:t xml:space="preserve"> </w:t>
      </w:r>
      <w:r w:rsidR="00692926">
        <w:rPr>
          <w:lang w:val="nl-NL"/>
        </w:rPr>
        <w:t xml:space="preserve">inzet </w:t>
      </w:r>
      <w:r w:rsidR="009F1C3C">
        <w:rPr>
          <w:lang w:val="nl-NL"/>
        </w:rPr>
        <w:t xml:space="preserve">die in grote mate bij de verschillende overheidsorganisaties </w:t>
      </w:r>
      <w:r>
        <w:rPr>
          <w:lang w:val="nl-NL"/>
        </w:rPr>
        <w:t>tot resultaten leiden</w:t>
      </w:r>
      <w:r w:rsidR="009F1C3C">
        <w:rPr>
          <w:lang w:val="nl-NL"/>
        </w:rPr>
        <w:t>.</w:t>
      </w:r>
      <w:r>
        <w:rPr>
          <w:rStyle w:val="FootnoteReference"/>
          <w:lang w:val="nl-NL"/>
        </w:rPr>
        <w:footnoteReference w:id="5"/>
      </w:r>
      <w:r w:rsidR="00C8730F">
        <w:rPr>
          <w:lang w:val="nl-NL"/>
        </w:rPr>
        <w:t xml:space="preserve"> Om deze centrale investeringen te kunnen maken, zullen er ook bijdragen van de verschillende overheidsorganisaties nodig zijn. </w:t>
      </w:r>
      <w:r w:rsidR="009F1C3C">
        <w:rPr>
          <w:lang w:val="nl-NL"/>
        </w:rPr>
        <w:t>Zonder centrale investeringen moet elke overheidsorganisatie, de kleinste gemeenten incluis, het zelf</w:t>
      </w:r>
      <w:r w:rsidR="0095144F">
        <w:rPr>
          <w:lang w:val="nl-NL"/>
        </w:rPr>
        <w:t xml:space="preserve"> blijven</w:t>
      </w:r>
      <w:r w:rsidR="009F1C3C">
        <w:rPr>
          <w:lang w:val="nl-NL"/>
        </w:rPr>
        <w:t xml:space="preserve"> doen</w:t>
      </w:r>
      <w:r w:rsidR="005732F8">
        <w:rPr>
          <w:lang w:val="nl-NL"/>
        </w:rPr>
        <w:t>. En we weten inmiddels dat</w:t>
      </w:r>
      <w:r w:rsidR="009F1C3C">
        <w:rPr>
          <w:lang w:val="nl-NL"/>
        </w:rPr>
        <w:t xml:space="preserve"> dat zorgt voor problemen voor burgers, </w:t>
      </w:r>
      <w:r w:rsidR="000307B4">
        <w:rPr>
          <w:lang w:val="nl-NL"/>
        </w:rPr>
        <w:t>kwetsbaarheden</w:t>
      </w:r>
      <w:r w:rsidR="005732F8">
        <w:rPr>
          <w:lang w:val="nl-NL"/>
        </w:rPr>
        <w:t>, afhankelijkheid van grote leveranciers</w:t>
      </w:r>
      <w:r w:rsidR="009F1C3C">
        <w:rPr>
          <w:lang w:val="nl-NL"/>
        </w:rPr>
        <w:t xml:space="preserve"> en </w:t>
      </w:r>
      <w:r w:rsidR="005732F8">
        <w:rPr>
          <w:lang w:val="nl-NL"/>
        </w:rPr>
        <w:t xml:space="preserve">een minder </w:t>
      </w:r>
      <w:r w:rsidR="009F1C3C">
        <w:rPr>
          <w:lang w:val="nl-NL"/>
        </w:rPr>
        <w:t>efficiënt</w:t>
      </w:r>
      <w:r w:rsidR="005732F8">
        <w:rPr>
          <w:lang w:val="nl-NL"/>
        </w:rPr>
        <w:t>e overheid</w:t>
      </w:r>
      <w:r w:rsidR="009F1C3C">
        <w:rPr>
          <w:lang w:val="nl-NL"/>
        </w:rPr>
        <w:t>.</w:t>
      </w:r>
      <w:r w:rsidRPr="00A94EE9" w:rsidR="006F7537">
        <w:rPr>
          <w:lang w:val="nl-NL"/>
        </w:rPr>
        <w:t xml:space="preserve"> </w:t>
      </w:r>
    </w:p>
    <w:p w:rsidR="00157342" w:rsidP="00157342" w14:paraId="738ED994" w14:textId="4F58D65D">
      <w:pPr>
        <w:rPr>
          <w:b/>
          <w:bCs/>
          <w:lang w:val="nl-NL"/>
        </w:rPr>
      </w:pPr>
    </w:p>
    <w:p w:rsidRPr="00157342" w:rsidR="00157342" w:rsidP="00157342" w14:paraId="43D55825" w14:textId="7E468CA7">
      <w:pPr>
        <w:rPr>
          <w:b/>
          <w:bCs/>
          <w:lang w:val="nl-NL"/>
        </w:rPr>
      </w:pPr>
      <w:r w:rsidRPr="00157342">
        <w:rPr>
          <w:b/>
          <w:bCs/>
          <w:lang w:val="nl-NL"/>
        </w:rPr>
        <w:t>Financiële paragraaf</w:t>
      </w:r>
    </w:p>
    <w:p w:rsidRPr="0018185B" w:rsidR="0018185B" w:rsidP="0018185B" w14:paraId="74EB7E41" w14:textId="71005B24">
      <w:pPr>
        <w:rPr>
          <w:lang w:val="nl-NL"/>
        </w:rPr>
      </w:pPr>
      <w:r w:rsidRPr="0018185B">
        <w:rPr>
          <w:lang w:val="nl-NL"/>
        </w:rPr>
        <w:t xml:space="preserve">In de NDS is een </w:t>
      </w:r>
      <w:r w:rsidR="00E357E3">
        <w:rPr>
          <w:lang w:val="nl-NL"/>
        </w:rPr>
        <w:t>i</w:t>
      </w:r>
      <w:r w:rsidRPr="0018185B">
        <w:rPr>
          <w:lang w:val="nl-NL"/>
        </w:rPr>
        <w:t>nvesteringsagenda toegezegd, die inzicht geeft in wat nodig is om de NDS financieel te kunnen realiseren en hoe dit zou kunnen worden gefinancierd. Tevens is met de motie Kathmann</w:t>
      </w:r>
      <w:r>
        <w:rPr>
          <w:rStyle w:val="FootnoteReference"/>
          <w:lang w:val="nl-NL"/>
        </w:rPr>
        <w:footnoteReference w:id="6"/>
      </w:r>
      <w:r w:rsidRPr="0018185B">
        <w:rPr>
          <w:lang w:val="nl-NL"/>
        </w:rPr>
        <w:t xml:space="preserve"> verzocht om een </w:t>
      </w:r>
      <w:r w:rsidR="00EE659E">
        <w:rPr>
          <w:lang w:val="nl-NL"/>
        </w:rPr>
        <w:t>investeringsagenda op te stellen, en is toegezegd de Tweede Kamer daar dit jaar (2025) over te informeren.</w:t>
      </w:r>
      <w:r>
        <w:rPr>
          <w:rStyle w:val="FootnoteReference"/>
        </w:rPr>
        <w:footnoteReference w:id="7"/>
      </w:r>
    </w:p>
    <w:p w:rsidRPr="0018185B" w:rsidR="0018185B" w:rsidP="0018185B" w14:paraId="09577F8C" w14:textId="0B897A96">
      <w:pPr>
        <w:rPr>
          <w:lang w:val="nl-NL"/>
        </w:rPr>
      </w:pPr>
      <w:r>
        <w:rPr>
          <w:lang w:val="nl-NL"/>
        </w:rPr>
        <w:t xml:space="preserve">Momenteel is er geen extra budget beschikbaar voor de NDS, </w:t>
      </w:r>
      <w:r w:rsidR="00D04B65">
        <w:rPr>
          <w:lang w:val="nl-NL"/>
        </w:rPr>
        <w:t>daarom</w:t>
      </w:r>
      <w:r>
        <w:rPr>
          <w:lang w:val="nl-NL"/>
        </w:rPr>
        <w:t xml:space="preserve"> wordt nu al zoveel mogelijk uit bestaande budgetten gedaan. </w:t>
      </w:r>
      <w:r w:rsidRPr="009E068D" w:rsidR="00751264">
        <w:rPr>
          <w:lang w:val="nl-NL"/>
        </w:rPr>
        <w:t xml:space="preserve">Voorts volgen we met betrekking tot de financiële gevolgen van de NDS de regels van de budgetdiscipline. </w:t>
      </w:r>
      <w:r>
        <w:rPr>
          <w:lang w:val="nl-NL"/>
        </w:rPr>
        <w:t>Ook hoeft niet alles</w:t>
      </w:r>
      <w:r w:rsidR="00751264">
        <w:rPr>
          <w:lang w:val="nl-NL"/>
        </w:rPr>
        <w:t xml:space="preserve"> extra</w:t>
      </w:r>
      <w:r>
        <w:rPr>
          <w:lang w:val="nl-NL"/>
        </w:rPr>
        <w:t xml:space="preserve"> geld te kosten, ook in de samenwerking en standaardisatie is winst te behalen om de NDS-doelen te behalen. </w:t>
      </w:r>
      <w:r w:rsidRPr="0018185B">
        <w:rPr>
          <w:lang w:val="nl-NL"/>
        </w:rPr>
        <w:t>D</w:t>
      </w:r>
      <w:r w:rsidR="00EE659E">
        <w:rPr>
          <w:lang w:val="nl-NL"/>
        </w:rPr>
        <w:t xml:space="preserve">it </w:t>
      </w:r>
      <w:r w:rsidR="00E357E3">
        <w:rPr>
          <w:lang w:val="nl-NL"/>
        </w:rPr>
        <w:t xml:space="preserve">document </w:t>
      </w:r>
      <w:r w:rsidR="00EE659E">
        <w:rPr>
          <w:lang w:val="nl-NL"/>
        </w:rPr>
        <w:t>betreft</w:t>
      </w:r>
      <w:r w:rsidR="00AA64A9">
        <w:rPr>
          <w:lang w:val="nl-NL"/>
        </w:rPr>
        <w:t xml:space="preserve"> de</w:t>
      </w:r>
      <w:r w:rsidR="00EE659E">
        <w:rPr>
          <w:lang w:val="nl-NL"/>
        </w:rPr>
        <w:t xml:space="preserve"> </w:t>
      </w:r>
      <w:r w:rsidR="00AA64A9">
        <w:rPr>
          <w:lang w:val="nl-NL"/>
        </w:rPr>
        <w:t>‘stand van zaken’</w:t>
      </w:r>
      <w:r w:rsidRPr="0018185B">
        <w:rPr>
          <w:lang w:val="nl-NL"/>
        </w:rPr>
        <w:t xml:space="preserve"> van de </w:t>
      </w:r>
      <w:r w:rsidR="00AA64A9">
        <w:rPr>
          <w:lang w:val="nl-NL"/>
        </w:rPr>
        <w:t>investeringsagenda</w:t>
      </w:r>
      <w:r w:rsidRPr="0018185B">
        <w:rPr>
          <w:lang w:val="nl-NL"/>
        </w:rPr>
        <w:t xml:space="preserve"> om tegemoet te komen aan</w:t>
      </w:r>
      <w:r w:rsidR="00EE659E">
        <w:rPr>
          <w:lang w:val="nl-NL"/>
        </w:rPr>
        <w:t xml:space="preserve"> de voornoemde motie en toezegging, en daarmee aan de wens van de Tweede Kamer. </w:t>
      </w:r>
      <w:r w:rsidR="00AA64A9">
        <w:rPr>
          <w:lang w:val="nl-NL"/>
        </w:rPr>
        <w:t>Het bevat</w:t>
      </w:r>
      <w:r w:rsidRPr="0018185B">
        <w:rPr>
          <w:lang w:val="nl-NL"/>
        </w:rPr>
        <w:t xml:space="preserve"> een eerste</w:t>
      </w:r>
      <w:r w:rsidR="00C26542">
        <w:rPr>
          <w:lang w:val="nl-NL"/>
        </w:rPr>
        <w:t xml:space="preserve"> grove</w:t>
      </w:r>
      <w:r w:rsidRPr="0018185B">
        <w:rPr>
          <w:lang w:val="nl-NL"/>
        </w:rPr>
        <w:t xml:space="preserve"> kostenraming. </w:t>
      </w:r>
      <w:r w:rsidR="00EE659E">
        <w:rPr>
          <w:lang w:val="nl-NL"/>
        </w:rPr>
        <w:t>D</w:t>
      </w:r>
      <w:r w:rsidR="00AA64A9">
        <w:rPr>
          <w:lang w:val="nl-NL"/>
        </w:rPr>
        <w:t>e gepresenteerde raming</w:t>
      </w:r>
      <w:r w:rsidR="00EE659E">
        <w:rPr>
          <w:lang w:val="nl-NL"/>
        </w:rPr>
        <w:t xml:space="preserve"> is met onzekerheid </w:t>
      </w:r>
      <w:r w:rsidRPr="00C32A44" w:rsidR="00EE659E">
        <w:rPr>
          <w:lang w:val="nl-NL"/>
        </w:rPr>
        <w:t xml:space="preserve">omgeven, omdat de financiële omvang afhangt van </w:t>
      </w:r>
      <w:r w:rsidR="00367D29">
        <w:rPr>
          <w:lang w:val="nl-NL"/>
        </w:rPr>
        <w:t>het type</w:t>
      </w:r>
      <w:r w:rsidRPr="00C32A44" w:rsidR="00EE659E">
        <w:rPr>
          <w:lang w:val="nl-NL"/>
        </w:rPr>
        <w:t xml:space="preserve"> te nemen maatregelen die nodig zijn om de doelen te realiseren. Die maatregelen zijn op het moment van schrijven </w:t>
      </w:r>
      <w:r w:rsidR="00367D29">
        <w:rPr>
          <w:lang w:val="nl-NL"/>
        </w:rPr>
        <w:t xml:space="preserve">nog </w:t>
      </w:r>
      <w:r w:rsidRPr="00C32A44" w:rsidR="00EE659E">
        <w:rPr>
          <w:lang w:val="nl-NL"/>
        </w:rPr>
        <w:t>niet</w:t>
      </w:r>
      <w:r w:rsidR="00367D29">
        <w:rPr>
          <w:lang w:val="nl-NL"/>
        </w:rPr>
        <w:t xml:space="preserve"> geheel</w:t>
      </w:r>
      <w:r w:rsidRPr="00C32A44" w:rsidR="00EE659E">
        <w:rPr>
          <w:lang w:val="nl-NL"/>
        </w:rPr>
        <w:t xml:space="preserve"> bekend. Het beleids- en besluitvormingsproces hiervoor is nog in gang.</w:t>
      </w:r>
      <w:r w:rsidR="004A72CE">
        <w:rPr>
          <w:lang w:val="nl-NL"/>
        </w:rPr>
        <w:t xml:space="preserve"> </w:t>
      </w:r>
    </w:p>
    <w:p w:rsidRPr="00157342" w:rsidR="00157342" w:rsidP="1AB9DE52" w14:paraId="6AA34F7E" w14:textId="114E03FC">
      <w:pPr>
        <w:rPr>
          <w:lang w:val="nl-NL"/>
        </w:rPr>
      </w:pPr>
      <w:r w:rsidRPr="1AB9DE52">
        <w:rPr>
          <w:lang w:val="nl-NL"/>
        </w:rPr>
        <w:t xml:space="preserve">Onderstaande tabel geeft een eerste overzicht van de </w:t>
      </w:r>
      <w:r w:rsidR="0018185B">
        <w:rPr>
          <w:lang w:val="nl-NL"/>
        </w:rPr>
        <w:t>kosten</w:t>
      </w:r>
      <w:r w:rsidRPr="1AB9DE52">
        <w:rPr>
          <w:lang w:val="nl-NL"/>
        </w:rPr>
        <w:t xml:space="preserve"> om de ambities uit de NDS </w:t>
      </w:r>
      <w:r w:rsidR="004A72CE">
        <w:rPr>
          <w:lang w:val="nl-NL"/>
        </w:rPr>
        <w:t xml:space="preserve">de komende jaren </w:t>
      </w:r>
      <w:r w:rsidRPr="1AB9DE52">
        <w:rPr>
          <w:lang w:val="nl-NL"/>
        </w:rPr>
        <w:t xml:space="preserve">te realiseren. Naast </w:t>
      </w:r>
      <w:r w:rsidR="0018185B">
        <w:rPr>
          <w:lang w:val="nl-NL"/>
        </w:rPr>
        <w:t>initiële</w:t>
      </w:r>
      <w:r w:rsidRPr="1AB9DE52" w:rsidR="0018185B">
        <w:rPr>
          <w:lang w:val="nl-NL"/>
        </w:rPr>
        <w:t xml:space="preserve"> </w:t>
      </w:r>
      <w:r w:rsidRPr="1AB9DE52">
        <w:rPr>
          <w:lang w:val="nl-NL"/>
        </w:rPr>
        <w:t>investeringen gaat het om implementatiekosten</w:t>
      </w:r>
      <w:r w:rsidR="0018185B">
        <w:rPr>
          <w:lang w:val="nl-NL"/>
        </w:rPr>
        <w:t xml:space="preserve"> (kosten van verbreding)</w:t>
      </w:r>
      <w:r w:rsidRPr="1AB9DE52">
        <w:rPr>
          <w:lang w:val="nl-NL"/>
        </w:rPr>
        <w:t xml:space="preserve"> en terugkerende kosten van beheer en onderhoud. De genoemde bedragen betreffen </w:t>
      </w:r>
      <w:r w:rsidR="009D1622">
        <w:rPr>
          <w:lang w:val="nl-NL"/>
        </w:rPr>
        <w:t xml:space="preserve">eerste </w:t>
      </w:r>
      <w:r w:rsidRPr="1AB9DE52">
        <w:rPr>
          <w:lang w:val="nl-NL"/>
        </w:rPr>
        <w:t xml:space="preserve">schattingen en zijn nog niet van dekking voorzien. </w:t>
      </w:r>
      <w:r w:rsidRPr="0018185B" w:rsidR="0018185B">
        <w:rPr>
          <w:lang w:val="nl-NL"/>
        </w:rPr>
        <w:t xml:space="preserve">Uit politieke besluitvorming moet blijken of en hoeveel middelen voor de verschillende onderdelen beschikbaar komen. </w:t>
      </w:r>
      <w:r w:rsidRPr="1AB9DE52">
        <w:rPr>
          <w:lang w:val="nl-NL"/>
        </w:rPr>
        <w:t>De bedragen bevatten daarnaast nog een aanzienlijke mate van onzekerheid omdat de verdere uitwerking van de verschillende acties uit de NDS parallel plaatsvindt. De tabel is</w:t>
      </w:r>
      <w:r w:rsidR="0018185B">
        <w:rPr>
          <w:lang w:val="nl-NL"/>
        </w:rPr>
        <w:t xml:space="preserve"> derhalve</w:t>
      </w:r>
      <w:r w:rsidRPr="1AB9DE52">
        <w:rPr>
          <w:lang w:val="nl-NL"/>
        </w:rPr>
        <w:t xml:space="preserve"> een eerste indicatie en de bedragen </w:t>
      </w:r>
      <w:r w:rsidR="0018185B">
        <w:rPr>
          <w:lang w:val="nl-NL"/>
        </w:rPr>
        <w:t>zullen</w:t>
      </w:r>
      <w:r w:rsidRPr="1AB9DE52" w:rsidR="0018185B">
        <w:rPr>
          <w:lang w:val="nl-NL"/>
        </w:rPr>
        <w:t xml:space="preserve"> </w:t>
      </w:r>
      <w:r w:rsidRPr="1AB9DE52">
        <w:rPr>
          <w:lang w:val="nl-NL"/>
        </w:rPr>
        <w:t xml:space="preserve">op onderdelen nog </w:t>
      </w:r>
      <w:r w:rsidR="0018185B">
        <w:rPr>
          <w:lang w:val="nl-NL"/>
        </w:rPr>
        <w:t xml:space="preserve">gaan </w:t>
      </w:r>
      <w:r w:rsidRPr="1AB9DE52">
        <w:rPr>
          <w:lang w:val="nl-NL"/>
        </w:rPr>
        <w:t>veranderen</w:t>
      </w:r>
      <w:r w:rsidR="0018185B">
        <w:rPr>
          <w:lang w:val="nl-NL"/>
        </w:rPr>
        <w:t xml:space="preserve"> bij de verdere uitwerking van de investeringsagenda</w:t>
      </w:r>
      <w:r w:rsidRPr="1AB9DE52">
        <w:rPr>
          <w:lang w:val="nl-NL"/>
        </w:rPr>
        <w:t>. De bedragen hebben het karakter van een raming, omdat;</w:t>
      </w:r>
    </w:p>
    <w:p w:rsidRPr="00B01186" w:rsidR="00157342" w:rsidP="1AB9DE52" w14:paraId="162D7CA0" w14:textId="2E16A807">
      <w:pPr>
        <w:pStyle w:val="ListParagraph"/>
        <w:numPr>
          <w:ilvl w:val="0"/>
          <w:numId w:val="4"/>
        </w:numPr>
        <w:rPr>
          <w:lang w:val="nl-NL"/>
        </w:rPr>
      </w:pPr>
      <w:r w:rsidRPr="1AB9DE52">
        <w:rPr>
          <w:lang w:val="nl-NL"/>
        </w:rPr>
        <w:t xml:space="preserve">De tabel een deel van de </w:t>
      </w:r>
      <w:r w:rsidR="0018185B">
        <w:rPr>
          <w:lang w:val="nl-NL"/>
        </w:rPr>
        <w:t>kosten</w:t>
      </w:r>
      <w:r w:rsidRPr="1AB9DE52">
        <w:rPr>
          <w:lang w:val="nl-NL"/>
        </w:rPr>
        <w:t xml:space="preserve"> presenteert: enkel de financieel grootste projecten per NDS-onderdeel. Een meer volledige en gedetailleerde uitwerking per onderdeel vindt plaats in de definitieve investeringsagenda.</w:t>
      </w:r>
    </w:p>
    <w:p w:rsidRPr="00157342" w:rsidR="00157342" w:rsidP="00157342" w14:paraId="6A12D685" w14:textId="5133FE3C">
      <w:pPr>
        <w:pStyle w:val="ListParagraph"/>
        <w:numPr>
          <w:ilvl w:val="0"/>
          <w:numId w:val="4"/>
        </w:numPr>
        <w:rPr>
          <w:lang w:val="nl-NL"/>
        </w:rPr>
      </w:pPr>
      <w:r>
        <w:rPr>
          <w:lang w:val="nl-NL"/>
        </w:rPr>
        <w:t xml:space="preserve">Belangrijke uitgangspunten en (beleidsmatige) keuzes over de realisatie en implementatie van de NDS-onderdelen </w:t>
      </w:r>
      <w:r w:rsidRPr="00157342">
        <w:rPr>
          <w:lang w:val="nl-NL"/>
        </w:rPr>
        <w:t xml:space="preserve">nog </w:t>
      </w:r>
      <w:r w:rsidR="00FD1794">
        <w:rPr>
          <w:lang w:val="nl-NL"/>
        </w:rPr>
        <w:t>vastgesteld moeten worden</w:t>
      </w:r>
      <w:r w:rsidRPr="00157342">
        <w:rPr>
          <w:lang w:val="nl-NL"/>
        </w:rPr>
        <w:t xml:space="preserve">, </w:t>
      </w:r>
      <w:r w:rsidR="00FD1794">
        <w:rPr>
          <w:lang w:val="nl-NL"/>
        </w:rPr>
        <w:t>terwijl d</w:t>
      </w:r>
      <w:r w:rsidR="0018185B">
        <w:rPr>
          <w:lang w:val="nl-NL"/>
        </w:rPr>
        <w:t xml:space="preserve">e maatregelen die hieruit vloeien </w:t>
      </w:r>
      <w:r w:rsidRPr="00157342">
        <w:rPr>
          <w:lang w:val="nl-NL"/>
        </w:rPr>
        <w:t xml:space="preserve">wel invloed </w:t>
      </w:r>
      <w:r w:rsidR="00FD1794">
        <w:rPr>
          <w:lang w:val="nl-NL"/>
        </w:rPr>
        <w:t>he</w:t>
      </w:r>
      <w:r w:rsidR="0018185B">
        <w:rPr>
          <w:lang w:val="nl-NL"/>
        </w:rPr>
        <w:t>b</w:t>
      </w:r>
      <w:r w:rsidR="00717FDF">
        <w:rPr>
          <w:lang w:val="nl-NL"/>
        </w:rPr>
        <w:t>b</w:t>
      </w:r>
      <w:r w:rsidR="0018185B">
        <w:rPr>
          <w:lang w:val="nl-NL"/>
        </w:rPr>
        <w:t>en</w:t>
      </w:r>
      <w:r w:rsidR="00FD1794">
        <w:rPr>
          <w:lang w:val="nl-NL"/>
        </w:rPr>
        <w:t xml:space="preserve"> </w:t>
      </w:r>
      <w:r w:rsidRPr="00157342">
        <w:rPr>
          <w:lang w:val="nl-NL"/>
        </w:rPr>
        <w:t xml:space="preserve">op de uiteindelijke financiële omvang. </w:t>
      </w:r>
    </w:p>
    <w:p w:rsidR="00157342" w:rsidP="00157342" w14:paraId="6FBCA8B2" w14:textId="5705A6B3">
      <w:pPr>
        <w:pStyle w:val="ListParagraph"/>
        <w:numPr>
          <w:ilvl w:val="0"/>
          <w:numId w:val="4"/>
        </w:numPr>
        <w:rPr>
          <w:lang w:val="nl-NL"/>
        </w:rPr>
      </w:pPr>
      <w:r w:rsidRPr="00157342">
        <w:rPr>
          <w:lang w:val="nl-NL"/>
        </w:rPr>
        <w:t xml:space="preserve">Budgettaire consequenties in belangrijke mate afhankelijk zijn van </w:t>
      </w:r>
      <w:r w:rsidR="00DB40EA">
        <w:rPr>
          <w:lang w:val="nl-NL"/>
        </w:rPr>
        <w:t>(</w:t>
      </w:r>
      <w:r w:rsidRPr="00157342">
        <w:rPr>
          <w:lang w:val="nl-NL"/>
        </w:rPr>
        <w:t>het tempo</w:t>
      </w:r>
      <w:r w:rsidR="00DB40EA">
        <w:rPr>
          <w:lang w:val="nl-NL"/>
        </w:rPr>
        <w:t xml:space="preserve"> van)</w:t>
      </w:r>
      <w:r w:rsidRPr="00157342">
        <w:rPr>
          <w:lang w:val="nl-NL"/>
        </w:rPr>
        <w:t xml:space="preserve"> de implementatie</w:t>
      </w:r>
      <w:r w:rsidR="00DB40EA">
        <w:rPr>
          <w:lang w:val="nl-NL"/>
        </w:rPr>
        <w:t xml:space="preserve">, migratie en uitvoering, evenals de organisatie-specifieke context, waaronder legacy. </w:t>
      </w:r>
    </w:p>
    <w:p w:rsidRPr="00D04B65" w:rsidR="00F355CC" w:rsidP="00F355CC" w14:paraId="4B6973FD" w14:textId="02AC6C61">
      <w:pPr>
        <w:pStyle w:val="ListParagraph"/>
        <w:numPr>
          <w:ilvl w:val="0"/>
          <w:numId w:val="4"/>
        </w:numPr>
        <w:rPr>
          <w:lang w:val="nl-NL"/>
        </w:rPr>
      </w:pPr>
      <w:r w:rsidRPr="00D04B65">
        <w:rPr>
          <w:lang w:val="nl-NL"/>
        </w:rPr>
        <w:t xml:space="preserve">Omdat de implementatie van de verschillende onderdelen bij alle overheden op dit moment nog onvoldoende is uitgewerkt, zijn hiervoor nog beperkt bedragen in de investeringsagenda opgenomen. Dit zal in </w:t>
      </w:r>
      <w:r w:rsidRPr="00D04B65" w:rsidR="00D04B65">
        <w:rPr>
          <w:lang w:val="nl-NL"/>
        </w:rPr>
        <w:t xml:space="preserve">de </w:t>
      </w:r>
      <w:r w:rsidRPr="00D04B65">
        <w:rPr>
          <w:lang w:val="nl-NL"/>
        </w:rPr>
        <w:t>definitieve versie leiden tot additionele kostenposten.</w:t>
      </w:r>
    </w:p>
    <w:p w:rsidR="00F355CC" w:rsidP="00F355CC" w14:paraId="5DD5571B" w14:textId="77777777">
      <w:pPr>
        <w:pStyle w:val="ListParagraph"/>
        <w:rPr>
          <w:lang w:val="nl-NL"/>
        </w:rPr>
      </w:pPr>
    </w:p>
    <w:p w:rsidRPr="009E068D" w:rsidR="009E068D" w:rsidP="009E068D" w14:paraId="288E6F30" w14:textId="0CDCDB01">
      <w:pPr>
        <w:rPr>
          <w:lang w:val="nl-NL"/>
        </w:rPr>
      </w:pPr>
      <w:bookmarkStart w:name="_Hlk212620577" w:id="0"/>
      <w:r w:rsidRPr="1AB9DE52">
        <w:rPr>
          <w:lang w:val="nl-NL"/>
        </w:rPr>
        <w:t xml:space="preserve">De NDS bestaat uit </w:t>
      </w:r>
      <w:r w:rsidR="000A1FC9">
        <w:rPr>
          <w:lang w:val="nl-NL"/>
        </w:rPr>
        <w:t>tien</w:t>
      </w:r>
      <w:r w:rsidRPr="1AB9DE52" w:rsidR="000A1FC9">
        <w:rPr>
          <w:lang w:val="nl-NL"/>
        </w:rPr>
        <w:t xml:space="preserve"> </w:t>
      </w:r>
      <w:r w:rsidRPr="1AB9DE52">
        <w:rPr>
          <w:lang w:val="nl-NL"/>
        </w:rPr>
        <w:t>onderdelen</w:t>
      </w:r>
      <w:r w:rsidR="0018185B">
        <w:rPr>
          <w:lang w:val="nl-NL"/>
        </w:rPr>
        <w:t xml:space="preserve">: </w:t>
      </w:r>
      <w:r w:rsidR="000A1FC9">
        <w:rPr>
          <w:lang w:val="nl-NL"/>
        </w:rPr>
        <w:t>zes prioriteiten en vier interventies</w:t>
      </w:r>
      <w:r w:rsidR="0018185B">
        <w:rPr>
          <w:lang w:val="nl-NL"/>
        </w:rPr>
        <w:t>.</w:t>
      </w:r>
      <w:r>
        <w:rPr>
          <w:lang w:val="nl-NL"/>
        </w:rPr>
        <w:t xml:space="preserve"> </w:t>
      </w:r>
      <w:r w:rsidRPr="009E068D">
        <w:rPr>
          <w:lang w:val="nl-NL"/>
        </w:rPr>
        <w:t xml:space="preserve">Deze onderdelen vormen de grondslag voor deze eerste versie van de </w:t>
      </w:r>
      <w:r>
        <w:rPr>
          <w:lang w:val="nl-NL"/>
        </w:rPr>
        <w:t>investering</w:t>
      </w:r>
      <w:r w:rsidR="00AA64A9">
        <w:rPr>
          <w:lang w:val="nl-NL"/>
        </w:rPr>
        <w:t>s</w:t>
      </w:r>
      <w:r>
        <w:rPr>
          <w:lang w:val="nl-NL"/>
        </w:rPr>
        <w:t>agenda</w:t>
      </w:r>
      <w:r w:rsidRPr="009E068D">
        <w:rPr>
          <w:lang w:val="nl-NL"/>
        </w:rPr>
        <w:t xml:space="preserve">. </w:t>
      </w:r>
      <w:r>
        <w:rPr>
          <w:lang w:val="nl-NL"/>
        </w:rPr>
        <w:t>Uit deze onderdelen</w:t>
      </w:r>
      <w:r w:rsidRPr="009E068D">
        <w:rPr>
          <w:lang w:val="nl-NL"/>
        </w:rPr>
        <w:t xml:space="preserve"> vloeien namelijk versnellers met maatregelen voort met budgettaire consequenties die nodig zijn om de geformuleerde NDS ambities te realiseren. Aan de hand van interbestuurlijke werksessies zijn de eerste ramingen opgesteld om </w:t>
      </w:r>
      <w:r w:rsidR="00E357E3">
        <w:rPr>
          <w:lang w:val="nl-NL"/>
        </w:rPr>
        <w:t>de benodigde kosten</w:t>
      </w:r>
      <w:r w:rsidRPr="009E068D">
        <w:rPr>
          <w:lang w:val="nl-NL"/>
        </w:rPr>
        <w:t xml:space="preserve"> in beeld te brengen</w:t>
      </w:r>
      <w:r w:rsidR="00122C60">
        <w:rPr>
          <w:lang w:val="nl-NL"/>
        </w:rPr>
        <w:t xml:space="preserve"> van de versnellers zoals geformuleerd in de NDS</w:t>
      </w:r>
      <w:r w:rsidRPr="009E068D">
        <w:rPr>
          <w:lang w:val="nl-NL"/>
        </w:rPr>
        <w:t>.</w:t>
      </w:r>
      <w:r w:rsidR="00F53383">
        <w:rPr>
          <w:lang w:val="nl-NL"/>
        </w:rPr>
        <w:t xml:space="preserve"> Daarnaast zijn er legacy vraagstukken waar </w:t>
      </w:r>
      <w:r w:rsidR="00D5449F">
        <w:rPr>
          <w:lang w:val="nl-NL"/>
        </w:rPr>
        <w:t xml:space="preserve">elders </w:t>
      </w:r>
      <w:r w:rsidR="00F53383">
        <w:rPr>
          <w:lang w:val="nl-NL"/>
        </w:rPr>
        <w:t xml:space="preserve">een oplossing voor moet worden gezocht. </w:t>
      </w:r>
      <w:r w:rsidRPr="00453E7F" w:rsidR="00453E7F">
        <w:rPr>
          <w:lang w:val="nl-NL"/>
        </w:rPr>
        <w:t>Deze zijn geen onderdeel van de scope van de NDS en daarom ook niet opgenomen in de investeringsagenda.</w:t>
      </w:r>
      <w:r w:rsidR="00F53383">
        <w:rPr>
          <w:lang w:val="nl-NL"/>
        </w:rPr>
        <w:t xml:space="preserve"> </w:t>
      </w:r>
    </w:p>
    <w:bookmarkEnd w:id="0"/>
    <w:p w:rsidR="00FC7B0D" w:rsidP="00957D13" w14:paraId="516B2EF0" w14:textId="5A85E5CB">
      <w:pPr>
        <w:rPr>
          <w:i/>
          <w:iCs/>
          <w:lang w:val="nl-NL"/>
        </w:rPr>
      </w:pPr>
      <w:r w:rsidRPr="009E068D">
        <w:rPr>
          <w:lang w:val="nl-NL"/>
        </w:rPr>
        <w:t>Hieronder staan de globale ramingen weergegeven</w:t>
      </w:r>
      <w:r w:rsidR="0073338D">
        <w:rPr>
          <w:lang w:val="nl-NL"/>
        </w:rPr>
        <w:t xml:space="preserve"> </w:t>
      </w:r>
      <w:r w:rsidRPr="009E068D">
        <w:rPr>
          <w:lang w:val="nl-NL"/>
        </w:rPr>
        <w:t>(afgerond op vijftallen vanwege eerdergenoemde onzekerheden)</w:t>
      </w:r>
      <w:r>
        <w:rPr>
          <w:lang w:val="nl-NL"/>
        </w:rPr>
        <w:t>,</w:t>
      </w:r>
      <w:r w:rsidRPr="009E068D">
        <w:rPr>
          <w:lang w:val="nl-NL"/>
        </w:rPr>
        <w:t xml:space="preserve"> op basis van de op dit moment beschikbare informatie. Daarbij is ook weergegeven welk aandeel (%) op dit moment is ingeschat als incidenteel (eenmalig, tijdelijk).  </w:t>
      </w:r>
      <w:r w:rsidR="00957D13">
        <w:rPr>
          <w:lang w:val="nl-NL"/>
        </w:rPr>
        <w:t>In de ramingen zijn alleen die kosten opgenomen die betrekking hebben op het realiseren en implementeren van de in de NDS opgenomen versnellers voor de prioriteiten en de interventies. Eventuele andere kosten voor de digitale overheid zijn hier niet in meegenomen.</w:t>
      </w:r>
    </w:p>
    <w:tbl>
      <w:tblPr>
        <w:tblStyle w:val="GridTable6ColorfulAccent5"/>
        <w:tblW w:w="0" w:type="auto"/>
        <w:tblLook w:val="04A0"/>
      </w:tblPr>
      <w:tblGrid>
        <w:gridCol w:w="3447"/>
        <w:gridCol w:w="844"/>
        <w:gridCol w:w="844"/>
        <w:gridCol w:w="844"/>
        <w:gridCol w:w="844"/>
        <w:gridCol w:w="844"/>
        <w:gridCol w:w="1350"/>
      </w:tblGrid>
      <w:tr w:rsidTr="00C231F5" w14:paraId="43FE40C0" w14:textId="77777777">
        <w:tblPrEx>
          <w:tblW w:w="0" w:type="auto"/>
          <w:tblLook w:val="04A0"/>
        </w:tblPrEx>
        <w:trPr>
          <w:trHeight w:val="564"/>
        </w:trPr>
        <w:tc>
          <w:tcPr>
            <w:tcW w:w="3447" w:type="dxa"/>
            <w:hideMark/>
          </w:tcPr>
          <w:p w:rsidRPr="00C231F5" w:rsidR="00B619E9" w:rsidP="00C231F5" w14:paraId="0937A5DA" w14:textId="733099C6">
            <w:pPr>
              <w:jc w:val="center"/>
              <w:rPr>
                <w:color w:val="auto"/>
                <w:szCs w:val="18"/>
              </w:rPr>
            </w:pPr>
            <w:r w:rsidRPr="00C231F5">
              <w:rPr>
                <w:color w:val="auto"/>
                <w:szCs w:val="18"/>
              </w:rPr>
              <w:t>Bedragen in € mln.</w:t>
            </w:r>
          </w:p>
        </w:tc>
        <w:tc>
          <w:tcPr>
            <w:tcW w:w="844" w:type="dxa"/>
            <w:hideMark/>
          </w:tcPr>
          <w:p w:rsidRPr="00C231F5" w:rsidR="00B619E9" w:rsidP="00B619E9" w14:paraId="36E24841" w14:textId="77777777">
            <w:pPr>
              <w:rPr>
                <w:color w:val="auto"/>
                <w:szCs w:val="18"/>
              </w:rPr>
            </w:pPr>
            <w:r w:rsidRPr="00C231F5">
              <w:rPr>
                <w:color w:val="auto"/>
                <w:szCs w:val="18"/>
              </w:rPr>
              <w:t>2026</w:t>
            </w:r>
          </w:p>
        </w:tc>
        <w:tc>
          <w:tcPr>
            <w:tcW w:w="844" w:type="dxa"/>
            <w:hideMark/>
          </w:tcPr>
          <w:p w:rsidRPr="00C231F5" w:rsidR="00B619E9" w:rsidP="00B619E9" w14:paraId="21FAB7F6" w14:textId="77777777">
            <w:pPr>
              <w:rPr>
                <w:color w:val="auto"/>
                <w:szCs w:val="18"/>
              </w:rPr>
            </w:pPr>
            <w:r w:rsidRPr="00C231F5">
              <w:rPr>
                <w:color w:val="auto"/>
                <w:szCs w:val="18"/>
              </w:rPr>
              <w:t>2027</w:t>
            </w:r>
          </w:p>
        </w:tc>
        <w:tc>
          <w:tcPr>
            <w:tcW w:w="844" w:type="dxa"/>
            <w:hideMark/>
          </w:tcPr>
          <w:p w:rsidRPr="00C231F5" w:rsidR="00B619E9" w:rsidP="00B619E9" w14:paraId="2A7023BF" w14:textId="77777777">
            <w:pPr>
              <w:rPr>
                <w:color w:val="auto"/>
                <w:szCs w:val="18"/>
              </w:rPr>
            </w:pPr>
            <w:r w:rsidRPr="00C231F5">
              <w:rPr>
                <w:color w:val="auto"/>
                <w:szCs w:val="18"/>
              </w:rPr>
              <w:t>2028</w:t>
            </w:r>
          </w:p>
        </w:tc>
        <w:tc>
          <w:tcPr>
            <w:tcW w:w="844" w:type="dxa"/>
            <w:hideMark/>
          </w:tcPr>
          <w:p w:rsidRPr="00C231F5" w:rsidR="00B619E9" w:rsidP="00B619E9" w14:paraId="2B1825E3" w14:textId="77777777">
            <w:pPr>
              <w:rPr>
                <w:color w:val="auto"/>
                <w:szCs w:val="18"/>
              </w:rPr>
            </w:pPr>
            <w:r w:rsidRPr="00C231F5">
              <w:rPr>
                <w:color w:val="auto"/>
                <w:szCs w:val="18"/>
              </w:rPr>
              <w:t>2029</w:t>
            </w:r>
          </w:p>
        </w:tc>
        <w:tc>
          <w:tcPr>
            <w:tcW w:w="844" w:type="dxa"/>
            <w:hideMark/>
          </w:tcPr>
          <w:p w:rsidRPr="00C231F5" w:rsidR="00B619E9" w:rsidP="00B619E9" w14:paraId="58724497" w14:textId="77777777">
            <w:pPr>
              <w:rPr>
                <w:color w:val="auto"/>
                <w:szCs w:val="18"/>
              </w:rPr>
            </w:pPr>
            <w:r w:rsidRPr="00C231F5">
              <w:rPr>
                <w:color w:val="auto"/>
                <w:szCs w:val="18"/>
              </w:rPr>
              <w:t>2030</w:t>
            </w:r>
          </w:p>
        </w:tc>
        <w:tc>
          <w:tcPr>
            <w:tcW w:w="1350" w:type="dxa"/>
            <w:hideMark/>
          </w:tcPr>
          <w:p w:rsidRPr="00C231F5" w:rsidR="00B619E9" w:rsidP="00B619E9" w14:paraId="69C2C710" w14:textId="77777777">
            <w:pPr>
              <w:jc w:val="center"/>
              <w:rPr>
                <w:color w:val="auto"/>
                <w:szCs w:val="18"/>
              </w:rPr>
            </w:pPr>
            <w:r w:rsidRPr="00C231F5">
              <w:rPr>
                <w:color w:val="auto"/>
                <w:szCs w:val="18"/>
              </w:rPr>
              <w:t>Structureel</w:t>
            </w:r>
          </w:p>
          <w:p w:rsidRPr="00C231F5" w:rsidR="00B619E9" w:rsidP="00D04B65" w14:paraId="32BE2781" w14:textId="5ACA9375">
            <w:pPr>
              <w:jc w:val="center"/>
              <w:rPr>
                <w:color w:val="auto"/>
                <w:szCs w:val="18"/>
              </w:rPr>
            </w:pPr>
            <w:r w:rsidRPr="00C231F5">
              <w:rPr>
                <w:color w:val="auto"/>
                <w:szCs w:val="18"/>
              </w:rPr>
              <w:t>p/j</w:t>
            </w:r>
          </w:p>
        </w:tc>
      </w:tr>
      <w:tr w:rsidTr="004A68D4" w14:paraId="13566341" w14:textId="77777777">
        <w:tblPrEx>
          <w:tblW w:w="0" w:type="auto"/>
          <w:tblLook w:val="04A0"/>
        </w:tblPrEx>
        <w:trPr>
          <w:trHeight w:val="312"/>
        </w:trPr>
        <w:tc>
          <w:tcPr>
            <w:tcW w:w="9017" w:type="dxa"/>
            <w:gridSpan w:val="7"/>
            <w:hideMark/>
          </w:tcPr>
          <w:p w:rsidRPr="00C231F5" w:rsidR="00C231F5" w:rsidP="00C231F5" w14:paraId="4C73D8F1" w14:textId="6AC8075F">
            <w:pPr>
              <w:rPr>
                <w:color w:val="auto"/>
                <w:szCs w:val="18"/>
              </w:rPr>
            </w:pPr>
            <w:r w:rsidRPr="00C231F5">
              <w:rPr>
                <w:i/>
                <w:iCs/>
                <w:color w:val="auto"/>
                <w:szCs w:val="18"/>
              </w:rPr>
              <w:t>Prioriteit</w:t>
            </w:r>
          </w:p>
        </w:tc>
      </w:tr>
      <w:tr w:rsidTr="00C231F5" w14:paraId="270D53D0" w14:textId="77777777">
        <w:tblPrEx>
          <w:tblW w:w="0" w:type="auto"/>
          <w:tblLook w:val="04A0"/>
        </w:tblPrEx>
        <w:trPr>
          <w:trHeight w:val="300"/>
        </w:trPr>
        <w:tc>
          <w:tcPr>
            <w:tcW w:w="3447" w:type="dxa"/>
            <w:hideMark/>
          </w:tcPr>
          <w:p w:rsidRPr="00C231F5" w:rsidR="00B619E9" w:rsidP="00D04B65" w14:paraId="742A75F3" w14:textId="77777777">
            <w:pPr>
              <w:rPr>
                <w:b w:val="0"/>
                <w:bCs w:val="0"/>
                <w:color w:val="auto"/>
                <w:szCs w:val="18"/>
              </w:rPr>
            </w:pPr>
            <w:r w:rsidRPr="00C231F5">
              <w:rPr>
                <w:b w:val="0"/>
                <w:bCs w:val="0"/>
                <w:color w:val="auto"/>
                <w:szCs w:val="18"/>
              </w:rPr>
              <w:t>Data</w:t>
            </w:r>
          </w:p>
        </w:tc>
        <w:tc>
          <w:tcPr>
            <w:tcW w:w="844" w:type="dxa"/>
            <w:hideMark/>
          </w:tcPr>
          <w:p w:rsidRPr="00C231F5" w:rsidR="00B619E9" w:rsidP="00D04B65" w14:paraId="1BFBD41B" w14:textId="77777777">
            <w:pPr>
              <w:jc w:val="center"/>
              <w:rPr>
                <w:color w:val="auto"/>
                <w:szCs w:val="18"/>
              </w:rPr>
            </w:pPr>
            <w:r w:rsidRPr="00C231F5">
              <w:rPr>
                <w:color w:val="auto"/>
                <w:szCs w:val="18"/>
              </w:rPr>
              <w:t>35</w:t>
            </w:r>
          </w:p>
        </w:tc>
        <w:tc>
          <w:tcPr>
            <w:tcW w:w="844" w:type="dxa"/>
            <w:hideMark/>
          </w:tcPr>
          <w:p w:rsidRPr="00C231F5" w:rsidR="00B619E9" w:rsidP="00D04B65" w14:paraId="2704C7C8" w14:textId="77777777">
            <w:pPr>
              <w:jc w:val="center"/>
              <w:rPr>
                <w:color w:val="auto"/>
                <w:szCs w:val="18"/>
              </w:rPr>
            </w:pPr>
            <w:r w:rsidRPr="00C231F5">
              <w:rPr>
                <w:color w:val="auto"/>
                <w:szCs w:val="18"/>
              </w:rPr>
              <w:t>65</w:t>
            </w:r>
          </w:p>
        </w:tc>
        <w:tc>
          <w:tcPr>
            <w:tcW w:w="844" w:type="dxa"/>
            <w:hideMark/>
          </w:tcPr>
          <w:p w:rsidRPr="00C231F5" w:rsidR="00B619E9" w:rsidP="00D04B65" w14:paraId="7D71116E" w14:textId="77777777">
            <w:pPr>
              <w:jc w:val="center"/>
              <w:rPr>
                <w:color w:val="auto"/>
                <w:szCs w:val="18"/>
              </w:rPr>
            </w:pPr>
            <w:r w:rsidRPr="00C231F5">
              <w:rPr>
                <w:color w:val="auto"/>
                <w:szCs w:val="18"/>
              </w:rPr>
              <w:t>90</w:t>
            </w:r>
          </w:p>
        </w:tc>
        <w:tc>
          <w:tcPr>
            <w:tcW w:w="844" w:type="dxa"/>
            <w:hideMark/>
          </w:tcPr>
          <w:p w:rsidRPr="00C231F5" w:rsidR="00B619E9" w:rsidP="00D04B65" w14:paraId="75B697A1" w14:textId="77777777">
            <w:pPr>
              <w:jc w:val="center"/>
              <w:rPr>
                <w:color w:val="auto"/>
                <w:szCs w:val="18"/>
              </w:rPr>
            </w:pPr>
            <w:r w:rsidRPr="00C231F5">
              <w:rPr>
                <w:color w:val="auto"/>
                <w:szCs w:val="18"/>
              </w:rPr>
              <w:t>115</w:t>
            </w:r>
          </w:p>
        </w:tc>
        <w:tc>
          <w:tcPr>
            <w:tcW w:w="844" w:type="dxa"/>
            <w:hideMark/>
          </w:tcPr>
          <w:p w:rsidRPr="00C231F5" w:rsidR="00B619E9" w:rsidP="00D04B65" w14:paraId="78E3E044" w14:textId="77777777">
            <w:pPr>
              <w:jc w:val="center"/>
              <w:rPr>
                <w:color w:val="auto"/>
                <w:szCs w:val="18"/>
              </w:rPr>
            </w:pPr>
            <w:r w:rsidRPr="00C231F5">
              <w:rPr>
                <w:color w:val="auto"/>
                <w:szCs w:val="18"/>
              </w:rPr>
              <w:t>140</w:t>
            </w:r>
          </w:p>
        </w:tc>
        <w:tc>
          <w:tcPr>
            <w:tcW w:w="1350" w:type="dxa"/>
            <w:hideMark/>
          </w:tcPr>
          <w:p w:rsidRPr="00C231F5" w:rsidR="00B619E9" w:rsidP="00D04B65" w14:paraId="591F7661" w14:textId="77777777">
            <w:pPr>
              <w:jc w:val="center"/>
              <w:rPr>
                <w:color w:val="auto"/>
                <w:szCs w:val="18"/>
              </w:rPr>
            </w:pPr>
            <w:r w:rsidRPr="00C231F5">
              <w:rPr>
                <w:color w:val="auto"/>
                <w:szCs w:val="18"/>
              </w:rPr>
              <w:t>85</w:t>
            </w:r>
          </w:p>
        </w:tc>
      </w:tr>
      <w:tr w:rsidTr="00C231F5" w14:paraId="1037AA33" w14:textId="77777777">
        <w:tblPrEx>
          <w:tblW w:w="0" w:type="auto"/>
          <w:tblLook w:val="04A0"/>
        </w:tblPrEx>
        <w:trPr>
          <w:trHeight w:val="300"/>
        </w:trPr>
        <w:tc>
          <w:tcPr>
            <w:tcW w:w="3447" w:type="dxa"/>
            <w:hideMark/>
          </w:tcPr>
          <w:p w:rsidRPr="00C231F5" w:rsidR="00B619E9" w:rsidP="00D04B65" w14:paraId="45550D9B" w14:textId="77777777">
            <w:pPr>
              <w:rPr>
                <w:b w:val="0"/>
                <w:bCs w:val="0"/>
                <w:color w:val="auto"/>
                <w:szCs w:val="18"/>
              </w:rPr>
            </w:pPr>
            <w:r w:rsidRPr="00C231F5">
              <w:rPr>
                <w:b w:val="0"/>
                <w:bCs w:val="0"/>
                <w:color w:val="auto"/>
                <w:szCs w:val="18"/>
              </w:rPr>
              <w:t>AI</w:t>
            </w:r>
          </w:p>
        </w:tc>
        <w:tc>
          <w:tcPr>
            <w:tcW w:w="844" w:type="dxa"/>
            <w:hideMark/>
          </w:tcPr>
          <w:p w:rsidRPr="00C231F5" w:rsidR="00B619E9" w:rsidP="00D04B65" w14:paraId="6AF7D23E" w14:textId="77777777">
            <w:pPr>
              <w:jc w:val="center"/>
              <w:rPr>
                <w:color w:val="auto"/>
                <w:szCs w:val="18"/>
              </w:rPr>
            </w:pPr>
            <w:r w:rsidRPr="00C231F5">
              <w:rPr>
                <w:color w:val="auto"/>
                <w:szCs w:val="18"/>
              </w:rPr>
              <w:t>40</w:t>
            </w:r>
          </w:p>
        </w:tc>
        <w:tc>
          <w:tcPr>
            <w:tcW w:w="844" w:type="dxa"/>
            <w:hideMark/>
          </w:tcPr>
          <w:p w:rsidRPr="00C231F5" w:rsidR="00B619E9" w:rsidP="00D04B65" w14:paraId="404973AF" w14:textId="77777777">
            <w:pPr>
              <w:jc w:val="center"/>
              <w:rPr>
                <w:color w:val="auto"/>
                <w:szCs w:val="18"/>
              </w:rPr>
            </w:pPr>
            <w:r w:rsidRPr="00C231F5">
              <w:rPr>
                <w:color w:val="auto"/>
                <w:szCs w:val="18"/>
              </w:rPr>
              <w:t>50</w:t>
            </w:r>
          </w:p>
        </w:tc>
        <w:tc>
          <w:tcPr>
            <w:tcW w:w="844" w:type="dxa"/>
            <w:hideMark/>
          </w:tcPr>
          <w:p w:rsidRPr="00C231F5" w:rsidR="00B619E9" w:rsidP="00D04B65" w14:paraId="5CE7CE6C" w14:textId="77777777">
            <w:pPr>
              <w:jc w:val="center"/>
              <w:rPr>
                <w:color w:val="auto"/>
                <w:szCs w:val="18"/>
              </w:rPr>
            </w:pPr>
            <w:r w:rsidRPr="00C231F5">
              <w:rPr>
                <w:color w:val="auto"/>
                <w:szCs w:val="18"/>
              </w:rPr>
              <w:t>50</w:t>
            </w:r>
          </w:p>
        </w:tc>
        <w:tc>
          <w:tcPr>
            <w:tcW w:w="844" w:type="dxa"/>
            <w:hideMark/>
          </w:tcPr>
          <w:p w:rsidRPr="00C231F5" w:rsidR="00B619E9" w:rsidP="00D04B65" w14:paraId="43E6FADF" w14:textId="77777777">
            <w:pPr>
              <w:jc w:val="center"/>
              <w:rPr>
                <w:color w:val="auto"/>
                <w:szCs w:val="18"/>
              </w:rPr>
            </w:pPr>
            <w:r w:rsidRPr="00C231F5">
              <w:rPr>
                <w:color w:val="auto"/>
                <w:szCs w:val="18"/>
              </w:rPr>
              <w:t>50</w:t>
            </w:r>
          </w:p>
        </w:tc>
        <w:tc>
          <w:tcPr>
            <w:tcW w:w="844" w:type="dxa"/>
            <w:hideMark/>
          </w:tcPr>
          <w:p w:rsidRPr="00C231F5" w:rsidR="00B619E9" w:rsidP="00D04B65" w14:paraId="0F331D99" w14:textId="77777777">
            <w:pPr>
              <w:jc w:val="center"/>
              <w:rPr>
                <w:color w:val="auto"/>
                <w:szCs w:val="18"/>
              </w:rPr>
            </w:pPr>
            <w:r w:rsidRPr="00C231F5">
              <w:rPr>
                <w:color w:val="auto"/>
                <w:szCs w:val="18"/>
              </w:rPr>
              <w:t>50</w:t>
            </w:r>
          </w:p>
        </w:tc>
        <w:tc>
          <w:tcPr>
            <w:tcW w:w="1350" w:type="dxa"/>
            <w:hideMark/>
          </w:tcPr>
          <w:p w:rsidRPr="00C231F5" w:rsidR="00B619E9" w:rsidP="00D04B65" w14:paraId="37032F3B" w14:textId="77777777">
            <w:pPr>
              <w:jc w:val="center"/>
              <w:rPr>
                <w:color w:val="auto"/>
                <w:szCs w:val="18"/>
              </w:rPr>
            </w:pPr>
            <w:r w:rsidRPr="00C231F5">
              <w:rPr>
                <w:color w:val="auto"/>
                <w:szCs w:val="18"/>
              </w:rPr>
              <w:t>45</w:t>
            </w:r>
          </w:p>
        </w:tc>
      </w:tr>
      <w:tr w:rsidTr="00C231F5" w14:paraId="46C5E2CE" w14:textId="77777777">
        <w:tblPrEx>
          <w:tblW w:w="0" w:type="auto"/>
          <w:tblLook w:val="04A0"/>
        </w:tblPrEx>
        <w:trPr>
          <w:trHeight w:val="300"/>
        </w:trPr>
        <w:tc>
          <w:tcPr>
            <w:tcW w:w="3447" w:type="dxa"/>
            <w:hideMark/>
          </w:tcPr>
          <w:p w:rsidRPr="00C231F5" w:rsidR="00B619E9" w:rsidP="00D04B65" w14:paraId="4289301B" w14:textId="77777777">
            <w:pPr>
              <w:rPr>
                <w:b w:val="0"/>
                <w:bCs w:val="0"/>
                <w:color w:val="auto"/>
                <w:szCs w:val="18"/>
              </w:rPr>
            </w:pPr>
            <w:r w:rsidRPr="00C231F5">
              <w:rPr>
                <w:b w:val="0"/>
                <w:bCs w:val="0"/>
                <w:color w:val="auto"/>
                <w:szCs w:val="18"/>
              </w:rPr>
              <w:t>Cloud</w:t>
            </w:r>
          </w:p>
        </w:tc>
        <w:tc>
          <w:tcPr>
            <w:tcW w:w="844" w:type="dxa"/>
            <w:hideMark/>
          </w:tcPr>
          <w:p w:rsidRPr="00C231F5" w:rsidR="00B619E9" w:rsidP="00D04B65" w14:paraId="240763E3" w14:textId="77777777">
            <w:pPr>
              <w:jc w:val="center"/>
              <w:rPr>
                <w:color w:val="auto"/>
                <w:szCs w:val="18"/>
              </w:rPr>
            </w:pPr>
            <w:r w:rsidRPr="00C231F5">
              <w:rPr>
                <w:color w:val="auto"/>
                <w:szCs w:val="18"/>
              </w:rPr>
              <w:t>60</w:t>
            </w:r>
          </w:p>
        </w:tc>
        <w:tc>
          <w:tcPr>
            <w:tcW w:w="844" w:type="dxa"/>
            <w:hideMark/>
          </w:tcPr>
          <w:p w:rsidRPr="00C231F5" w:rsidR="00B619E9" w:rsidP="00D04B65" w14:paraId="4A8FBA67" w14:textId="77777777">
            <w:pPr>
              <w:jc w:val="center"/>
              <w:rPr>
                <w:color w:val="auto"/>
                <w:szCs w:val="18"/>
              </w:rPr>
            </w:pPr>
            <w:r w:rsidRPr="00C231F5">
              <w:rPr>
                <w:color w:val="auto"/>
                <w:szCs w:val="18"/>
              </w:rPr>
              <w:t>150</w:t>
            </w:r>
          </w:p>
        </w:tc>
        <w:tc>
          <w:tcPr>
            <w:tcW w:w="844" w:type="dxa"/>
            <w:hideMark/>
          </w:tcPr>
          <w:p w:rsidRPr="00C231F5" w:rsidR="00B619E9" w:rsidP="00D04B65" w14:paraId="06EEF171" w14:textId="77777777">
            <w:pPr>
              <w:jc w:val="center"/>
              <w:rPr>
                <w:color w:val="auto"/>
                <w:szCs w:val="18"/>
              </w:rPr>
            </w:pPr>
            <w:r w:rsidRPr="00C231F5">
              <w:rPr>
                <w:color w:val="auto"/>
                <w:szCs w:val="18"/>
              </w:rPr>
              <w:t>190</w:t>
            </w:r>
          </w:p>
        </w:tc>
        <w:tc>
          <w:tcPr>
            <w:tcW w:w="844" w:type="dxa"/>
            <w:hideMark/>
          </w:tcPr>
          <w:p w:rsidRPr="00C231F5" w:rsidR="00B619E9" w:rsidP="00D04B65" w14:paraId="17B11E5F" w14:textId="77777777">
            <w:pPr>
              <w:jc w:val="center"/>
              <w:rPr>
                <w:color w:val="auto"/>
                <w:szCs w:val="18"/>
              </w:rPr>
            </w:pPr>
            <w:r w:rsidRPr="00C231F5">
              <w:rPr>
                <w:color w:val="auto"/>
                <w:szCs w:val="18"/>
              </w:rPr>
              <w:t>215</w:t>
            </w:r>
          </w:p>
        </w:tc>
        <w:tc>
          <w:tcPr>
            <w:tcW w:w="844" w:type="dxa"/>
            <w:hideMark/>
          </w:tcPr>
          <w:p w:rsidRPr="00C231F5" w:rsidR="00B619E9" w:rsidP="00D04B65" w14:paraId="00E6DD56" w14:textId="77777777">
            <w:pPr>
              <w:jc w:val="center"/>
              <w:rPr>
                <w:color w:val="auto"/>
                <w:szCs w:val="18"/>
              </w:rPr>
            </w:pPr>
            <w:r w:rsidRPr="00C231F5">
              <w:rPr>
                <w:color w:val="auto"/>
                <w:szCs w:val="18"/>
              </w:rPr>
              <w:t>225</w:t>
            </w:r>
          </w:p>
        </w:tc>
        <w:tc>
          <w:tcPr>
            <w:tcW w:w="1350" w:type="dxa"/>
            <w:hideMark/>
          </w:tcPr>
          <w:p w:rsidRPr="00C231F5" w:rsidR="00B619E9" w:rsidP="00D04B65" w14:paraId="33C5CFE9" w14:textId="77777777">
            <w:pPr>
              <w:jc w:val="center"/>
              <w:rPr>
                <w:color w:val="auto"/>
                <w:szCs w:val="18"/>
              </w:rPr>
            </w:pPr>
            <w:r w:rsidRPr="00C231F5">
              <w:rPr>
                <w:color w:val="auto"/>
                <w:szCs w:val="18"/>
              </w:rPr>
              <w:t>125</w:t>
            </w:r>
          </w:p>
        </w:tc>
      </w:tr>
      <w:tr w:rsidTr="00C231F5" w14:paraId="47AC18D4" w14:textId="77777777">
        <w:tblPrEx>
          <w:tblW w:w="0" w:type="auto"/>
          <w:tblLook w:val="04A0"/>
        </w:tblPrEx>
        <w:trPr>
          <w:trHeight w:val="300"/>
        </w:trPr>
        <w:tc>
          <w:tcPr>
            <w:tcW w:w="3447" w:type="dxa"/>
            <w:hideMark/>
          </w:tcPr>
          <w:p w:rsidRPr="00C231F5" w:rsidR="00B619E9" w:rsidP="00D04B65" w14:paraId="309AD0EA" w14:textId="11E2DC3C">
            <w:pPr>
              <w:rPr>
                <w:b w:val="0"/>
                <w:bCs w:val="0"/>
                <w:color w:val="auto"/>
                <w:szCs w:val="18"/>
              </w:rPr>
            </w:pPr>
            <w:r w:rsidRPr="00C231F5">
              <w:rPr>
                <w:b w:val="0"/>
                <w:bCs w:val="0"/>
                <w:color w:val="auto"/>
                <w:szCs w:val="18"/>
              </w:rPr>
              <w:t xml:space="preserve">Digitaal </w:t>
            </w:r>
            <w:r w:rsidRPr="00C231F5">
              <w:rPr>
                <w:b w:val="0"/>
                <w:bCs w:val="0"/>
                <w:color w:val="auto"/>
                <w:szCs w:val="18"/>
              </w:rPr>
              <w:t>Vakmanschap</w:t>
            </w:r>
          </w:p>
        </w:tc>
        <w:tc>
          <w:tcPr>
            <w:tcW w:w="844" w:type="dxa"/>
            <w:hideMark/>
          </w:tcPr>
          <w:p w:rsidRPr="00C231F5" w:rsidR="00B619E9" w:rsidP="00D04B65" w14:paraId="3E4D7B86" w14:textId="77777777">
            <w:pPr>
              <w:jc w:val="center"/>
              <w:rPr>
                <w:color w:val="auto"/>
                <w:szCs w:val="18"/>
              </w:rPr>
            </w:pPr>
            <w:r w:rsidRPr="00C231F5">
              <w:rPr>
                <w:color w:val="auto"/>
                <w:szCs w:val="18"/>
              </w:rPr>
              <w:t>30</w:t>
            </w:r>
          </w:p>
        </w:tc>
        <w:tc>
          <w:tcPr>
            <w:tcW w:w="844" w:type="dxa"/>
            <w:hideMark/>
          </w:tcPr>
          <w:p w:rsidRPr="00C231F5" w:rsidR="00B619E9" w:rsidP="00D04B65" w14:paraId="3D888757" w14:textId="77777777">
            <w:pPr>
              <w:jc w:val="center"/>
              <w:rPr>
                <w:color w:val="auto"/>
                <w:szCs w:val="18"/>
              </w:rPr>
            </w:pPr>
            <w:r w:rsidRPr="00C231F5">
              <w:rPr>
                <w:color w:val="auto"/>
                <w:szCs w:val="18"/>
              </w:rPr>
              <w:t>125</w:t>
            </w:r>
          </w:p>
        </w:tc>
        <w:tc>
          <w:tcPr>
            <w:tcW w:w="844" w:type="dxa"/>
            <w:hideMark/>
          </w:tcPr>
          <w:p w:rsidRPr="00C231F5" w:rsidR="00B619E9" w:rsidP="00D04B65" w14:paraId="39BCEF45" w14:textId="77777777">
            <w:pPr>
              <w:jc w:val="center"/>
              <w:rPr>
                <w:color w:val="auto"/>
                <w:szCs w:val="18"/>
              </w:rPr>
            </w:pPr>
            <w:r w:rsidRPr="00C231F5">
              <w:rPr>
                <w:color w:val="auto"/>
                <w:szCs w:val="18"/>
              </w:rPr>
              <w:t>200</w:t>
            </w:r>
          </w:p>
        </w:tc>
        <w:tc>
          <w:tcPr>
            <w:tcW w:w="844" w:type="dxa"/>
            <w:hideMark/>
          </w:tcPr>
          <w:p w:rsidRPr="00C231F5" w:rsidR="00B619E9" w:rsidP="00D04B65" w14:paraId="2033FBAA" w14:textId="77777777">
            <w:pPr>
              <w:jc w:val="center"/>
              <w:rPr>
                <w:color w:val="auto"/>
                <w:szCs w:val="18"/>
              </w:rPr>
            </w:pPr>
            <w:r w:rsidRPr="00C231F5">
              <w:rPr>
                <w:color w:val="auto"/>
                <w:szCs w:val="18"/>
              </w:rPr>
              <w:t>200</w:t>
            </w:r>
          </w:p>
        </w:tc>
        <w:tc>
          <w:tcPr>
            <w:tcW w:w="844" w:type="dxa"/>
            <w:hideMark/>
          </w:tcPr>
          <w:p w:rsidRPr="00C231F5" w:rsidR="00B619E9" w:rsidP="00D04B65" w14:paraId="054A7B2F" w14:textId="77777777">
            <w:pPr>
              <w:jc w:val="center"/>
              <w:rPr>
                <w:color w:val="auto"/>
                <w:szCs w:val="18"/>
              </w:rPr>
            </w:pPr>
            <w:r w:rsidRPr="00C231F5">
              <w:rPr>
                <w:color w:val="auto"/>
                <w:szCs w:val="18"/>
              </w:rPr>
              <w:t>210</w:t>
            </w:r>
          </w:p>
        </w:tc>
        <w:tc>
          <w:tcPr>
            <w:tcW w:w="1350" w:type="dxa"/>
            <w:hideMark/>
          </w:tcPr>
          <w:p w:rsidRPr="00C231F5" w:rsidR="00B619E9" w:rsidP="00D04B65" w14:paraId="1564660F" w14:textId="77777777">
            <w:pPr>
              <w:jc w:val="center"/>
              <w:rPr>
                <w:color w:val="auto"/>
                <w:szCs w:val="18"/>
              </w:rPr>
            </w:pPr>
            <w:r w:rsidRPr="00C231F5">
              <w:rPr>
                <w:color w:val="auto"/>
                <w:szCs w:val="18"/>
              </w:rPr>
              <w:t>115</w:t>
            </w:r>
          </w:p>
        </w:tc>
      </w:tr>
      <w:tr w:rsidTr="00C231F5" w14:paraId="0326AAFD" w14:textId="77777777">
        <w:tblPrEx>
          <w:tblW w:w="0" w:type="auto"/>
          <w:tblLook w:val="04A0"/>
        </w:tblPrEx>
        <w:trPr>
          <w:trHeight w:val="300"/>
        </w:trPr>
        <w:tc>
          <w:tcPr>
            <w:tcW w:w="3447" w:type="dxa"/>
            <w:hideMark/>
          </w:tcPr>
          <w:p w:rsidRPr="00C231F5" w:rsidR="00B619E9" w:rsidP="00D04B65" w14:paraId="30414C84" w14:textId="4900C7A1">
            <w:pPr>
              <w:rPr>
                <w:b w:val="0"/>
                <w:bCs w:val="0"/>
                <w:color w:val="auto"/>
                <w:szCs w:val="18"/>
              </w:rPr>
            </w:pPr>
            <w:r w:rsidRPr="00C231F5">
              <w:rPr>
                <w:b w:val="0"/>
                <w:bCs w:val="0"/>
                <w:color w:val="auto"/>
                <w:szCs w:val="18"/>
              </w:rPr>
              <w:t>Burgers &amp; ondernemers</w:t>
            </w:r>
            <w:r w:rsidRPr="00C231F5" w:rsidR="00D04B65">
              <w:rPr>
                <w:b w:val="0"/>
                <w:bCs w:val="0"/>
                <w:color w:val="auto"/>
                <w:szCs w:val="18"/>
              </w:rPr>
              <w:t xml:space="preserve"> centraal</w:t>
            </w:r>
          </w:p>
        </w:tc>
        <w:tc>
          <w:tcPr>
            <w:tcW w:w="844" w:type="dxa"/>
            <w:hideMark/>
          </w:tcPr>
          <w:p w:rsidRPr="00C231F5" w:rsidR="00B619E9" w:rsidP="00D04B65" w14:paraId="54213314" w14:textId="77777777">
            <w:pPr>
              <w:jc w:val="center"/>
              <w:rPr>
                <w:color w:val="auto"/>
                <w:szCs w:val="18"/>
              </w:rPr>
            </w:pPr>
            <w:r w:rsidRPr="00C231F5">
              <w:rPr>
                <w:color w:val="auto"/>
                <w:szCs w:val="18"/>
              </w:rPr>
              <w:t>175</w:t>
            </w:r>
          </w:p>
        </w:tc>
        <w:tc>
          <w:tcPr>
            <w:tcW w:w="844" w:type="dxa"/>
            <w:hideMark/>
          </w:tcPr>
          <w:p w:rsidRPr="00C231F5" w:rsidR="00B619E9" w:rsidP="00D04B65" w14:paraId="18B158EA" w14:textId="77777777">
            <w:pPr>
              <w:jc w:val="center"/>
              <w:rPr>
                <w:color w:val="auto"/>
                <w:szCs w:val="18"/>
              </w:rPr>
            </w:pPr>
            <w:r w:rsidRPr="00C231F5">
              <w:rPr>
                <w:color w:val="auto"/>
                <w:szCs w:val="18"/>
              </w:rPr>
              <w:t>175</w:t>
            </w:r>
          </w:p>
        </w:tc>
        <w:tc>
          <w:tcPr>
            <w:tcW w:w="844" w:type="dxa"/>
            <w:hideMark/>
          </w:tcPr>
          <w:p w:rsidRPr="00C231F5" w:rsidR="00B619E9" w:rsidP="00D04B65" w14:paraId="66ACC9E5" w14:textId="77777777">
            <w:pPr>
              <w:jc w:val="center"/>
              <w:rPr>
                <w:color w:val="auto"/>
                <w:szCs w:val="18"/>
              </w:rPr>
            </w:pPr>
            <w:r w:rsidRPr="00C231F5">
              <w:rPr>
                <w:color w:val="auto"/>
                <w:szCs w:val="18"/>
              </w:rPr>
              <w:t>175</w:t>
            </w:r>
          </w:p>
        </w:tc>
        <w:tc>
          <w:tcPr>
            <w:tcW w:w="844" w:type="dxa"/>
            <w:hideMark/>
          </w:tcPr>
          <w:p w:rsidRPr="00C231F5" w:rsidR="00B619E9" w:rsidP="00D04B65" w14:paraId="0DCA3B93" w14:textId="77777777">
            <w:pPr>
              <w:jc w:val="center"/>
              <w:rPr>
                <w:color w:val="auto"/>
                <w:szCs w:val="18"/>
              </w:rPr>
            </w:pPr>
            <w:r w:rsidRPr="00C231F5">
              <w:rPr>
                <w:color w:val="auto"/>
                <w:szCs w:val="18"/>
              </w:rPr>
              <w:t>175</w:t>
            </w:r>
          </w:p>
        </w:tc>
        <w:tc>
          <w:tcPr>
            <w:tcW w:w="844" w:type="dxa"/>
            <w:hideMark/>
          </w:tcPr>
          <w:p w:rsidRPr="00C231F5" w:rsidR="00B619E9" w:rsidP="00D04B65" w14:paraId="225C20AA" w14:textId="77777777">
            <w:pPr>
              <w:jc w:val="center"/>
              <w:rPr>
                <w:color w:val="auto"/>
                <w:szCs w:val="18"/>
              </w:rPr>
            </w:pPr>
            <w:r w:rsidRPr="00C231F5">
              <w:rPr>
                <w:color w:val="auto"/>
                <w:szCs w:val="18"/>
              </w:rPr>
              <w:t>175</w:t>
            </w:r>
          </w:p>
        </w:tc>
        <w:tc>
          <w:tcPr>
            <w:tcW w:w="1350" w:type="dxa"/>
            <w:hideMark/>
          </w:tcPr>
          <w:p w:rsidRPr="00C231F5" w:rsidR="00B619E9" w:rsidP="00D04B65" w14:paraId="435DDE51" w14:textId="77777777">
            <w:pPr>
              <w:jc w:val="center"/>
              <w:rPr>
                <w:color w:val="auto"/>
                <w:szCs w:val="18"/>
              </w:rPr>
            </w:pPr>
            <w:r w:rsidRPr="00C231F5">
              <w:rPr>
                <w:color w:val="auto"/>
                <w:szCs w:val="18"/>
              </w:rPr>
              <w:t>175</w:t>
            </w:r>
          </w:p>
        </w:tc>
      </w:tr>
      <w:tr w:rsidTr="00C231F5" w14:paraId="6A25C68C" w14:textId="77777777">
        <w:tblPrEx>
          <w:tblW w:w="0" w:type="auto"/>
          <w:tblLook w:val="04A0"/>
        </w:tblPrEx>
        <w:trPr>
          <w:trHeight w:val="300"/>
        </w:trPr>
        <w:tc>
          <w:tcPr>
            <w:tcW w:w="3447" w:type="dxa"/>
            <w:hideMark/>
          </w:tcPr>
          <w:p w:rsidRPr="00C231F5" w:rsidR="00B619E9" w:rsidP="00D04B65" w14:paraId="7D7A4C0D" w14:textId="10FDAF7D">
            <w:pPr>
              <w:rPr>
                <w:b w:val="0"/>
                <w:bCs w:val="0"/>
                <w:color w:val="auto"/>
                <w:szCs w:val="18"/>
              </w:rPr>
            </w:pPr>
            <w:r w:rsidRPr="00C231F5">
              <w:rPr>
                <w:b w:val="0"/>
                <w:bCs w:val="0"/>
                <w:color w:val="auto"/>
                <w:szCs w:val="18"/>
              </w:rPr>
              <w:t>Digitale weerbaarheid en autonomie</w:t>
            </w:r>
          </w:p>
        </w:tc>
        <w:tc>
          <w:tcPr>
            <w:tcW w:w="844" w:type="dxa"/>
            <w:hideMark/>
          </w:tcPr>
          <w:p w:rsidRPr="00C231F5" w:rsidR="00B619E9" w:rsidP="00D04B65" w14:paraId="57C48C01" w14:textId="77777777">
            <w:pPr>
              <w:jc w:val="center"/>
              <w:rPr>
                <w:color w:val="auto"/>
                <w:szCs w:val="18"/>
              </w:rPr>
            </w:pPr>
            <w:r w:rsidRPr="00C231F5">
              <w:rPr>
                <w:color w:val="auto"/>
                <w:szCs w:val="18"/>
              </w:rPr>
              <w:t>165</w:t>
            </w:r>
          </w:p>
        </w:tc>
        <w:tc>
          <w:tcPr>
            <w:tcW w:w="844" w:type="dxa"/>
            <w:hideMark/>
          </w:tcPr>
          <w:p w:rsidRPr="00C231F5" w:rsidR="00B619E9" w:rsidP="00D04B65" w14:paraId="2A3BE7E5" w14:textId="77777777">
            <w:pPr>
              <w:jc w:val="center"/>
              <w:rPr>
                <w:color w:val="auto"/>
                <w:szCs w:val="18"/>
              </w:rPr>
            </w:pPr>
            <w:r w:rsidRPr="00C231F5">
              <w:rPr>
                <w:color w:val="auto"/>
                <w:szCs w:val="18"/>
              </w:rPr>
              <w:t>235</w:t>
            </w:r>
          </w:p>
        </w:tc>
        <w:tc>
          <w:tcPr>
            <w:tcW w:w="844" w:type="dxa"/>
            <w:hideMark/>
          </w:tcPr>
          <w:p w:rsidRPr="00C231F5" w:rsidR="00B619E9" w:rsidP="00D04B65" w14:paraId="573BF463" w14:textId="77777777">
            <w:pPr>
              <w:jc w:val="center"/>
              <w:rPr>
                <w:color w:val="auto"/>
                <w:szCs w:val="18"/>
              </w:rPr>
            </w:pPr>
            <w:r w:rsidRPr="00C231F5">
              <w:rPr>
                <w:color w:val="auto"/>
                <w:szCs w:val="18"/>
              </w:rPr>
              <w:t>310</w:t>
            </w:r>
          </w:p>
        </w:tc>
        <w:tc>
          <w:tcPr>
            <w:tcW w:w="844" w:type="dxa"/>
            <w:hideMark/>
          </w:tcPr>
          <w:p w:rsidRPr="00C231F5" w:rsidR="00B619E9" w:rsidP="00D04B65" w14:paraId="321B5CA6" w14:textId="77777777">
            <w:pPr>
              <w:jc w:val="center"/>
              <w:rPr>
                <w:color w:val="auto"/>
                <w:szCs w:val="18"/>
              </w:rPr>
            </w:pPr>
            <w:r w:rsidRPr="00C231F5">
              <w:rPr>
                <w:color w:val="auto"/>
                <w:szCs w:val="18"/>
              </w:rPr>
              <w:t>365</w:t>
            </w:r>
          </w:p>
        </w:tc>
        <w:tc>
          <w:tcPr>
            <w:tcW w:w="844" w:type="dxa"/>
            <w:hideMark/>
          </w:tcPr>
          <w:p w:rsidRPr="00C231F5" w:rsidR="00B619E9" w:rsidP="00D04B65" w14:paraId="5EBE083F" w14:textId="77777777">
            <w:pPr>
              <w:jc w:val="center"/>
              <w:rPr>
                <w:color w:val="auto"/>
                <w:szCs w:val="18"/>
              </w:rPr>
            </w:pPr>
            <w:r w:rsidRPr="00C231F5">
              <w:rPr>
                <w:color w:val="auto"/>
                <w:szCs w:val="18"/>
              </w:rPr>
              <w:t>430</w:t>
            </w:r>
          </w:p>
        </w:tc>
        <w:tc>
          <w:tcPr>
            <w:tcW w:w="1350" w:type="dxa"/>
            <w:hideMark/>
          </w:tcPr>
          <w:p w:rsidRPr="00C231F5" w:rsidR="00B619E9" w:rsidP="00D04B65" w14:paraId="3B4F3EB7" w14:textId="77777777">
            <w:pPr>
              <w:jc w:val="center"/>
              <w:rPr>
                <w:color w:val="auto"/>
                <w:szCs w:val="18"/>
              </w:rPr>
            </w:pPr>
            <w:r w:rsidRPr="00C231F5">
              <w:rPr>
                <w:color w:val="auto"/>
                <w:szCs w:val="18"/>
              </w:rPr>
              <w:t>225</w:t>
            </w:r>
          </w:p>
        </w:tc>
      </w:tr>
      <w:tr w:rsidTr="003A5F46" w14:paraId="3D672CEE" w14:textId="77777777">
        <w:tblPrEx>
          <w:tblW w:w="0" w:type="auto"/>
          <w:tblLook w:val="04A0"/>
        </w:tblPrEx>
        <w:trPr>
          <w:trHeight w:val="300"/>
        </w:trPr>
        <w:tc>
          <w:tcPr>
            <w:tcW w:w="9017" w:type="dxa"/>
            <w:gridSpan w:val="7"/>
            <w:hideMark/>
          </w:tcPr>
          <w:p w:rsidRPr="00C231F5" w:rsidR="00C231F5" w:rsidP="00C231F5" w14:paraId="73AC8B41" w14:textId="41EDA6B9">
            <w:pPr>
              <w:rPr>
                <w:i/>
                <w:iCs/>
                <w:color w:val="auto"/>
                <w:szCs w:val="18"/>
              </w:rPr>
            </w:pPr>
            <w:r w:rsidRPr="00C231F5">
              <w:rPr>
                <w:i/>
                <w:iCs/>
                <w:color w:val="auto"/>
                <w:szCs w:val="18"/>
              </w:rPr>
              <w:t>Interventie</w:t>
            </w:r>
          </w:p>
        </w:tc>
      </w:tr>
      <w:tr w:rsidTr="00C231F5" w14:paraId="275C056A" w14:textId="77777777">
        <w:tblPrEx>
          <w:tblW w:w="0" w:type="auto"/>
          <w:tblLook w:val="04A0"/>
        </w:tblPrEx>
        <w:trPr>
          <w:trHeight w:val="300"/>
        </w:trPr>
        <w:tc>
          <w:tcPr>
            <w:tcW w:w="3447" w:type="dxa"/>
            <w:hideMark/>
          </w:tcPr>
          <w:p w:rsidRPr="00C231F5" w:rsidR="00B619E9" w:rsidP="00D04B65" w14:paraId="3A338B17" w14:textId="77777777">
            <w:pPr>
              <w:rPr>
                <w:b w:val="0"/>
                <w:bCs w:val="0"/>
                <w:color w:val="auto"/>
                <w:szCs w:val="18"/>
              </w:rPr>
            </w:pPr>
            <w:r w:rsidRPr="00C231F5">
              <w:rPr>
                <w:b w:val="0"/>
                <w:bCs w:val="0"/>
                <w:color w:val="auto"/>
                <w:szCs w:val="18"/>
              </w:rPr>
              <w:t>Standaarden</w:t>
            </w:r>
          </w:p>
        </w:tc>
        <w:tc>
          <w:tcPr>
            <w:tcW w:w="844" w:type="dxa"/>
            <w:hideMark/>
          </w:tcPr>
          <w:p w:rsidRPr="00C231F5" w:rsidR="00B619E9" w:rsidP="00D04B65" w14:paraId="666BC905" w14:textId="77777777">
            <w:pPr>
              <w:jc w:val="center"/>
              <w:rPr>
                <w:color w:val="auto"/>
                <w:szCs w:val="18"/>
              </w:rPr>
            </w:pPr>
            <w:r w:rsidRPr="00C231F5">
              <w:rPr>
                <w:color w:val="auto"/>
                <w:szCs w:val="18"/>
              </w:rPr>
              <w:t>5</w:t>
            </w:r>
          </w:p>
        </w:tc>
        <w:tc>
          <w:tcPr>
            <w:tcW w:w="844" w:type="dxa"/>
            <w:hideMark/>
          </w:tcPr>
          <w:p w:rsidRPr="00C231F5" w:rsidR="00B619E9" w:rsidP="00D04B65" w14:paraId="500BB296" w14:textId="77777777">
            <w:pPr>
              <w:jc w:val="center"/>
              <w:rPr>
                <w:color w:val="auto"/>
                <w:szCs w:val="18"/>
              </w:rPr>
            </w:pPr>
            <w:r w:rsidRPr="00C231F5">
              <w:rPr>
                <w:color w:val="auto"/>
                <w:szCs w:val="18"/>
              </w:rPr>
              <w:t>30</w:t>
            </w:r>
          </w:p>
        </w:tc>
        <w:tc>
          <w:tcPr>
            <w:tcW w:w="844" w:type="dxa"/>
            <w:hideMark/>
          </w:tcPr>
          <w:p w:rsidRPr="00C231F5" w:rsidR="00B619E9" w:rsidP="00D04B65" w14:paraId="6BCF024D" w14:textId="77777777">
            <w:pPr>
              <w:jc w:val="center"/>
              <w:rPr>
                <w:color w:val="auto"/>
                <w:szCs w:val="18"/>
              </w:rPr>
            </w:pPr>
            <w:r w:rsidRPr="00C231F5">
              <w:rPr>
                <w:color w:val="auto"/>
                <w:szCs w:val="18"/>
              </w:rPr>
              <w:t>35</w:t>
            </w:r>
          </w:p>
        </w:tc>
        <w:tc>
          <w:tcPr>
            <w:tcW w:w="844" w:type="dxa"/>
            <w:hideMark/>
          </w:tcPr>
          <w:p w:rsidRPr="00C231F5" w:rsidR="00B619E9" w:rsidP="00D04B65" w14:paraId="7F982DB1" w14:textId="77777777">
            <w:pPr>
              <w:jc w:val="center"/>
              <w:rPr>
                <w:color w:val="auto"/>
                <w:szCs w:val="18"/>
              </w:rPr>
            </w:pPr>
            <w:r w:rsidRPr="00C231F5">
              <w:rPr>
                <w:color w:val="auto"/>
                <w:szCs w:val="18"/>
              </w:rPr>
              <w:t>45</w:t>
            </w:r>
          </w:p>
        </w:tc>
        <w:tc>
          <w:tcPr>
            <w:tcW w:w="844" w:type="dxa"/>
            <w:hideMark/>
          </w:tcPr>
          <w:p w:rsidRPr="00C231F5" w:rsidR="00B619E9" w:rsidP="00D04B65" w14:paraId="0C1DEAE5" w14:textId="77777777">
            <w:pPr>
              <w:jc w:val="center"/>
              <w:rPr>
                <w:color w:val="auto"/>
                <w:szCs w:val="18"/>
              </w:rPr>
            </w:pPr>
            <w:r w:rsidRPr="00C231F5">
              <w:rPr>
                <w:color w:val="auto"/>
                <w:szCs w:val="18"/>
              </w:rPr>
              <w:t>45</w:t>
            </w:r>
          </w:p>
        </w:tc>
        <w:tc>
          <w:tcPr>
            <w:tcW w:w="1350" w:type="dxa"/>
            <w:hideMark/>
          </w:tcPr>
          <w:p w:rsidRPr="00C231F5" w:rsidR="00B619E9" w:rsidP="00D04B65" w14:paraId="72C915F3" w14:textId="77777777">
            <w:pPr>
              <w:jc w:val="center"/>
              <w:rPr>
                <w:color w:val="auto"/>
                <w:szCs w:val="18"/>
              </w:rPr>
            </w:pPr>
            <w:r w:rsidRPr="00C231F5">
              <w:rPr>
                <w:color w:val="auto"/>
                <w:szCs w:val="18"/>
              </w:rPr>
              <w:t>10</w:t>
            </w:r>
          </w:p>
        </w:tc>
      </w:tr>
      <w:tr w:rsidTr="00C231F5" w14:paraId="0A61D2E5" w14:textId="77777777">
        <w:tblPrEx>
          <w:tblW w:w="0" w:type="auto"/>
          <w:tblLook w:val="04A0"/>
        </w:tblPrEx>
        <w:trPr>
          <w:trHeight w:val="300"/>
        </w:trPr>
        <w:tc>
          <w:tcPr>
            <w:tcW w:w="3447" w:type="dxa"/>
            <w:hideMark/>
          </w:tcPr>
          <w:p w:rsidRPr="00C231F5" w:rsidR="00B619E9" w:rsidP="00D04B65" w14:paraId="104869FC" w14:textId="77777777">
            <w:pPr>
              <w:rPr>
                <w:b w:val="0"/>
                <w:bCs w:val="0"/>
                <w:color w:val="auto"/>
                <w:szCs w:val="18"/>
              </w:rPr>
            </w:pPr>
            <w:r w:rsidRPr="00C231F5">
              <w:rPr>
                <w:b w:val="0"/>
                <w:bCs w:val="0"/>
                <w:color w:val="auto"/>
                <w:szCs w:val="18"/>
              </w:rPr>
              <w:t>Collectieve oplossingen, EDI</w:t>
            </w:r>
          </w:p>
        </w:tc>
        <w:tc>
          <w:tcPr>
            <w:tcW w:w="844" w:type="dxa"/>
            <w:hideMark/>
          </w:tcPr>
          <w:p w:rsidRPr="00C231F5" w:rsidR="00B619E9" w:rsidP="00D04B65" w14:paraId="45169E0C" w14:textId="77777777">
            <w:pPr>
              <w:jc w:val="center"/>
              <w:rPr>
                <w:color w:val="auto"/>
                <w:szCs w:val="18"/>
              </w:rPr>
            </w:pPr>
            <w:r w:rsidRPr="00C231F5">
              <w:rPr>
                <w:color w:val="auto"/>
                <w:szCs w:val="18"/>
              </w:rPr>
              <w:t>85</w:t>
            </w:r>
          </w:p>
        </w:tc>
        <w:tc>
          <w:tcPr>
            <w:tcW w:w="844" w:type="dxa"/>
            <w:hideMark/>
          </w:tcPr>
          <w:p w:rsidRPr="00C231F5" w:rsidR="00B619E9" w:rsidP="00D04B65" w14:paraId="0FBA005D" w14:textId="77777777">
            <w:pPr>
              <w:jc w:val="center"/>
              <w:rPr>
                <w:color w:val="auto"/>
                <w:szCs w:val="18"/>
              </w:rPr>
            </w:pPr>
            <w:r w:rsidRPr="00C231F5">
              <w:rPr>
                <w:color w:val="auto"/>
                <w:szCs w:val="18"/>
              </w:rPr>
              <w:t>115</w:t>
            </w:r>
          </w:p>
        </w:tc>
        <w:tc>
          <w:tcPr>
            <w:tcW w:w="844" w:type="dxa"/>
            <w:hideMark/>
          </w:tcPr>
          <w:p w:rsidRPr="00C231F5" w:rsidR="00B619E9" w:rsidP="00D04B65" w14:paraId="6DACA6A1" w14:textId="77777777">
            <w:pPr>
              <w:jc w:val="center"/>
              <w:rPr>
                <w:color w:val="auto"/>
                <w:szCs w:val="18"/>
              </w:rPr>
            </w:pPr>
            <w:r w:rsidRPr="00C231F5">
              <w:rPr>
                <w:color w:val="auto"/>
                <w:szCs w:val="18"/>
              </w:rPr>
              <w:t>130</w:t>
            </w:r>
          </w:p>
        </w:tc>
        <w:tc>
          <w:tcPr>
            <w:tcW w:w="844" w:type="dxa"/>
            <w:hideMark/>
          </w:tcPr>
          <w:p w:rsidRPr="00C231F5" w:rsidR="00B619E9" w:rsidP="00D04B65" w14:paraId="13816D32" w14:textId="77777777">
            <w:pPr>
              <w:jc w:val="center"/>
              <w:rPr>
                <w:color w:val="auto"/>
                <w:szCs w:val="18"/>
              </w:rPr>
            </w:pPr>
            <w:r w:rsidRPr="00C231F5">
              <w:rPr>
                <w:color w:val="auto"/>
                <w:szCs w:val="18"/>
              </w:rPr>
              <w:t>160</w:t>
            </w:r>
          </w:p>
        </w:tc>
        <w:tc>
          <w:tcPr>
            <w:tcW w:w="844" w:type="dxa"/>
            <w:hideMark/>
          </w:tcPr>
          <w:p w:rsidRPr="00C231F5" w:rsidR="00B619E9" w:rsidP="00D04B65" w14:paraId="6746D0A2" w14:textId="77777777">
            <w:pPr>
              <w:jc w:val="center"/>
              <w:rPr>
                <w:color w:val="auto"/>
                <w:szCs w:val="18"/>
              </w:rPr>
            </w:pPr>
            <w:r w:rsidRPr="00C231F5">
              <w:rPr>
                <w:color w:val="auto"/>
                <w:szCs w:val="18"/>
              </w:rPr>
              <w:t>160</w:t>
            </w:r>
          </w:p>
        </w:tc>
        <w:tc>
          <w:tcPr>
            <w:tcW w:w="1350" w:type="dxa"/>
            <w:hideMark/>
          </w:tcPr>
          <w:p w:rsidRPr="00C231F5" w:rsidR="00B619E9" w:rsidP="00D04B65" w14:paraId="22BEBCE8" w14:textId="77777777">
            <w:pPr>
              <w:jc w:val="center"/>
              <w:rPr>
                <w:color w:val="auto"/>
                <w:szCs w:val="18"/>
              </w:rPr>
            </w:pPr>
            <w:r w:rsidRPr="00C231F5">
              <w:rPr>
                <w:color w:val="auto"/>
                <w:szCs w:val="18"/>
              </w:rPr>
              <w:t>110</w:t>
            </w:r>
          </w:p>
        </w:tc>
      </w:tr>
      <w:tr w:rsidTr="00C231F5" w14:paraId="3BBE34CC" w14:textId="77777777">
        <w:tblPrEx>
          <w:tblW w:w="0" w:type="auto"/>
          <w:tblLook w:val="04A0"/>
        </w:tblPrEx>
        <w:trPr>
          <w:trHeight w:val="300"/>
        </w:trPr>
        <w:tc>
          <w:tcPr>
            <w:tcW w:w="3447" w:type="dxa"/>
            <w:hideMark/>
          </w:tcPr>
          <w:p w:rsidRPr="00C231F5" w:rsidR="00B619E9" w:rsidP="00D04B65" w14:paraId="65E46106" w14:textId="77777777">
            <w:pPr>
              <w:rPr>
                <w:b w:val="0"/>
                <w:bCs w:val="0"/>
                <w:color w:val="auto"/>
                <w:szCs w:val="18"/>
              </w:rPr>
            </w:pPr>
            <w:r w:rsidRPr="00C231F5">
              <w:rPr>
                <w:b w:val="0"/>
                <w:bCs w:val="0"/>
                <w:color w:val="auto"/>
                <w:szCs w:val="18"/>
              </w:rPr>
              <w:t>IT-sourcing en inkoop</w:t>
            </w:r>
          </w:p>
        </w:tc>
        <w:tc>
          <w:tcPr>
            <w:tcW w:w="844" w:type="dxa"/>
            <w:hideMark/>
          </w:tcPr>
          <w:p w:rsidRPr="00C231F5" w:rsidR="00B619E9" w:rsidP="00D04B65" w14:paraId="056B081D" w14:textId="77777777">
            <w:pPr>
              <w:jc w:val="center"/>
              <w:rPr>
                <w:color w:val="auto"/>
                <w:szCs w:val="18"/>
              </w:rPr>
            </w:pPr>
            <w:r w:rsidRPr="00C231F5">
              <w:rPr>
                <w:color w:val="auto"/>
                <w:szCs w:val="18"/>
              </w:rPr>
              <w:t>25</w:t>
            </w:r>
          </w:p>
        </w:tc>
        <w:tc>
          <w:tcPr>
            <w:tcW w:w="844" w:type="dxa"/>
            <w:hideMark/>
          </w:tcPr>
          <w:p w:rsidRPr="00C231F5" w:rsidR="00B619E9" w:rsidP="00D04B65" w14:paraId="7622E758" w14:textId="77777777">
            <w:pPr>
              <w:jc w:val="center"/>
              <w:rPr>
                <w:color w:val="auto"/>
                <w:szCs w:val="18"/>
              </w:rPr>
            </w:pPr>
            <w:r w:rsidRPr="00C231F5">
              <w:rPr>
                <w:color w:val="auto"/>
                <w:szCs w:val="18"/>
              </w:rPr>
              <w:t>20</w:t>
            </w:r>
          </w:p>
        </w:tc>
        <w:tc>
          <w:tcPr>
            <w:tcW w:w="844" w:type="dxa"/>
            <w:hideMark/>
          </w:tcPr>
          <w:p w:rsidRPr="00C231F5" w:rsidR="00B619E9" w:rsidP="00D04B65" w14:paraId="34121E9E" w14:textId="77777777">
            <w:pPr>
              <w:jc w:val="center"/>
              <w:rPr>
                <w:color w:val="auto"/>
                <w:szCs w:val="18"/>
              </w:rPr>
            </w:pPr>
            <w:r w:rsidRPr="00C231F5">
              <w:rPr>
                <w:color w:val="auto"/>
                <w:szCs w:val="18"/>
              </w:rPr>
              <w:t>15</w:t>
            </w:r>
          </w:p>
        </w:tc>
        <w:tc>
          <w:tcPr>
            <w:tcW w:w="844" w:type="dxa"/>
            <w:hideMark/>
          </w:tcPr>
          <w:p w:rsidRPr="00C231F5" w:rsidR="00B619E9" w:rsidP="00D04B65" w14:paraId="362D72C8" w14:textId="77777777">
            <w:pPr>
              <w:jc w:val="center"/>
              <w:rPr>
                <w:color w:val="auto"/>
                <w:szCs w:val="18"/>
              </w:rPr>
            </w:pPr>
            <w:r w:rsidRPr="00C231F5">
              <w:rPr>
                <w:color w:val="auto"/>
                <w:szCs w:val="18"/>
              </w:rPr>
              <w:t>PM</w:t>
            </w:r>
          </w:p>
        </w:tc>
        <w:tc>
          <w:tcPr>
            <w:tcW w:w="844" w:type="dxa"/>
            <w:hideMark/>
          </w:tcPr>
          <w:p w:rsidRPr="00C231F5" w:rsidR="00B619E9" w:rsidP="00D04B65" w14:paraId="08994544" w14:textId="77777777">
            <w:pPr>
              <w:jc w:val="center"/>
              <w:rPr>
                <w:color w:val="auto"/>
                <w:szCs w:val="18"/>
              </w:rPr>
            </w:pPr>
            <w:r w:rsidRPr="00C231F5">
              <w:rPr>
                <w:color w:val="auto"/>
                <w:szCs w:val="18"/>
              </w:rPr>
              <w:t>PM</w:t>
            </w:r>
          </w:p>
        </w:tc>
        <w:tc>
          <w:tcPr>
            <w:tcW w:w="1350" w:type="dxa"/>
            <w:hideMark/>
          </w:tcPr>
          <w:p w:rsidRPr="00C231F5" w:rsidR="00B619E9" w:rsidP="00D04B65" w14:paraId="7B02F6AD" w14:textId="77777777">
            <w:pPr>
              <w:jc w:val="center"/>
              <w:rPr>
                <w:color w:val="auto"/>
                <w:szCs w:val="18"/>
              </w:rPr>
            </w:pPr>
            <w:r w:rsidRPr="00C231F5">
              <w:rPr>
                <w:color w:val="auto"/>
                <w:szCs w:val="18"/>
              </w:rPr>
              <w:t>10</w:t>
            </w:r>
          </w:p>
        </w:tc>
      </w:tr>
      <w:tr w:rsidTr="00C231F5" w14:paraId="7B2F1961" w14:textId="77777777">
        <w:tblPrEx>
          <w:tblW w:w="0" w:type="auto"/>
          <w:tblLook w:val="04A0"/>
        </w:tblPrEx>
        <w:trPr>
          <w:trHeight w:val="300"/>
        </w:trPr>
        <w:tc>
          <w:tcPr>
            <w:tcW w:w="3447" w:type="dxa"/>
            <w:hideMark/>
          </w:tcPr>
          <w:p w:rsidRPr="00C231F5" w:rsidR="00B619E9" w:rsidP="00D04B65" w14:paraId="0AFC49F5" w14:textId="505B3CB1">
            <w:pPr>
              <w:rPr>
                <w:b w:val="0"/>
                <w:bCs w:val="0"/>
                <w:color w:val="auto"/>
                <w:szCs w:val="18"/>
              </w:rPr>
            </w:pPr>
            <w:r w:rsidRPr="00C231F5">
              <w:rPr>
                <w:b w:val="0"/>
                <w:bCs w:val="0"/>
                <w:color w:val="auto"/>
                <w:szCs w:val="18"/>
              </w:rPr>
              <w:t>Digitale wetgeving, wegnemen</w:t>
            </w:r>
            <w:r w:rsidRPr="00C231F5" w:rsidR="00D04B65">
              <w:rPr>
                <w:b w:val="0"/>
                <w:bCs w:val="0"/>
                <w:color w:val="auto"/>
                <w:szCs w:val="18"/>
              </w:rPr>
              <w:t xml:space="preserve"> juridische </w:t>
            </w:r>
            <w:r w:rsidRPr="00C231F5">
              <w:rPr>
                <w:b w:val="0"/>
                <w:bCs w:val="0"/>
                <w:color w:val="auto"/>
                <w:szCs w:val="18"/>
              </w:rPr>
              <w:t xml:space="preserve"> belemmeringen</w:t>
            </w:r>
          </w:p>
        </w:tc>
        <w:tc>
          <w:tcPr>
            <w:tcW w:w="844" w:type="dxa"/>
            <w:hideMark/>
          </w:tcPr>
          <w:p w:rsidRPr="00C231F5" w:rsidR="00B619E9" w:rsidP="00D04B65" w14:paraId="0BADF94C" w14:textId="77777777">
            <w:pPr>
              <w:jc w:val="center"/>
              <w:rPr>
                <w:color w:val="auto"/>
                <w:szCs w:val="18"/>
              </w:rPr>
            </w:pPr>
            <w:r w:rsidRPr="00C231F5">
              <w:rPr>
                <w:color w:val="auto"/>
                <w:szCs w:val="18"/>
              </w:rPr>
              <w:t>125</w:t>
            </w:r>
          </w:p>
        </w:tc>
        <w:tc>
          <w:tcPr>
            <w:tcW w:w="844" w:type="dxa"/>
            <w:hideMark/>
          </w:tcPr>
          <w:p w:rsidRPr="00C231F5" w:rsidR="00B619E9" w:rsidP="00D04B65" w14:paraId="2C41A26A" w14:textId="77777777">
            <w:pPr>
              <w:jc w:val="center"/>
              <w:rPr>
                <w:color w:val="auto"/>
                <w:szCs w:val="18"/>
              </w:rPr>
            </w:pPr>
            <w:r w:rsidRPr="00C231F5">
              <w:rPr>
                <w:color w:val="auto"/>
                <w:szCs w:val="18"/>
              </w:rPr>
              <w:t>145</w:t>
            </w:r>
          </w:p>
        </w:tc>
        <w:tc>
          <w:tcPr>
            <w:tcW w:w="844" w:type="dxa"/>
            <w:hideMark/>
          </w:tcPr>
          <w:p w:rsidRPr="00C231F5" w:rsidR="00B619E9" w:rsidP="00D04B65" w14:paraId="6D00931F" w14:textId="77777777">
            <w:pPr>
              <w:jc w:val="center"/>
              <w:rPr>
                <w:color w:val="auto"/>
                <w:szCs w:val="18"/>
              </w:rPr>
            </w:pPr>
            <w:r w:rsidRPr="00C231F5">
              <w:rPr>
                <w:color w:val="auto"/>
                <w:szCs w:val="18"/>
              </w:rPr>
              <w:t>160</w:t>
            </w:r>
          </w:p>
        </w:tc>
        <w:tc>
          <w:tcPr>
            <w:tcW w:w="844" w:type="dxa"/>
            <w:hideMark/>
          </w:tcPr>
          <w:p w:rsidRPr="00C231F5" w:rsidR="00B619E9" w:rsidP="00D04B65" w14:paraId="4A190B91" w14:textId="77777777">
            <w:pPr>
              <w:jc w:val="center"/>
              <w:rPr>
                <w:color w:val="auto"/>
                <w:szCs w:val="18"/>
              </w:rPr>
            </w:pPr>
            <w:r w:rsidRPr="00C231F5">
              <w:rPr>
                <w:color w:val="auto"/>
                <w:szCs w:val="18"/>
              </w:rPr>
              <w:t>185</w:t>
            </w:r>
          </w:p>
        </w:tc>
        <w:tc>
          <w:tcPr>
            <w:tcW w:w="844" w:type="dxa"/>
            <w:hideMark/>
          </w:tcPr>
          <w:p w:rsidRPr="00C231F5" w:rsidR="00B619E9" w:rsidP="00D04B65" w14:paraId="3DDD8488" w14:textId="77777777">
            <w:pPr>
              <w:jc w:val="center"/>
              <w:rPr>
                <w:color w:val="auto"/>
                <w:szCs w:val="18"/>
              </w:rPr>
            </w:pPr>
            <w:r w:rsidRPr="00C231F5">
              <w:rPr>
                <w:color w:val="auto"/>
                <w:szCs w:val="18"/>
              </w:rPr>
              <w:t>180</w:t>
            </w:r>
          </w:p>
        </w:tc>
        <w:tc>
          <w:tcPr>
            <w:tcW w:w="1350" w:type="dxa"/>
            <w:hideMark/>
          </w:tcPr>
          <w:p w:rsidRPr="00C231F5" w:rsidR="00B619E9" w:rsidP="00D04B65" w14:paraId="76321A7D" w14:textId="77777777">
            <w:pPr>
              <w:jc w:val="center"/>
              <w:rPr>
                <w:color w:val="auto"/>
                <w:szCs w:val="18"/>
              </w:rPr>
            </w:pPr>
            <w:r w:rsidRPr="00C231F5">
              <w:rPr>
                <w:color w:val="auto"/>
                <w:szCs w:val="18"/>
              </w:rPr>
              <w:t>50</w:t>
            </w:r>
          </w:p>
        </w:tc>
      </w:tr>
      <w:tr w:rsidTr="00C231F5" w14:paraId="6662F842" w14:textId="77777777">
        <w:tblPrEx>
          <w:tblW w:w="0" w:type="auto"/>
          <w:tblLook w:val="04A0"/>
        </w:tblPrEx>
        <w:trPr>
          <w:trHeight w:val="300"/>
        </w:trPr>
        <w:tc>
          <w:tcPr>
            <w:tcW w:w="3447" w:type="dxa"/>
            <w:hideMark/>
          </w:tcPr>
          <w:p w:rsidRPr="00C231F5" w:rsidR="00B619E9" w:rsidP="00B619E9" w14:paraId="58ED94B3" w14:textId="47D146D5">
            <w:pPr>
              <w:rPr>
                <w:i/>
                <w:iCs/>
                <w:color w:val="auto"/>
                <w:szCs w:val="18"/>
              </w:rPr>
            </w:pPr>
            <w:r>
              <w:rPr>
                <w:i/>
                <w:iCs/>
                <w:color w:val="auto"/>
                <w:szCs w:val="18"/>
              </w:rPr>
              <w:t>Totaal</w:t>
            </w:r>
          </w:p>
        </w:tc>
        <w:tc>
          <w:tcPr>
            <w:tcW w:w="844" w:type="dxa"/>
            <w:hideMark/>
          </w:tcPr>
          <w:p w:rsidRPr="00C231F5" w:rsidR="00B619E9" w:rsidP="00D04B65" w14:paraId="2D6E779D" w14:textId="77777777">
            <w:pPr>
              <w:jc w:val="center"/>
              <w:rPr>
                <w:color w:val="auto"/>
                <w:szCs w:val="18"/>
              </w:rPr>
            </w:pPr>
            <w:r w:rsidRPr="00C231F5">
              <w:rPr>
                <w:color w:val="auto"/>
                <w:szCs w:val="18"/>
              </w:rPr>
              <w:t>745</w:t>
            </w:r>
          </w:p>
        </w:tc>
        <w:tc>
          <w:tcPr>
            <w:tcW w:w="844" w:type="dxa"/>
            <w:hideMark/>
          </w:tcPr>
          <w:p w:rsidRPr="00C231F5" w:rsidR="00B619E9" w:rsidP="00D04B65" w14:paraId="01EF7AAF" w14:textId="77777777">
            <w:pPr>
              <w:jc w:val="center"/>
              <w:rPr>
                <w:color w:val="auto"/>
                <w:szCs w:val="18"/>
              </w:rPr>
            </w:pPr>
            <w:r w:rsidRPr="00C231F5">
              <w:rPr>
                <w:color w:val="auto"/>
                <w:szCs w:val="18"/>
              </w:rPr>
              <w:t>1110</w:t>
            </w:r>
          </w:p>
        </w:tc>
        <w:tc>
          <w:tcPr>
            <w:tcW w:w="844" w:type="dxa"/>
            <w:hideMark/>
          </w:tcPr>
          <w:p w:rsidRPr="00C231F5" w:rsidR="00B619E9" w:rsidP="00D04B65" w14:paraId="5B424B56" w14:textId="77777777">
            <w:pPr>
              <w:jc w:val="center"/>
              <w:rPr>
                <w:color w:val="auto"/>
                <w:szCs w:val="18"/>
              </w:rPr>
            </w:pPr>
            <w:r w:rsidRPr="00C231F5">
              <w:rPr>
                <w:color w:val="auto"/>
                <w:szCs w:val="18"/>
              </w:rPr>
              <w:t>1355</w:t>
            </w:r>
          </w:p>
        </w:tc>
        <w:tc>
          <w:tcPr>
            <w:tcW w:w="844" w:type="dxa"/>
            <w:hideMark/>
          </w:tcPr>
          <w:p w:rsidRPr="00C231F5" w:rsidR="00B619E9" w:rsidP="00D04B65" w14:paraId="19511231" w14:textId="77777777">
            <w:pPr>
              <w:jc w:val="center"/>
              <w:rPr>
                <w:color w:val="auto"/>
                <w:szCs w:val="18"/>
              </w:rPr>
            </w:pPr>
            <w:r w:rsidRPr="00C231F5">
              <w:rPr>
                <w:color w:val="auto"/>
                <w:szCs w:val="18"/>
              </w:rPr>
              <w:t>1510</w:t>
            </w:r>
          </w:p>
        </w:tc>
        <w:tc>
          <w:tcPr>
            <w:tcW w:w="844" w:type="dxa"/>
            <w:hideMark/>
          </w:tcPr>
          <w:p w:rsidRPr="00C231F5" w:rsidR="00B619E9" w:rsidP="00D04B65" w14:paraId="56339427" w14:textId="77777777">
            <w:pPr>
              <w:jc w:val="center"/>
              <w:rPr>
                <w:color w:val="auto"/>
                <w:szCs w:val="18"/>
              </w:rPr>
            </w:pPr>
            <w:r w:rsidRPr="00C231F5">
              <w:rPr>
                <w:color w:val="auto"/>
                <w:szCs w:val="18"/>
              </w:rPr>
              <w:t>1615</w:t>
            </w:r>
          </w:p>
        </w:tc>
        <w:tc>
          <w:tcPr>
            <w:tcW w:w="1350" w:type="dxa"/>
            <w:hideMark/>
          </w:tcPr>
          <w:p w:rsidRPr="00C231F5" w:rsidR="00B619E9" w:rsidP="00D04B65" w14:paraId="13C77868" w14:textId="77777777">
            <w:pPr>
              <w:jc w:val="center"/>
              <w:rPr>
                <w:color w:val="auto"/>
                <w:szCs w:val="18"/>
              </w:rPr>
            </w:pPr>
            <w:r w:rsidRPr="00C231F5">
              <w:rPr>
                <w:color w:val="auto"/>
                <w:szCs w:val="18"/>
              </w:rPr>
              <w:t>950</w:t>
            </w:r>
          </w:p>
        </w:tc>
      </w:tr>
    </w:tbl>
    <w:p w:rsidR="00B619E9" w:rsidP="00844F49" w14:paraId="3AA28E63" w14:textId="77777777">
      <w:pPr>
        <w:spacing w:after="0"/>
        <w:rPr>
          <w:i/>
          <w:iCs/>
          <w:lang w:val="nl-NL"/>
        </w:rPr>
      </w:pPr>
    </w:p>
    <w:p w:rsidR="00EC1FAD" w:rsidP="00844F49" w14:paraId="0675063D" w14:textId="004F2B03">
      <w:pPr>
        <w:spacing w:after="0"/>
        <w:rPr>
          <w:i/>
          <w:iCs/>
          <w:lang w:val="nl-NL"/>
        </w:rPr>
      </w:pPr>
      <w:r w:rsidRPr="0041155D">
        <w:rPr>
          <w:i/>
          <w:iCs/>
          <w:lang w:val="nl-NL"/>
        </w:rPr>
        <w:t>Data</w:t>
      </w:r>
    </w:p>
    <w:p w:rsidRPr="00157342" w:rsidR="00CF7FCD" w:rsidP="00844F49" w14:paraId="3B9E0845" w14:textId="00B8C126">
      <w:pPr>
        <w:spacing w:after="0"/>
        <w:rPr>
          <w:lang w:val="nl-NL"/>
        </w:rPr>
      </w:pPr>
      <w:r>
        <w:rPr>
          <w:lang w:val="nl-NL"/>
        </w:rPr>
        <w:t>De voornaamste financiële consequenties vloeien voort uit het federatief datastelsel</w:t>
      </w:r>
      <w:r w:rsidR="44C33754">
        <w:rPr>
          <w:lang w:val="nl-NL"/>
        </w:rPr>
        <w:t xml:space="preserve"> </w:t>
      </w:r>
      <w:r w:rsidRPr="00CD3FFB" w:rsidR="60C05D88">
        <w:rPr>
          <w:lang w:val="nl-NL"/>
        </w:rPr>
        <w:t>met wettelijk verplichte standaarden</w:t>
      </w:r>
      <w:r>
        <w:rPr>
          <w:lang w:val="nl-NL"/>
        </w:rPr>
        <w:t xml:space="preserve">. </w:t>
      </w:r>
      <w:r w:rsidR="009E068D">
        <w:rPr>
          <w:lang w:val="nl-NL"/>
        </w:rPr>
        <w:t xml:space="preserve">Indien hiervoor budget beschikbaar komt, rollen wij dit </w:t>
      </w:r>
      <w:r w:rsidR="00047DD8">
        <w:rPr>
          <w:lang w:val="nl-NL"/>
        </w:rPr>
        <w:t>versnelt</w:t>
      </w:r>
      <w:r>
        <w:rPr>
          <w:lang w:val="nl-NL"/>
        </w:rPr>
        <w:t xml:space="preserve"> uit met verplichtingen en</w:t>
      </w:r>
      <w:r w:rsidR="0072291B">
        <w:rPr>
          <w:lang w:val="nl-NL"/>
        </w:rPr>
        <w:t xml:space="preserve"> ondersteuning bij</w:t>
      </w:r>
      <w:r>
        <w:rPr>
          <w:lang w:val="nl-NL"/>
        </w:rPr>
        <w:t xml:space="preserve"> implementatie. </w:t>
      </w:r>
      <w:r w:rsidR="5D33EBC6">
        <w:rPr>
          <w:lang w:val="nl-NL"/>
        </w:rPr>
        <w:t>De kosten hiervan stijgen n</w:t>
      </w:r>
      <w:r w:rsidR="60C05D88">
        <w:rPr>
          <w:lang w:val="nl-NL"/>
        </w:rPr>
        <w:t>aarmate meer organi</w:t>
      </w:r>
      <w:r w:rsidR="67E5F2F4">
        <w:rPr>
          <w:lang w:val="nl-NL"/>
        </w:rPr>
        <w:t>s</w:t>
      </w:r>
      <w:r w:rsidR="60C05D88">
        <w:rPr>
          <w:lang w:val="nl-NL"/>
        </w:rPr>
        <w:t>aties de (verplichte</w:t>
      </w:r>
      <w:r w:rsidR="5D33EBC6">
        <w:rPr>
          <w:lang w:val="nl-NL"/>
        </w:rPr>
        <w:t xml:space="preserve">) standaarden </w:t>
      </w:r>
      <w:r w:rsidR="0E197759">
        <w:rPr>
          <w:lang w:val="nl-NL"/>
        </w:rPr>
        <w:t xml:space="preserve">daadwerkelijk </w:t>
      </w:r>
      <w:r w:rsidR="5D33EBC6">
        <w:rPr>
          <w:lang w:val="nl-NL"/>
        </w:rPr>
        <w:t xml:space="preserve">gaan invoeren. </w:t>
      </w:r>
      <w:r w:rsidRPr="001E1746">
        <w:rPr>
          <w:lang w:val="nl-NL"/>
        </w:rPr>
        <w:t>Andere kostenposten volgen uit het oplossen van knelpunten in gegevensdeling en het herontwerp van processen in ketens, waarbij burgers en ondernemers centraal staan en de gegevens vanuit diverse organisaties daar omheen worden georganiseerd.</w:t>
      </w:r>
      <w:r w:rsidR="00453E7F">
        <w:rPr>
          <w:lang w:val="nl-NL"/>
        </w:rPr>
        <w:t xml:space="preserve"> </w:t>
      </w:r>
      <w:r w:rsidRPr="00453E7F" w:rsidR="00453E7F">
        <w:rPr>
          <w:lang w:val="nl-NL"/>
        </w:rPr>
        <w:t>Kosten voor het oplossen van legacy</w:t>
      </w:r>
      <w:r w:rsidR="00453E7F">
        <w:rPr>
          <w:lang w:val="nl-NL"/>
        </w:rPr>
        <w:t>-</w:t>
      </w:r>
      <w:r w:rsidRPr="00453E7F" w:rsidR="00453E7F">
        <w:rPr>
          <w:lang w:val="nl-NL"/>
        </w:rPr>
        <w:t>vraagstukken voor de basisregistraties, zoals Basisregistratie Personen (BRP) en Basisregistratie Adressen en Gebouwen (BAG) zijn niet opgenomen in deze raming.</w:t>
      </w:r>
    </w:p>
    <w:p w:rsidRPr="00CF7FCD" w:rsidR="00CF7FCD" w:rsidP="00106CEB" w14:paraId="244BDE22" w14:textId="77777777">
      <w:pPr>
        <w:spacing w:after="0"/>
        <w:rPr>
          <w:i/>
          <w:iCs/>
          <w:lang w:val="nl-NL"/>
        </w:rPr>
      </w:pPr>
    </w:p>
    <w:p w:rsidRPr="003B69B9" w:rsidR="00157342" w:rsidP="00106CEB" w14:paraId="414BAF9E" w14:textId="77777777">
      <w:pPr>
        <w:spacing w:after="0"/>
        <w:rPr>
          <w:i/>
          <w:lang w:val="nl-NL"/>
        </w:rPr>
      </w:pPr>
      <w:r w:rsidRPr="0041155D">
        <w:rPr>
          <w:i/>
          <w:iCs/>
          <w:lang w:val="nl-NL"/>
        </w:rPr>
        <w:t>Artificiële Intelligentie</w:t>
      </w:r>
    </w:p>
    <w:p w:rsidR="00157342" w:rsidP="1AB9DE52" w14:paraId="1DD169EE" w14:textId="22791405">
      <w:pPr>
        <w:rPr>
          <w:lang w:val="nl-NL"/>
        </w:rPr>
      </w:pPr>
      <w:r>
        <w:rPr>
          <w:lang w:val="nl-NL"/>
        </w:rPr>
        <w:t>B</w:t>
      </w:r>
      <w:r w:rsidRPr="00157342">
        <w:rPr>
          <w:lang w:val="nl-NL"/>
        </w:rPr>
        <w:t>innen de prioriteit AI zijn drie grote kostenblokken geïdentificeerd: de AI opschalingsfaciliteit, het overheidsbrede AI competentiecentrum</w:t>
      </w:r>
      <w:r>
        <w:rPr>
          <w:rStyle w:val="FootnoteReference"/>
          <w:lang w:val="nl-NL"/>
        </w:rPr>
        <w:footnoteReference w:id="8"/>
      </w:r>
      <w:r w:rsidRPr="00157342">
        <w:rPr>
          <w:lang w:val="nl-NL"/>
        </w:rPr>
        <w:t xml:space="preserve"> en de implementatie van (auditbare) normen voor AI</w:t>
      </w:r>
      <w:r w:rsidR="004A58BD">
        <w:rPr>
          <w:lang w:val="nl-NL"/>
        </w:rPr>
        <w:t>-</w:t>
      </w:r>
      <w:r w:rsidRPr="00157342">
        <w:rPr>
          <w:lang w:val="nl-NL"/>
        </w:rPr>
        <w:t>gebruik.</w:t>
      </w:r>
      <w:r w:rsidR="002E63AB">
        <w:rPr>
          <w:lang w:val="nl-NL"/>
        </w:rPr>
        <w:t xml:space="preserve"> </w:t>
      </w:r>
      <w:r w:rsidRPr="00157342">
        <w:rPr>
          <w:lang w:val="nl-NL"/>
        </w:rPr>
        <w:t xml:space="preserve">Andere kostenposten – die hier deels op aansluiten - </w:t>
      </w:r>
      <w:r w:rsidR="002E63AB">
        <w:rPr>
          <w:lang w:val="nl-NL"/>
        </w:rPr>
        <w:t>betreffen</w:t>
      </w:r>
      <w:r w:rsidRPr="00157342">
        <w:rPr>
          <w:lang w:val="nl-NL"/>
        </w:rPr>
        <w:t xml:space="preserve"> de ontwikkeling en het </w:t>
      </w:r>
      <w:r w:rsidRPr="00157342">
        <w:rPr>
          <w:lang w:val="nl-NL"/>
        </w:rPr>
        <w:t xml:space="preserve">gebruik van </w:t>
      </w:r>
      <w:r w:rsidRPr="00157342" w:rsidR="00047DD8">
        <w:rPr>
          <w:lang w:val="nl-NL"/>
        </w:rPr>
        <w:t>AI-toepassingsgebieden</w:t>
      </w:r>
      <w:r w:rsidRPr="00157342">
        <w:rPr>
          <w:lang w:val="nl-NL"/>
        </w:rPr>
        <w:t>, het verder ontwikkelen van AI binnen de overheid en het werken met open AI-modellen.</w:t>
      </w:r>
    </w:p>
    <w:p w:rsidRPr="003B69B9" w:rsidR="00CF7FCD" w:rsidP="00CF7FCD" w14:paraId="424286BC" w14:textId="77777777">
      <w:pPr>
        <w:spacing w:after="0"/>
        <w:rPr>
          <w:i/>
          <w:lang w:val="nl-NL"/>
        </w:rPr>
      </w:pPr>
      <w:r w:rsidRPr="00CF7FCD">
        <w:rPr>
          <w:i/>
          <w:iCs/>
          <w:lang w:val="nl-NL"/>
        </w:rPr>
        <w:t>Cloud</w:t>
      </w:r>
    </w:p>
    <w:p w:rsidRPr="003B69B9" w:rsidR="00CF7FCD" w:rsidP="00CF7FCD" w14:paraId="0D37B7BC" w14:textId="1A01D557">
      <w:pPr>
        <w:rPr>
          <w:i/>
          <w:lang w:val="nl-NL"/>
        </w:rPr>
      </w:pPr>
      <w:r>
        <w:rPr>
          <w:lang w:val="nl-NL"/>
        </w:rPr>
        <w:t xml:space="preserve">Om baas te blijven over onze gegevens </w:t>
      </w:r>
      <w:r w:rsidR="00725924">
        <w:rPr>
          <w:lang w:val="nl-NL"/>
        </w:rPr>
        <w:t>wordt er toegewerkt naar</w:t>
      </w:r>
      <w:r>
        <w:rPr>
          <w:lang w:val="nl-NL"/>
        </w:rPr>
        <w:t xml:space="preserve"> overheidsbrede soevereine cloud</w:t>
      </w:r>
      <w:r w:rsidR="00FA1A49">
        <w:rPr>
          <w:lang w:val="nl-NL"/>
        </w:rPr>
        <w:t>voorzieningen</w:t>
      </w:r>
      <w:r>
        <w:rPr>
          <w:lang w:val="nl-NL"/>
        </w:rPr>
        <w:t>. Het realiseren hiervan</w:t>
      </w:r>
      <w:r>
        <w:rPr>
          <w:rStyle w:val="FootnoteReference"/>
          <w:lang w:val="nl-NL"/>
        </w:rPr>
        <w:footnoteReference w:id="9"/>
      </w:r>
      <w:r>
        <w:rPr>
          <w:lang w:val="nl-NL"/>
        </w:rPr>
        <w:t xml:space="preserve"> vergt substantiële centrale middelen voor de opbouw (tot 2029) en gelden voor implementatie en migratiekosten bij overheidsorganisaties. Niet alle data hoeft in deze cloud te komen: daarom </w:t>
      </w:r>
      <w:r w:rsidR="009E068D">
        <w:rPr>
          <w:lang w:val="nl-NL"/>
        </w:rPr>
        <w:t xml:space="preserve">is het plan </w:t>
      </w:r>
      <w:r>
        <w:rPr>
          <w:lang w:val="nl-NL"/>
        </w:rPr>
        <w:t>een overheidsbrede mark</w:t>
      </w:r>
      <w:r w:rsidR="00047DD8">
        <w:rPr>
          <w:lang w:val="nl-NL"/>
        </w:rPr>
        <w:t>t</w:t>
      </w:r>
      <w:r>
        <w:rPr>
          <w:lang w:val="nl-NL"/>
        </w:rPr>
        <w:t>plaats voor vraag- en aanbodkoppeling met dito expertisecentrum op</w:t>
      </w:r>
      <w:r w:rsidR="00D47611">
        <w:rPr>
          <w:lang w:val="nl-NL"/>
        </w:rPr>
        <w:t xml:space="preserve"> te zetten</w:t>
      </w:r>
      <w:r>
        <w:rPr>
          <w:lang w:val="nl-NL"/>
        </w:rPr>
        <w:t xml:space="preserve">. </w:t>
      </w:r>
    </w:p>
    <w:p w:rsidRPr="003B69B9" w:rsidR="00CF7FCD" w:rsidP="00CF7FCD" w14:paraId="300FB637" w14:textId="13870559">
      <w:pPr>
        <w:spacing w:after="0"/>
        <w:rPr>
          <w:i/>
          <w:lang w:val="nl-NL"/>
        </w:rPr>
      </w:pPr>
      <w:r>
        <w:rPr>
          <w:i/>
          <w:iCs/>
          <w:lang w:val="nl-NL"/>
        </w:rPr>
        <w:t>Digitaal v</w:t>
      </w:r>
      <w:r w:rsidRPr="0041155D">
        <w:rPr>
          <w:i/>
          <w:iCs/>
          <w:lang w:val="nl-NL"/>
        </w:rPr>
        <w:t>akmanschap</w:t>
      </w:r>
    </w:p>
    <w:p w:rsidRPr="00157342" w:rsidR="00CF7FCD" w:rsidP="00CF7FCD" w14:paraId="65CE2BDA" w14:textId="71F46002">
      <w:pPr>
        <w:tabs>
          <w:tab w:val="num" w:pos="720"/>
        </w:tabs>
        <w:rPr>
          <w:lang w:val="nl-NL"/>
        </w:rPr>
      </w:pPr>
      <w:r>
        <w:rPr>
          <w:lang w:val="nl-NL"/>
        </w:rPr>
        <w:t>Met deze middelen kunnen we</w:t>
      </w:r>
      <w:r w:rsidR="00297FEB">
        <w:rPr>
          <w:lang w:val="nl-NL"/>
        </w:rPr>
        <w:t xml:space="preserve"> </w:t>
      </w:r>
      <w:r w:rsidRPr="00157342">
        <w:rPr>
          <w:lang w:val="nl-NL"/>
        </w:rPr>
        <w:t xml:space="preserve">ambtenaren, inclusief specialisten, </w:t>
      </w:r>
      <w:r>
        <w:rPr>
          <w:lang w:val="nl-NL"/>
        </w:rPr>
        <w:t xml:space="preserve">faciliteren </w:t>
      </w:r>
      <w:r w:rsidRPr="00157342">
        <w:rPr>
          <w:lang w:val="nl-NL"/>
        </w:rPr>
        <w:t>in de permanente ontwikkeling van digitaliseringskennis en -kunde. Daarnaast is het belangrijk dat de overheid haar ambtenaren optimaal digitaal ondersteunt, zodat zij productiever kunnen werken. Dit vraagt om investeringen in een moderne digitale werkomgeving waarbij de ambtenaar is toegerust met de juiste middelen om haar werk effectief uit te voeren.</w:t>
      </w:r>
    </w:p>
    <w:p w:rsidRPr="003B69B9" w:rsidR="00157342" w:rsidP="00106CEB" w14:paraId="07D0FCB6" w14:textId="1CE2A6A5">
      <w:pPr>
        <w:spacing w:after="0"/>
        <w:rPr>
          <w:i/>
          <w:lang w:val="nl-NL"/>
        </w:rPr>
      </w:pPr>
      <w:r w:rsidRPr="0041155D">
        <w:rPr>
          <w:i/>
          <w:iCs/>
          <w:lang w:val="nl-NL"/>
        </w:rPr>
        <w:t>Burgers &amp; Ondernemers</w:t>
      </w:r>
      <w:r w:rsidR="00D04B65">
        <w:rPr>
          <w:i/>
          <w:iCs/>
          <w:lang w:val="nl-NL"/>
        </w:rPr>
        <w:t xml:space="preserve"> centraal</w:t>
      </w:r>
    </w:p>
    <w:p w:rsidRPr="00157342" w:rsidR="00157342" w:rsidP="00157342" w14:paraId="5A78B61A" w14:textId="2376D8EB">
      <w:pPr>
        <w:tabs>
          <w:tab w:val="num" w:pos="720"/>
        </w:tabs>
        <w:rPr>
          <w:lang w:val="nl-NL"/>
        </w:rPr>
      </w:pPr>
      <w:r>
        <w:rPr>
          <w:lang w:val="nl-NL"/>
        </w:rPr>
        <w:t>Het centraal stellen van burgers en ondernemers in toegankelijke (digitale) dienstverlening</w:t>
      </w:r>
      <w:r w:rsidR="00DB40EA">
        <w:rPr>
          <w:lang w:val="nl-NL"/>
        </w:rPr>
        <w:t xml:space="preserve"> </w:t>
      </w:r>
      <w:r w:rsidRPr="00157342">
        <w:rPr>
          <w:lang w:val="nl-NL"/>
        </w:rPr>
        <w:t xml:space="preserve">vraagt </w:t>
      </w:r>
      <w:r w:rsidR="00DB40EA">
        <w:rPr>
          <w:lang w:val="nl-NL"/>
        </w:rPr>
        <w:t xml:space="preserve">om </w:t>
      </w:r>
      <w:r w:rsidRPr="00157342">
        <w:rPr>
          <w:lang w:val="nl-NL"/>
        </w:rPr>
        <w:t>investeringen in uniformering en standaardisering, doorontwikkeling van de overheidsbrede loketfunctie en de samenhang tussen portalen en overheidsbre</w:t>
      </w:r>
      <w:r>
        <w:rPr>
          <w:lang w:val="nl-NL"/>
        </w:rPr>
        <w:t xml:space="preserve">de </w:t>
      </w:r>
      <w:r w:rsidRPr="00157342">
        <w:rPr>
          <w:lang w:val="nl-NL"/>
        </w:rPr>
        <w:t xml:space="preserve">interactiediensten. </w:t>
      </w:r>
    </w:p>
    <w:p w:rsidRPr="003B69B9" w:rsidR="00157342" w:rsidP="00106CEB" w14:paraId="60DC6676" w14:textId="77777777">
      <w:pPr>
        <w:spacing w:after="0"/>
        <w:rPr>
          <w:i/>
          <w:lang w:val="nl-NL"/>
        </w:rPr>
      </w:pPr>
      <w:r w:rsidRPr="0041155D">
        <w:rPr>
          <w:i/>
          <w:iCs/>
          <w:lang w:val="nl-NL"/>
        </w:rPr>
        <w:t>Digitale weerbaarheid en autonomie</w:t>
      </w:r>
    </w:p>
    <w:p w:rsidRPr="00157342" w:rsidR="00157342" w:rsidP="1AB9DE52" w14:paraId="516E4318" w14:textId="7AFB1A88">
      <w:pPr>
        <w:rPr>
          <w:lang w:val="nl-NL"/>
        </w:rPr>
      </w:pPr>
      <w:r w:rsidRPr="1AB9DE52">
        <w:rPr>
          <w:lang w:val="nl-NL"/>
        </w:rPr>
        <w:t xml:space="preserve">Om onze veiligheid en autonomie te versterken zijn investeringen </w:t>
      </w:r>
      <w:r w:rsidR="00D47611">
        <w:rPr>
          <w:lang w:val="nl-NL"/>
        </w:rPr>
        <w:t>wenselijk</w:t>
      </w:r>
      <w:r w:rsidRPr="1AB9DE52">
        <w:rPr>
          <w:lang w:val="nl-NL"/>
        </w:rPr>
        <w:t xml:space="preserve">, in het bijzonder in personele capaciteitsversterking, versterking van de </w:t>
      </w:r>
      <w:r w:rsidR="00384238">
        <w:rPr>
          <w:lang w:val="nl-NL"/>
        </w:rPr>
        <w:t>we</w:t>
      </w:r>
      <w:r w:rsidR="00DA68D5">
        <w:rPr>
          <w:lang w:val="nl-NL"/>
        </w:rPr>
        <w:t>ndbaar</w:t>
      </w:r>
      <w:r w:rsidR="00384238">
        <w:rPr>
          <w:lang w:val="nl-NL"/>
        </w:rPr>
        <w:t xml:space="preserve">heid en continuïteit </w:t>
      </w:r>
      <w:r w:rsidR="00DA68D5">
        <w:rPr>
          <w:lang w:val="nl-NL"/>
        </w:rPr>
        <w:t>van kritieke dienstverlening</w:t>
      </w:r>
      <w:r w:rsidR="0097611E">
        <w:rPr>
          <w:lang w:val="nl-NL"/>
        </w:rPr>
        <w:t>,</w:t>
      </w:r>
      <w:r w:rsidR="00DA68D5">
        <w:rPr>
          <w:lang w:val="nl-NL"/>
        </w:rPr>
        <w:t xml:space="preserve"> </w:t>
      </w:r>
      <w:r w:rsidRPr="1AB9DE52">
        <w:rPr>
          <w:lang w:val="nl-NL"/>
        </w:rPr>
        <w:t>digitale weerbaarheid van de gemeentelijke systemen van de BRP, in een meer weerbaar (open) digitaal ecosysteem, de intensivering van detectie- en respons-capaciteit en investeringen in de Cyberveiligheidswet. De kosten hiervan lopen komende jaren op. Verder gaat het onder meer om investeringen om de digitale autonomie te vergroten, cyberveiligheidsbouwstenen uit te rollen en het neerzetten van een federatief soc-stelsel.</w:t>
      </w:r>
    </w:p>
    <w:p w:rsidRPr="003B69B9" w:rsidR="00157342" w:rsidP="00106CEB" w14:paraId="3356988A" w14:textId="77777777">
      <w:pPr>
        <w:spacing w:after="0"/>
        <w:rPr>
          <w:i/>
          <w:lang w:val="nl-NL"/>
        </w:rPr>
      </w:pPr>
      <w:r w:rsidRPr="0041155D">
        <w:rPr>
          <w:i/>
          <w:iCs/>
          <w:lang w:val="nl-NL"/>
        </w:rPr>
        <w:t>Interventies</w:t>
      </w:r>
    </w:p>
    <w:p w:rsidR="1AB9DE52" w:rsidP="1AB9DE52" w14:paraId="38DA3F2F" w14:textId="2AEA876F">
      <w:pPr>
        <w:rPr>
          <w:lang w:val="nl-NL"/>
        </w:rPr>
      </w:pPr>
      <w:r w:rsidRPr="1AB9DE52">
        <w:rPr>
          <w:lang w:val="nl-NL"/>
        </w:rPr>
        <w:t xml:space="preserve">In aanvulling op de prioriteiten bevat de NDS ook een aantal interventies die toezien op versterking van het gebruik van standaarden inclusief het ondersteunen bij het invoeren ervan, overheidsbrede IT-sourcing en bundeling van inkoopkracht, gezamenlijke implementatie van digitale wetgeving en het gezamenlijk wegnemen van juridische knelpunten. Hierbij hoort ook de ambitie om bestaande goede digitale oplossingen verder op te schalen en in beheer te nemen om ze te kunnen gebruiken als generieke/collectieve bouwstenen. </w:t>
      </w:r>
      <w:r w:rsidRPr="003B69B9">
        <w:rPr>
          <w:lang w:val="nl-NL"/>
        </w:rPr>
        <w:t xml:space="preserve">Onderdeel hiervan zijn investeringen in een digitale identiteit (EDI). </w:t>
      </w:r>
      <w:r w:rsidRPr="003B69B9">
        <w:rPr>
          <w:rFonts w:eastAsia="Verdana" w:cs="Verdana"/>
          <w:lang w:val="nl-NL"/>
        </w:rPr>
        <w:t>Hierdoor krijgen burgers en bedrijven een betere manier om hun identiteit online te bewijzen en gegevens digitaal te delen.</w:t>
      </w:r>
    </w:p>
    <w:p w:rsidRPr="009C3526" w:rsidR="009F1C3C" w14:paraId="3500AE18" w14:textId="77777777">
      <w:pPr>
        <w:rPr>
          <w:lang w:val="nl-NL"/>
        </w:rPr>
      </w:pPr>
    </w:p>
    <w:p w:rsidR="001717D2" w14:paraId="7BA6C706" w14:textId="63D2F65A">
      <w:pPr>
        <w:rPr>
          <w:b/>
          <w:bCs/>
          <w:lang w:val="nl-NL"/>
        </w:rPr>
      </w:pPr>
      <w:r>
        <w:rPr>
          <w:b/>
          <w:bCs/>
          <w:lang w:val="nl-NL"/>
        </w:rPr>
        <w:t>Afsluiting</w:t>
      </w:r>
    </w:p>
    <w:p w:rsidRPr="00D47611" w:rsidR="00D47611" w:rsidP="00D47611" w14:paraId="46B0BF25" w14:textId="4C322AE4">
      <w:pPr>
        <w:rPr>
          <w:lang w:val="nl-NL"/>
        </w:rPr>
      </w:pPr>
      <w:r w:rsidRPr="00D47611">
        <w:rPr>
          <w:lang w:val="nl-NL"/>
        </w:rPr>
        <w:t>Er wordt komende periode interbestuurlijk toegewerkt naar een volledige investeringsagenda. Daarin komt een nadere uitwerking en onderbouwing van de kosten. Ook komen daarin de eventuele baten van de NDS aan bod voor Nederland</w:t>
      </w:r>
      <w:r w:rsidR="00AA64A9">
        <w:rPr>
          <w:lang w:val="nl-NL"/>
        </w:rPr>
        <w:t>,</w:t>
      </w:r>
      <w:r w:rsidRPr="00D47611">
        <w:rPr>
          <w:lang w:val="nl-NL"/>
        </w:rPr>
        <w:t xml:space="preserve"> e</w:t>
      </w:r>
      <w:r w:rsidR="00AA64A9">
        <w:rPr>
          <w:lang w:val="nl-NL"/>
        </w:rPr>
        <w:t>venals</w:t>
      </w:r>
      <w:r w:rsidRPr="00D47611">
        <w:rPr>
          <w:lang w:val="nl-NL"/>
        </w:rPr>
        <w:t xml:space="preserve"> voorgestelde financieringsmogelijkheden</w:t>
      </w:r>
      <w:r w:rsidR="0036281D">
        <w:rPr>
          <w:lang w:val="nl-NL"/>
        </w:rPr>
        <w:t>.</w:t>
      </w:r>
      <w:r w:rsidR="00D04B65">
        <w:rPr>
          <w:lang w:val="nl-NL"/>
        </w:rPr>
        <w:t xml:space="preserve"> </w:t>
      </w:r>
      <w:r w:rsidRPr="00D47611">
        <w:rPr>
          <w:lang w:val="nl-NL"/>
        </w:rPr>
        <w:t xml:space="preserve">We verwachten in </w:t>
      </w:r>
      <w:r w:rsidR="00083FC7">
        <w:rPr>
          <w:lang w:val="nl-NL"/>
        </w:rPr>
        <w:t>de</w:t>
      </w:r>
      <w:r w:rsidRPr="00D47611" w:rsidR="00083FC7">
        <w:rPr>
          <w:lang w:val="nl-NL"/>
        </w:rPr>
        <w:t xml:space="preserve"> </w:t>
      </w:r>
      <w:r w:rsidRPr="00D47611">
        <w:rPr>
          <w:lang w:val="nl-NL"/>
        </w:rPr>
        <w:t xml:space="preserve">eerste </w:t>
      </w:r>
      <w:r>
        <w:rPr>
          <w:lang w:val="nl-NL"/>
        </w:rPr>
        <w:t>helft</w:t>
      </w:r>
      <w:r w:rsidRPr="00D47611">
        <w:rPr>
          <w:lang w:val="nl-NL"/>
        </w:rPr>
        <w:t xml:space="preserve"> van 2026 een meer volledige investeringsagenda op te kunnen leveren. </w:t>
      </w:r>
      <w:r w:rsidR="007E0342">
        <w:rPr>
          <w:lang w:val="nl-NL"/>
        </w:rPr>
        <w:t xml:space="preserve">Op basis hiervan kan dan later </w:t>
      </w:r>
      <w:r w:rsidR="009B73C1">
        <w:rPr>
          <w:lang w:val="nl-NL"/>
        </w:rPr>
        <w:t xml:space="preserve">verdere </w:t>
      </w:r>
      <w:r w:rsidR="007E0342">
        <w:rPr>
          <w:lang w:val="nl-NL"/>
        </w:rPr>
        <w:t>besluitvorming plaatsvinden.</w:t>
      </w:r>
    </w:p>
    <w:p w:rsidRPr="001717D2" w:rsidR="001717D2" w14:paraId="3A7C58B2" w14:textId="33BB92D6">
      <w:pPr>
        <w:rPr>
          <w:b/>
          <w:bCs/>
          <w:lang w:val="nl-NL"/>
        </w:rPr>
      </w:pPr>
    </w:p>
    <w:sectPr w:rsidSect="00C231F5">
      <w:footerReference w:type="default" r:id="rId9"/>
      <w:pgSz w:w="11907" w:h="16840" w:code="9"/>
      <w:pgMar w:top="851" w:right="1440" w:bottom="426"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6526435"/>
      <w:docPartObj>
        <w:docPartGallery w:val="Page Numbers (Bottom of Page)"/>
        <w:docPartUnique/>
      </w:docPartObj>
    </w:sdtPr>
    <w:sdtEndPr>
      <w:rPr>
        <w:sz w:val="16"/>
        <w:szCs w:val="16"/>
      </w:rPr>
    </w:sdtEndPr>
    <w:sdtContent>
      <w:p w:rsidR="00C231F5" w:rsidRPr="00C231F5" w14:paraId="2FC97BC2" w14:textId="01986687">
        <w:pPr>
          <w:pStyle w:val="Footer"/>
          <w:jc w:val="right"/>
          <w:rPr>
            <w:sz w:val="16"/>
            <w:szCs w:val="16"/>
          </w:rPr>
        </w:pPr>
        <w:r w:rsidRPr="00C231F5">
          <w:rPr>
            <w:sz w:val="16"/>
            <w:szCs w:val="16"/>
          </w:rPr>
          <w:fldChar w:fldCharType="begin"/>
        </w:r>
        <w:r w:rsidRPr="00C231F5">
          <w:rPr>
            <w:sz w:val="16"/>
            <w:szCs w:val="16"/>
          </w:rPr>
          <w:instrText>PAGE   \* MERGEFORMAT</w:instrText>
        </w:r>
        <w:r w:rsidRPr="00C231F5">
          <w:rPr>
            <w:sz w:val="16"/>
            <w:szCs w:val="16"/>
          </w:rPr>
          <w:fldChar w:fldCharType="separate"/>
        </w:r>
        <w:r w:rsidRPr="00C231F5">
          <w:rPr>
            <w:sz w:val="16"/>
            <w:szCs w:val="16"/>
            <w:lang w:val="nl-NL"/>
          </w:rPr>
          <w:t>2</w:t>
        </w:r>
        <w:r w:rsidRPr="00C231F5">
          <w:rPr>
            <w:sz w:val="16"/>
            <w:szCs w:val="16"/>
          </w:rPr>
          <w:fldChar w:fldCharType="end"/>
        </w:r>
      </w:p>
    </w:sdtContent>
  </w:sdt>
  <w:p w:rsidR="00C231F5" w14:paraId="0F64DA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429D" w:rsidP="00BD34EF" w14:paraId="515425E9" w14:textId="77777777">
      <w:pPr>
        <w:spacing w:after="0" w:line="240" w:lineRule="auto"/>
      </w:pPr>
      <w:r>
        <w:separator/>
      </w:r>
    </w:p>
  </w:footnote>
  <w:footnote w:type="continuationSeparator" w:id="1">
    <w:p w:rsidR="00AF429D" w:rsidP="00BD34EF" w14:paraId="2B1B6361" w14:textId="77777777">
      <w:pPr>
        <w:spacing w:after="0" w:line="240" w:lineRule="auto"/>
      </w:pPr>
      <w:r>
        <w:continuationSeparator/>
      </w:r>
    </w:p>
  </w:footnote>
  <w:footnote w:type="continuationNotice" w:id="2">
    <w:p w:rsidR="00AF429D" w14:paraId="712A2FFF" w14:textId="77777777">
      <w:pPr>
        <w:spacing w:after="0" w:line="240" w:lineRule="auto"/>
      </w:pPr>
    </w:p>
  </w:footnote>
  <w:footnote w:id="3">
    <w:p w:rsidR="000307B4" w:rsidRPr="0041155D" w14:paraId="084C0D99" w14:textId="12CF3FCE">
      <w:pPr>
        <w:pStyle w:val="FootnoteText"/>
        <w:rPr>
          <w:sz w:val="16"/>
          <w:szCs w:val="16"/>
          <w:lang w:val="nl-NL"/>
        </w:rPr>
      </w:pPr>
      <w:r w:rsidRPr="0041155D">
        <w:rPr>
          <w:rStyle w:val="FootnoteReference"/>
          <w:sz w:val="16"/>
          <w:szCs w:val="16"/>
        </w:rPr>
        <w:footnoteRef/>
      </w:r>
      <w:r w:rsidRPr="0041155D">
        <w:rPr>
          <w:sz w:val="16"/>
          <w:szCs w:val="16"/>
          <w:lang w:val="nl-NL"/>
        </w:rPr>
        <w:t xml:space="preserve"> </w:t>
      </w:r>
      <w:hyperlink r:id="rId1" w:history="1">
        <w:r w:rsidRPr="0041155D" w:rsidR="0041155D">
          <w:rPr>
            <w:rStyle w:val="Hyperlink"/>
            <w:sz w:val="16"/>
            <w:szCs w:val="16"/>
          </w:rPr>
          <w:t>https://www.rijksoverheid.nl/documenten/rapporten/2025/07/04/nederlandse-digitaliseringsstrategie</w:t>
        </w:r>
      </w:hyperlink>
      <w:r w:rsidRPr="0041155D" w:rsidR="0041155D">
        <w:rPr>
          <w:sz w:val="16"/>
          <w:szCs w:val="16"/>
        </w:rPr>
        <w:t xml:space="preserve"> </w:t>
      </w:r>
    </w:p>
  </w:footnote>
  <w:footnote w:id="4">
    <w:p w:rsidR="00A24AFF" w:rsidRPr="000B4A9C" w:rsidP="00A24AFF" w14:paraId="3FCD09D2" w14:textId="65597F55">
      <w:pPr>
        <w:pStyle w:val="FootnoteText"/>
        <w:rPr>
          <w:sz w:val="18"/>
          <w:szCs w:val="18"/>
          <w:lang w:val="nl-NL"/>
        </w:rPr>
      </w:pPr>
      <w:r w:rsidRPr="005B0564">
        <w:rPr>
          <w:rStyle w:val="FootnoteReference"/>
          <w:sz w:val="16"/>
          <w:szCs w:val="16"/>
        </w:rPr>
        <w:footnoteRef/>
      </w:r>
      <w:r w:rsidRPr="005B0564">
        <w:rPr>
          <w:sz w:val="16"/>
          <w:szCs w:val="16"/>
          <w:lang w:val="nl-NL"/>
        </w:rPr>
        <w:t xml:space="preserve"> Internationale voorbeelden onderschrijven dit</w:t>
      </w:r>
      <w:r w:rsidRPr="005B0564" w:rsidR="00B52FA3">
        <w:rPr>
          <w:sz w:val="16"/>
          <w:szCs w:val="16"/>
          <w:lang w:val="nl-NL"/>
        </w:rPr>
        <w:t>.</w:t>
      </w:r>
      <w:r w:rsidRPr="005B0564">
        <w:rPr>
          <w:sz w:val="16"/>
          <w:szCs w:val="16"/>
          <w:lang w:val="nl-NL"/>
        </w:rPr>
        <w:t xml:space="preserve"> </w:t>
      </w:r>
      <w:r w:rsidRPr="005B0564" w:rsidR="00B52FA3">
        <w:rPr>
          <w:sz w:val="16"/>
          <w:szCs w:val="16"/>
          <w:lang w:val="nl-NL"/>
        </w:rPr>
        <w:t>Volgens het Belgisch Planbureau levert de rationalisering van de informatie-uitwisseling tussen de werkgevers en de sociale sector door de ‘Kruispuntbank van Ondernemingen’ een jaarlijkse besparing op van ongeveer 1,7 miljard euro. En in het Verenigd Koninkrijk heeft overheidsbreed inzicht in contract- en inkoopprocedures 1 miljard pond bespaart doordat dit een betere onderhandelingspositie tegenover bedrijven mogelijk maakte.</w:t>
      </w:r>
      <w:r w:rsidRPr="000B4A9C" w:rsidR="00B52FA3">
        <w:rPr>
          <w:sz w:val="18"/>
          <w:szCs w:val="18"/>
          <w:lang w:val="nl-NL"/>
        </w:rPr>
        <w:t xml:space="preserve">  </w:t>
      </w:r>
    </w:p>
  </w:footnote>
  <w:footnote w:id="5">
    <w:p w:rsidR="00E54427" w:rsidRPr="000B4A9C" w14:paraId="4E10F604" w14:textId="647213B7">
      <w:pPr>
        <w:pStyle w:val="FootnoteText"/>
        <w:rPr>
          <w:sz w:val="16"/>
          <w:szCs w:val="16"/>
          <w:lang w:val="nl-NL"/>
        </w:rPr>
      </w:pPr>
      <w:r w:rsidRPr="000B4A9C">
        <w:rPr>
          <w:rStyle w:val="FootnoteReference"/>
          <w:sz w:val="16"/>
          <w:szCs w:val="16"/>
        </w:rPr>
        <w:footnoteRef/>
      </w:r>
      <w:r w:rsidRPr="000B4A9C">
        <w:rPr>
          <w:sz w:val="16"/>
          <w:szCs w:val="16"/>
          <w:lang w:val="nl-NL"/>
        </w:rPr>
        <w:t xml:space="preserve"> Als voorbeeld: alle overheden hebben baat bij een </w:t>
      </w:r>
      <w:r w:rsidR="00106CEB">
        <w:rPr>
          <w:sz w:val="16"/>
          <w:szCs w:val="16"/>
          <w:lang w:val="nl-NL"/>
        </w:rPr>
        <w:t>soevereine overheidscloud</w:t>
      </w:r>
      <w:r w:rsidRPr="000B4A9C">
        <w:rPr>
          <w:sz w:val="16"/>
          <w:szCs w:val="16"/>
          <w:lang w:val="nl-NL"/>
        </w:rPr>
        <w:t xml:space="preserve"> die ons veilig en autonoom maakt, maar de investering moet centraal gebeuren. Hetzelfde geldt voor het ontwikkelen en beheren van collectieve digitale voorzieningen en het opschalen en breder beschikbaar maken van kansrijke initiatieven bij individuele organisaties.</w:t>
      </w:r>
    </w:p>
  </w:footnote>
  <w:footnote w:id="6">
    <w:p w:rsidR="00EE659E" w:rsidRPr="00EC1FAD" w14:paraId="7D377C54" w14:textId="78D9E903">
      <w:pPr>
        <w:pStyle w:val="FootnoteText"/>
        <w:rPr>
          <w:lang w:val="nl-NL"/>
        </w:rPr>
      </w:pPr>
      <w:r w:rsidRPr="00EC1FAD">
        <w:rPr>
          <w:rStyle w:val="FootnoteReference"/>
          <w:sz w:val="16"/>
          <w:szCs w:val="16"/>
        </w:rPr>
        <w:footnoteRef/>
      </w:r>
      <w:r w:rsidRPr="00EC1FAD">
        <w:rPr>
          <w:sz w:val="16"/>
          <w:szCs w:val="16"/>
          <w:lang w:val="nl-NL"/>
        </w:rPr>
        <w:t xml:space="preserve"> </w:t>
      </w:r>
      <w:hyperlink r:id="rId2" w:history="1">
        <w:r w:rsidRPr="00EC1FAD">
          <w:rPr>
            <w:rStyle w:val="Hyperlink"/>
            <w:sz w:val="16"/>
            <w:szCs w:val="16"/>
            <w:lang w:val="nl-NL"/>
          </w:rPr>
          <w:t>Motie</w:t>
        </w:r>
      </w:hyperlink>
      <w:r w:rsidRPr="00EC1FAD">
        <w:rPr>
          <w:sz w:val="16"/>
          <w:szCs w:val="16"/>
          <w:lang w:val="nl-NL"/>
        </w:rPr>
        <w:t xml:space="preserve"> van het lid Kathmann over vóór de verkiezingen met een investeringsagenda voor digitalisering komen.</w:t>
      </w:r>
    </w:p>
  </w:footnote>
  <w:footnote w:id="7">
    <w:p w:rsidR="00EE659E" w:rsidRPr="00EC1FAD" w:rsidP="00EE659E" w14:paraId="1E443F55" w14:textId="77777777">
      <w:pPr>
        <w:pStyle w:val="FootnoteText"/>
        <w:rPr>
          <w:sz w:val="16"/>
          <w:szCs w:val="16"/>
          <w:lang w:val="nl-NL"/>
        </w:rPr>
      </w:pPr>
      <w:r w:rsidRPr="00532BD7">
        <w:rPr>
          <w:rStyle w:val="FootnoteReference"/>
          <w:sz w:val="16"/>
          <w:szCs w:val="16"/>
        </w:rPr>
        <w:footnoteRef/>
      </w:r>
      <w:r w:rsidRPr="00EC1FAD">
        <w:rPr>
          <w:sz w:val="16"/>
          <w:szCs w:val="16"/>
          <w:lang w:val="nl-NL"/>
        </w:rPr>
        <w:t xml:space="preserve"> ‘De staatssecretaris zegt toe de Tweede Kamer dit jaar te informeren over de voortgang van de ontwikkeling van de investeringsagenda. In de eerste helft van 2026 ontvangt de Kamer de investeringsagenda zelf.’ (TZ202510-140)</w:t>
      </w:r>
    </w:p>
  </w:footnote>
  <w:footnote w:id="8">
    <w:p w:rsidR="005B0564" w:rsidRPr="000B4A9C" w14:paraId="03AFA01F" w14:textId="5A9A3A3C">
      <w:pPr>
        <w:pStyle w:val="FootnoteText"/>
        <w:rPr>
          <w:sz w:val="16"/>
          <w:szCs w:val="16"/>
          <w:lang w:val="nl-NL"/>
        </w:rPr>
      </w:pPr>
      <w:r w:rsidRPr="000B4A9C">
        <w:rPr>
          <w:rStyle w:val="FootnoteReference"/>
          <w:sz w:val="16"/>
          <w:szCs w:val="16"/>
        </w:rPr>
        <w:footnoteRef/>
      </w:r>
      <w:r w:rsidRPr="000B4A9C">
        <w:rPr>
          <w:sz w:val="16"/>
          <w:szCs w:val="16"/>
          <w:lang w:val="nl-NL"/>
        </w:rPr>
        <w:t xml:space="preserve"> </w:t>
      </w:r>
      <w:r w:rsidR="000B4A9C">
        <w:rPr>
          <w:sz w:val="16"/>
          <w:szCs w:val="16"/>
          <w:lang w:val="nl-NL"/>
        </w:rPr>
        <w:t>I</w:t>
      </w:r>
      <w:r w:rsidRPr="000B4A9C">
        <w:rPr>
          <w:sz w:val="16"/>
          <w:szCs w:val="16"/>
          <w:lang w:val="nl-NL"/>
        </w:rPr>
        <w:t xml:space="preserve">n het geval dit </w:t>
      </w:r>
      <w:r w:rsidR="000B4A9C">
        <w:rPr>
          <w:sz w:val="16"/>
          <w:szCs w:val="16"/>
          <w:lang w:val="nl-NL"/>
        </w:rPr>
        <w:t xml:space="preserve">na verkenningen </w:t>
      </w:r>
      <w:r w:rsidRPr="000B4A9C">
        <w:rPr>
          <w:sz w:val="16"/>
          <w:szCs w:val="16"/>
          <w:lang w:val="nl-NL"/>
        </w:rPr>
        <w:t>doorgang vindt</w:t>
      </w:r>
      <w:r w:rsidR="000B4A9C">
        <w:rPr>
          <w:sz w:val="16"/>
          <w:szCs w:val="16"/>
          <w:lang w:val="nl-NL"/>
        </w:rPr>
        <w:t xml:space="preserve">. </w:t>
      </w:r>
    </w:p>
  </w:footnote>
  <w:footnote w:id="9">
    <w:p w:rsidR="00CF7FCD" w:rsidRPr="000B4A9C" w:rsidP="00CF7FCD" w14:paraId="2D906E2E" w14:textId="77777777">
      <w:pPr>
        <w:pStyle w:val="FootnoteText"/>
        <w:rPr>
          <w:lang w:val="nl-NL"/>
        </w:rPr>
      </w:pPr>
      <w:r w:rsidRPr="002E63AB">
        <w:rPr>
          <w:rStyle w:val="FootnoteReference"/>
          <w:sz w:val="16"/>
          <w:szCs w:val="16"/>
        </w:rPr>
        <w:footnoteRef/>
      </w:r>
      <w:r w:rsidRPr="002E63AB">
        <w:rPr>
          <w:sz w:val="16"/>
          <w:szCs w:val="16"/>
          <w:lang w:val="nl-NL"/>
        </w:rPr>
        <w:t xml:space="preserve"> Mits deze aanpak n.a.v. de huidige verkenning nog steeds de te prefereren route lijkt.</w:t>
      </w:r>
      <w:r>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AA5562"/>
    <w:multiLevelType w:val="hybridMultilevel"/>
    <w:tmpl w:val="C77A2B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6C457452"/>
    <w:multiLevelType w:val="hybridMultilevel"/>
    <w:tmpl w:val="A20E6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37A55BF"/>
    <w:multiLevelType w:val="hybridMultilevel"/>
    <w:tmpl w:val="E26E363C"/>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305936"/>
    <w:multiLevelType w:val="hybridMultilevel"/>
    <w:tmpl w:val="6EB8F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2677447">
    <w:abstractNumId w:val="2"/>
  </w:num>
  <w:num w:numId="2" w16cid:durableId="1371144240">
    <w:abstractNumId w:val="0"/>
  </w:num>
  <w:num w:numId="3" w16cid:durableId="132796811">
    <w:abstractNumId w:val="3"/>
  </w:num>
  <w:num w:numId="4" w16cid:durableId="87392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66"/>
    <w:rsid w:val="000016CE"/>
    <w:rsid w:val="00014232"/>
    <w:rsid w:val="000307B4"/>
    <w:rsid w:val="00044620"/>
    <w:rsid w:val="00044F01"/>
    <w:rsid w:val="000450EF"/>
    <w:rsid w:val="00047DD8"/>
    <w:rsid w:val="00060B7A"/>
    <w:rsid w:val="0007234F"/>
    <w:rsid w:val="00075F6F"/>
    <w:rsid w:val="00083FC7"/>
    <w:rsid w:val="00091178"/>
    <w:rsid w:val="000A1FC9"/>
    <w:rsid w:val="000A6B00"/>
    <w:rsid w:val="000A702B"/>
    <w:rsid w:val="000B45B8"/>
    <w:rsid w:val="000B4A9C"/>
    <w:rsid w:val="000D0668"/>
    <w:rsid w:val="000D0EF3"/>
    <w:rsid w:val="000D6F53"/>
    <w:rsid w:val="000E6FED"/>
    <w:rsid w:val="0010081B"/>
    <w:rsid w:val="00105789"/>
    <w:rsid w:val="00106CEB"/>
    <w:rsid w:val="00113D6B"/>
    <w:rsid w:val="00122C60"/>
    <w:rsid w:val="00126B91"/>
    <w:rsid w:val="001321C6"/>
    <w:rsid w:val="00132A7D"/>
    <w:rsid w:val="00146D45"/>
    <w:rsid w:val="00151159"/>
    <w:rsid w:val="001561D6"/>
    <w:rsid w:val="00157342"/>
    <w:rsid w:val="00160C85"/>
    <w:rsid w:val="001717D2"/>
    <w:rsid w:val="0017390A"/>
    <w:rsid w:val="00180E4F"/>
    <w:rsid w:val="0018185B"/>
    <w:rsid w:val="00184743"/>
    <w:rsid w:val="001925E6"/>
    <w:rsid w:val="001A6126"/>
    <w:rsid w:val="001A7D74"/>
    <w:rsid w:val="001B05FA"/>
    <w:rsid w:val="001D6054"/>
    <w:rsid w:val="001E1746"/>
    <w:rsid w:val="001E44A0"/>
    <w:rsid w:val="001E4BA5"/>
    <w:rsid w:val="001E6A24"/>
    <w:rsid w:val="00203927"/>
    <w:rsid w:val="00221B7A"/>
    <w:rsid w:val="00224D84"/>
    <w:rsid w:val="00230036"/>
    <w:rsid w:val="00245EB7"/>
    <w:rsid w:val="00250759"/>
    <w:rsid w:val="0027156D"/>
    <w:rsid w:val="00297FEB"/>
    <w:rsid w:val="002A0B32"/>
    <w:rsid w:val="002A17EE"/>
    <w:rsid w:val="002B1480"/>
    <w:rsid w:val="002B4AF1"/>
    <w:rsid w:val="002B7A23"/>
    <w:rsid w:val="002B7A7E"/>
    <w:rsid w:val="002C789B"/>
    <w:rsid w:val="002E1385"/>
    <w:rsid w:val="002E63AB"/>
    <w:rsid w:val="002E7980"/>
    <w:rsid w:val="0030430E"/>
    <w:rsid w:val="0030771A"/>
    <w:rsid w:val="00331E24"/>
    <w:rsid w:val="00336012"/>
    <w:rsid w:val="003474A5"/>
    <w:rsid w:val="00350233"/>
    <w:rsid w:val="00350250"/>
    <w:rsid w:val="0035451F"/>
    <w:rsid w:val="0036281D"/>
    <w:rsid w:val="00366224"/>
    <w:rsid w:val="00367D29"/>
    <w:rsid w:val="00371798"/>
    <w:rsid w:val="00371CB1"/>
    <w:rsid w:val="00371F44"/>
    <w:rsid w:val="00383A77"/>
    <w:rsid w:val="00384238"/>
    <w:rsid w:val="003B4597"/>
    <w:rsid w:val="003B69B9"/>
    <w:rsid w:val="003C0271"/>
    <w:rsid w:val="003C176C"/>
    <w:rsid w:val="003C474C"/>
    <w:rsid w:val="003C4852"/>
    <w:rsid w:val="003D1F35"/>
    <w:rsid w:val="003D7D1C"/>
    <w:rsid w:val="003E2873"/>
    <w:rsid w:val="003F1963"/>
    <w:rsid w:val="003F2993"/>
    <w:rsid w:val="00400901"/>
    <w:rsid w:val="00407BD0"/>
    <w:rsid w:val="0041155D"/>
    <w:rsid w:val="00426205"/>
    <w:rsid w:val="00453182"/>
    <w:rsid w:val="00453E7F"/>
    <w:rsid w:val="00456962"/>
    <w:rsid w:val="00461D35"/>
    <w:rsid w:val="00462846"/>
    <w:rsid w:val="00472522"/>
    <w:rsid w:val="0048117A"/>
    <w:rsid w:val="004839FF"/>
    <w:rsid w:val="00491F25"/>
    <w:rsid w:val="004A58BD"/>
    <w:rsid w:val="004A7252"/>
    <w:rsid w:val="004A72CE"/>
    <w:rsid w:val="004B73FA"/>
    <w:rsid w:val="004C2627"/>
    <w:rsid w:val="004C7907"/>
    <w:rsid w:val="004E6B69"/>
    <w:rsid w:val="00503DF5"/>
    <w:rsid w:val="0051240A"/>
    <w:rsid w:val="005124B4"/>
    <w:rsid w:val="00515FA9"/>
    <w:rsid w:val="005264FD"/>
    <w:rsid w:val="00535A54"/>
    <w:rsid w:val="00555DD2"/>
    <w:rsid w:val="005732F8"/>
    <w:rsid w:val="005B0564"/>
    <w:rsid w:val="005B3E8F"/>
    <w:rsid w:val="005C7AF2"/>
    <w:rsid w:val="005D116D"/>
    <w:rsid w:val="005E294D"/>
    <w:rsid w:val="005F2568"/>
    <w:rsid w:val="00600484"/>
    <w:rsid w:val="00602D4D"/>
    <w:rsid w:val="00612AD5"/>
    <w:rsid w:val="00663746"/>
    <w:rsid w:val="00670114"/>
    <w:rsid w:val="00672117"/>
    <w:rsid w:val="00681897"/>
    <w:rsid w:val="00686738"/>
    <w:rsid w:val="00692926"/>
    <w:rsid w:val="006C23DF"/>
    <w:rsid w:val="006C46DB"/>
    <w:rsid w:val="006D2541"/>
    <w:rsid w:val="006E2348"/>
    <w:rsid w:val="006F49E0"/>
    <w:rsid w:val="006F7537"/>
    <w:rsid w:val="00717FDF"/>
    <w:rsid w:val="0072291B"/>
    <w:rsid w:val="00723A32"/>
    <w:rsid w:val="007257AF"/>
    <w:rsid w:val="00725924"/>
    <w:rsid w:val="00725B20"/>
    <w:rsid w:val="00727142"/>
    <w:rsid w:val="0073338D"/>
    <w:rsid w:val="00750481"/>
    <w:rsid w:val="00751264"/>
    <w:rsid w:val="007662D8"/>
    <w:rsid w:val="00781FAA"/>
    <w:rsid w:val="007926B1"/>
    <w:rsid w:val="007B4B36"/>
    <w:rsid w:val="007B6DCF"/>
    <w:rsid w:val="007C4E8D"/>
    <w:rsid w:val="007D1143"/>
    <w:rsid w:val="007E0342"/>
    <w:rsid w:val="007E356D"/>
    <w:rsid w:val="007F12D2"/>
    <w:rsid w:val="00821A0C"/>
    <w:rsid w:val="00831D63"/>
    <w:rsid w:val="00837DB2"/>
    <w:rsid w:val="00837EF5"/>
    <w:rsid w:val="00844F49"/>
    <w:rsid w:val="00846B3A"/>
    <w:rsid w:val="00862C56"/>
    <w:rsid w:val="00883316"/>
    <w:rsid w:val="00883F99"/>
    <w:rsid w:val="008A3FEE"/>
    <w:rsid w:val="008B1E4B"/>
    <w:rsid w:val="008B2073"/>
    <w:rsid w:val="008B4C0F"/>
    <w:rsid w:val="008C15AA"/>
    <w:rsid w:val="008E1274"/>
    <w:rsid w:val="008E5AF5"/>
    <w:rsid w:val="008F13D8"/>
    <w:rsid w:val="008F15B2"/>
    <w:rsid w:val="0090103D"/>
    <w:rsid w:val="009124B2"/>
    <w:rsid w:val="00915524"/>
    <w:rsid w:val="00932F70"/>
    <w:rsid w:val="009360E6"/>
    <w:rsid w:val="00944C75"/>
    <w:rsid w:val="0095144F"/>
    <w:rsid w:val="0095428F"/>
    <w:rsid w:val="00957D13"/>
    <w:rsid w:val="00960312"/>
    <w:rsid w:val="009624FE"/>
    <w:rsid w:val="00974AF9"/>
    <w:rsid w:val="0097611E"/>
    <w:rsid w:val="009867FC"/>
    <w:rsid w:val="0099670F"/>
    <w:rsid w:val="009A5D35"/>
    <w:rsid w:val="009B5CDF"/>
    <w:rsid w:val="009B6E47"/>
    <w:rsid w:val="009B73C1"/>
    <w:rsid w:val="009C0ACF"/>
    <w:rsid w:val="009C3526"/>
    <w:rsid w:val="009D1622"/>
    <w:rsid w:val="009E068D"/>
    <w:rsid w:val="009F1C3C"/>
    <w:rsid w:val="00A03549"/>
    <w:rsid w:val="00A038A9"/>
    <w:rsid w:val="00A0666D"/>
    <w:rsid w:val="00A07B32"/>
    <w:rsid w:val="00A107E0"/>
    <w:rsid w:val="00A1479B"/>
    <w:rsid w:val="00A24AFF"/>
    <w:rsid w:val="00A37E58"/>
    <w:rsid w:val="00A47713"/>
    <w:rsid w:val="00A56430"/>
    <w:rsid w:val="00A661FB"/>
    <w:rsid w:val="00A73407"/>
    <w:rsid w:val="00A84B93"/>
    <w:rsid w:val="00A94EE9"/>
    <w:rsid w:val="00AA592C"/>
    <w:rsid w:val="00AA64A9"/>
    <w:rsid w:val="00AD2EB6"/>
    <w:rsid w:val="00AE1EDF"/>
    <w:rsid w:val="00AE4905"/>
    <w:rsid w:val="00AF429D"/>
    <w:rsid w:val="00B01186"/>
    <w:rsid w:val="00B06701"/>
    <w:rsid w:val="00B22D61"/>
    <w:rsid w:val="00B23FB7"/>
    <w:rsid w:val="00B435BA"/>
    <w:rsid w:val="00B43EB6"/>
    <w:rsid w:val="00B52FA3"/>
    <w:rsid w:val="00B619E9"/>
    <w:rsid w:val="00B73E13"/>
    <w:rsid w:val="00B7716D"/>
    <w:rsid w:val="00B771FB"/>
    <w:rsid w:val="00B82388"/>
    <w:rsid w:val="00BC48A6"/>
    <w:rsid w:val="00BD0E14"/>
    <w:rsid w:val="00BD1083"/>
    <w:rsid w:val="00BD34EF"/>
    <w:rsid w:val="00BF4943"/>
    <w:rsid w:val="00C17CC5"/>
    <w:rsid w:val="00C231F5"/>
    <w:rsid w:val="00C26542"/>
    <w:rsid w:val="00C32A44"/>
    <w:rsid w:val="00C43BA3"/>
    <w:rsid w:val="00C441A2"/>
    <w:rsid w:val="00C54C4C"/>
    <w:rsid w:val="00C61599"/>
    <w:rsid w:val="00C7139E"/>
    <w:rsid w:val="00C8730F"/>
    <w:rsid w:val="00CA76C5"/>
    <w:rsid w:val="00CD343C"/>
    <w:rsid w:val="00CD3B87"/>
    <w:rsid w:val="00CD3FFB"/>
    <w:rsid w:val="00CF6406"/>
    <w:rsid w:val="00CF7FCD"/>
    <w:rsid w:val="00D04B65"/>
    <w:rsid w:val="00D062C4"/>
    <w:rsid w:val="00D126B4"/>
    <w:rsid w:val="00D129C4"/>
    <w:rsid w:val="00D44E89"/>
    <w:rsid w:val="00D47611"/>
    <w:rsid w:val="00D537EF"/>
    <w:rsid w:val="00D5449F"/>
    <w:rsid w:val="00D61E06"/>
    <w:rsid w:val="00D62957"/>
    <w:rsid w:val="00D86763"/>
    <w:rsid w:val="00D93CCA"/>
    <w:rsid w:val="00D962A2"/>
    <w:rsid w:val="00DA6883"/>
    <w:rsid w:val="00DA68D5"/>
    <w:rsid w:val="00DB40EA"/>
    <w:rsid w:val="00DB6D50"/>
    <w:rsid w:val="00DC3724"/>
    <w:rsid w:val="00DD0C95"/>
    <w:rsid w:val="00DD1D69"/>
    <w:rsid w:val="00DD522C"/>
    <w:rsid w:val="00DD6305"/>
    <w:rsid w:val="00DF17C6"/>
    <w:rsid w:val="00E02166"/>
    <w:rsid w:val="00E05063"/>
    <w:rsid w:val="00E357E3"/>
    <w:rsid w:val="00E40113"/>
    <w:rsid w:val="00E50B01"/>
    <w:rsid w:val="00E54427"/>
    <w:rsid w:val="00E55FB7"/>
    <w:rsid w:val="00E6538D"/>
    <w:rsid w:val="00E724C3"/>
    <w:rsid w:val="00E73C2B"/>
    <w:rsid w:val="00E806C9"/>
    <w:rsid w:val="00E83D0B"/>
    <w:rsid w:val="00E85050"/>
    <w:rsid w:val="00E85340"/>
    <w:rsid w:val="00E9641A"/>
    <w:rsid w:val="00EA2CE9"/>
    <w:rsid w:val="00EA4E3C"/>
    <w:rsid w:val="00EA7BE9"/>
    <w:rsid w:val="00EB0235"/>
    <w:rsid w:val="00EC1596"/>
    <w:rsid w:val="00EC1FAD"/>
    <w:rsid w:val="00EC5BB7"/>
    <w:rsid w:val="00EC5D10"/>
    <w:rsid w:val="00EE659E"/>
    <w:rsid w:val="00F01F51"/>
    <w:rsid w:val="00F022CA"/>
    <w:rsid w:val="00F0693E"/>
    <w:rsid w:val="00F15AB2"/>
    <w:rsid w:val="00F25668"/>
    <w:rsid w:val="00F26C0B"/>
    <w:rsid w:val="00F30908"/>
    <w:rsid w:val="00F355CC"/>
    <w:rsid w:val="00F44701"/>
    <w:rsid w:val="00F45BFE"/>
    <w:rsid w:val="00F470FE"/>
    <w:rsid w:val="00F509CE"/>
    <w:rsid w:val="00F512D8"/>
    <w:rsid w:val="00F53383"/>
    <w:rsid w:val="00F93317"/>
    <w:rsid w:val="00FA1A49"/>
    <w:rsid w:val="00FB0C1F"/>
    <w:rsid w:val="00FB6050"/>
    <w:rsid w:val="00FC339F"/>
    <w:rsid w:val="00FC7B0D"/>
    <w:rsid w:val="00FD1794"/>
    <w:rsid w:val="00FD64F5"/>
    <w:rsid w:val="00FE59BE"/>
    <w:rsid w:val="00FF5E57"/>
    <w:rsid w:val="036D59E0"/>
    <w:rsid w:val="053C1CAF"/>
    <w:rsid w:val="0E197759"/>
    <w:rsid w:val="1AB9DE52"/>
    <w:rsid w:val="2AB55217"/>
    <w:rsid w:val="408A8A9B"/>
    <w:rsid w:val="44C33754"/>
    <w:rsid w:val="49B4318A"/>
    <w:rsid w:val="5D33EBC6"/>
    <w:rsid w:val="60C05D88"/>
    <w:rsid w:val="67E5F2F4"/>
    <w:rsid w:val="76015D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C1F65C"/>
  <w15:chartTrackingRefBased/>
  <w15:docId w15:val="{DE7ED092-33F7-42EE-9A7B-E36E423B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E021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E021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E0216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E0216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E0216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E021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E021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E021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E021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E02166"/>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E02166"/>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E02166"/>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E02166"/>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E02166"/>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E02166"/>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E02166"/>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E02166"/>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E02166"/>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E02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E02166"/>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E021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E021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E02166"/>
    <w:pPr>
      <w:spacing w:before="160"/>
      <w:jc w:val="center"/>
    </w:pPr>
    <w:rPr>
      <w:i/>
      <w:iCs/>
      <w:color w:val="404040" w:themeColor="text1" w:themeTint="BF"/>
    </w:rPr>
  </w:style>
  <w:style w:type="character" w:customStyle="1" w:styleId="CitaatChar">
    <w:name w:val="Citaat Char"/>
    <w:basedOn w:val="DefaultParagraphFont"/>
    <w:link w:val="Quote"/>
    <w:uiPriority w:val="29"/>
    <w:rsid w:val="00E02166"/>
    <w:rPr>
      <w:i/>
      <w:iCs/>
      <w:color w:val="404040" w:themeColor="text1" w:themeTint="BF"/>
    </w:rPr>
  </w:style>
  <w:style w:type="paragraph" w:styleId="ListParagraph">
    <w:name w:val="List Paragraph"/>
    <w:basedOn w:val="Normal"/>
    <w:uiPriority w:val="34"/>
    <w:qFormat/>
    <w:rsid w:val="00E02166"/>
    <w:pPr>
      <w:ind w:left="720"/>
      <w:contextualSpacing/>
    </w:pPr>
  </w:style>
  <w:style w:type="character" w:styleId="IntenseEmphasis">
    <w:name w:val="Intense Emphasis"/>
    <w:basedOn w:val="DefaultParagraphFont"/>
    <w:uiPriority w:val="21"/>
    <w:qFormat/>
    <w:rsid w:val="00E02166"/>
    <w:rPr>
      <w:i/>
      <w:iCs/>
      <w:color w:val="2E74B5" w:themeColor="accent1" w:themeShade="BF"/>
    </w:rPr>
  </w:style>
  <w:style w:type="paragraph" w:styleId="IntenseQuote">
    <w:name w:val="Intense Quote"/>
    <w:basedOn w:val="Normal"/>
    <w:next w:val="Normal"/>
    <w:link w:val="DuidelijkcitaatChar"/>
    <w:uiPriority w:val="30"/>
    <w:qFormat/>
    <w:rsid w:val="00E021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E02166"/>
    <w:rPr>
      <w:i/>
      <w:iCs/>
      <w:color w:val="2E74B5" w:themeColor="accent1" w:themeShade="BF"/>
    </w:rPr>
  </w:style>
  <w:style w:type="character" w:styleId="IntenseReference">
    <w:name w:val="Intense Reference"/>
    <w:basedOn w:val="DefaultParagraphFont"/>
    <w:uiPriority w:val="32"/>
    <w:qFormat/>
    <w:rsid w:val="00E02166"/>
    <w:rPr>
      <w:b/>
      <w:bCs/>
      <w:smallCaps/>
      <w:color w:val="2E74B5" w:themeColor="accent1" w:themeShade="BF"/>
      <w:spacing w:val="5"/>
    </w:rPr>
  </w:style>
  <w:style w:type="character" w:styleId="CommentReference">
    <w:name w:val="annotation reference"/>
    <w:basedOn w:val="DefaultParagraphFont"/>
    <w:uiPriority w:val="99"/>
    <w:semiHidden/>
    <w:unhideWhenUsed/>
    <w:rsid w:val="003C474C"/>
    <w:rPr>
      <w:sz w:val="16"/>
      <w:szCs w:val="16"/>
    </w:rPr>
  </w:style>
  <w:style w:type="paragraph" w:styleId="CommentText">
    <w:name w:val="annotation text"/>
    <w:basedOn w:val="Normal"/>
    <w:link w:val="TekstopmerkingChar"/>
    <w:uiPriority w:val="99"/>
    <w:unhideWhenUsed/>
    <w:rsid w:val="003C474C"/>
    <w:pPr>
      <w:spacing w:line="240" w:lineRule="auto"/>
    </w:pPr>
    <w:rPr>
      <w:sz w:val="20"/>
      <w:szCs w:val="20"/>
    </w:rPr>
  </w:style>
  <w:style w:type="character" w:customStyle="1" w:styleId="TekstopmerkingChar">
    <w:name w:val="Tekst opmerking Char"/>
    <w:basedOn w:val="DefaultParagraphFont"/>
    <w:link w:val="CommentText"/>
    <w:uiPriority w:val="99"/>
    <w:rsid w:val="003C474C"/>
    <w:rPr>
      <w:sz w:val="20"/>
      <w:szCs w:val="20"/>
    </w:rPr>
  </w:style>
  <w:style w:type="paragraph" w:styleId="CommentSubject">
    <w:name w:val="annotation subject"/>
    <w:basedOn w:val="CommentText"/>
    <w:next w:val="CommentText"/>
    <w:link w:val="OnderwerpvanopmerkingChar"/>
    <w:uiPriority w:val="99"/>
    <w:semiHidden/>
    <w:unhideWhenUsed/>
    <w:rsid w:val="003C474C"/>
    <w:rPr>
      <w:b/>
      <w:bCs/>
    </w:rPr>
  </w:style>
  <w:style w:type="character" w:customStyle="1" w:styleId="OnderwerpvanopmerkingChar">
    <w:name w:val="Onderwerp van opmerking Char"/>
    <w:basedOn w:val="TekstopmerkingChar"/>
    <w:link w:val="CommentSubject"/>
    <w:uiPriority w:val="99"/>
    <w:semiHidden/>
    <w:rsid w:val="003C474C"/>
    <w:rPr>
      <w:b/>
      <w:bCs/>
      <w:sz w:val="20"/>
      <w:szCs w:val="20"/>
    </w:rPr>
  </w:style>
  <w:style w:type="paragraph" w:styleId="Revision">
    <w:name w:val="Revision"/>
    <w:hidden/>
    <w:uiPriority w:val="99"/>
    <w:semiHidden/>
    <w:rsid w:val="00A47713"/>
    <w:pPr>
      <w:spacing w:after="0" w:line="240" w:lineRule="auto"/>
    </w:pPr>
  </w:style>
  <w:style w:type="paragraph" w:styleId="FootnoteText">
    <w:name w:val="footnote text"/>
    <w:basedOn w:val="Normal"/>
    <w:link w:val="VoetnoottekstChar"/>
    <w:uiPriority w:val="99"/>
    <w:semiHidden/>
    <w:unhideWhenUsed/>
    <w:rsid w:val="00BD34EF"/>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BD34EF"/>
    <w:rPr>
      <w:sz w:val="20"/>
      <w:szCs w:val="20"/>
    </w:rPr>
  </w:style>
  <w:style w:type="character" w:styleId="FootnoteReference">
    <w:name w:val="footnote reference"/>
    <w:basedOn w:val="DefaultParagraphFont"/>
    <w:uiPriority w:val="99"/>
    <w:semiHidden/>
    <w:unhideWhenUsed/>
    <w:rsid w:val="00BD34EF"/>
    <w:rPr>
      <w:vertAlign w:val="superscript"/>
    </w:rPr>
  </w:style>
  <w:style w:type="character" w:styleId="Hyperlink">
    <w:name w:val="Hyperlink"/>
    <w:basedOn w:val="DefaultParagraphFont"/>
    <w:uiPriority w:val="99"/>
    <w:unhideWhenUsed/>
    <w:rsid w:val="000307B4"/>
    <w:rPr>
      <w:color w:val="0563C1" w:themeColor="hyperlink"/>
      <w:u w:val="single"/>
    </w:rPr>
  </w:style>
  <w:style w:type="character" w:styleId="UnresolvedMention">
    <w:name w:val="Unresolved Mention"/>
    <w:basedOn w:val="DefaultParagraphFont"/>
    <w:uiPriority w:val="99"/>
    <w:semiHidden/>
    <w:unhideWhenUsed/>
    <w:rsid w:val="000307B4"/>
    <w:rPr>
      <w:color w:val="605E5C"/>
      <w:shd w:val="clear" w:color="auto" w:fill="E1DFDD"/>
    </w:rPr>
  </w:style>
  <w:style w:type="table" w:styleId="GridTable4Accent1">
    <w:name w:val="Grid Table 4 Accent 1"/>
    <w:basedOn w:val="TableNormal"/>
    <w:uiPriority w:val="49"/>
    <w:rsid w:val="00157342"/>
    <w:pPr>
      <w:spacing w:after="0" w:line="240" w:lineRule="auto"/>
    </w:pPr>
    <w:rPr>
      <w:rFonts w:asciiTheme="minorHAnsi" w:hAnsiTheme="minorHAnsi"/>
      <w:sz w:val="22"/>
      <w:lang w:val="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KoptekstChar"/>
    <w:uiPriority w:val="99"/>
    <w:unhideWhenUsed/>
    <w:rsid w:val="008B2073"/>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8B2073"/>
  </w:style>
  <w:style w:type="paragraph" w:styleId="Footer">
    <w:name w:val="footer"/>
    <w:basedOn w:val="Normal"/>
    <w:link w:val="VoettekstChar"/>
    <w:uiPriority w:val="99"/>
    <w:unhideWhenUsed/>
    <w:rsid w:val="008B2073"/>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8B2073"/>
  </w:style>
  <w:style w:type="table" w:styleId="TableGrid">
    <w:name w:val="Table Grid"/>
    <w:basedOn w:val="TableNormal"/>
    <w:uiPriority w:val="59"/>
    <w:rsid w:val="003B69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3B69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astertabel1licht-Accent11">
    <w:name w:val="Rastertabel 1 licht - Accent 11"/>
    <w:basedOn w:val="TableNormal"/>
    <w:next w:val="GridTable1LightAccent1"/>
    <w:uiPriority w:val="46"/>
    <w:rsid w:val="009E068D"/>
    <w:pPr>
      <w:spacing w:after="0" w:line="240" w:lineRule="auto"/>
    </w:pPr>
    <w:rPr>
      <w:rFonts w:eastAsia="Calibri" w:cs="Times New Roman"/>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C1FAD"/>
    <w:rPr>
      <w:color w:val="954F72" w:themeColor="followedHyperlink"/>
      <w:u w:val="single"/>
    </w:rPr>
  </w:style>
  <w:style w:type="table" w:styleId="GridTable6ColorfulAccent5">
    <w:name w:val="Grid Table 6 Colorful Accent 5"/>
    <w:basedOn w:val="TableNormal"/>
    <w:uiPriority w:val="51"/>
    <w:rsid w:val="00C231F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5/07/04/nederlandse-digitaliseringsstrategie" TargetMode="External" /><Relationship Id="rId2" Type="http://schemas.openxmlformats.org/officeDocument/2006/relationships/hyperlink" Target="https://www.tweedekamer.nl/kamerstukken/moties/detail?id=2025Z13703&amp;did=2025D31054"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f998a4-0a8d-4cf0-8b57-1bbd8d13bed2}" enabled="0" method="" siteId="{1df998a4-0a8d-4cf0-8b57-1bbd8d13bed2}" removed="1"/>
</clbl:labelList>
</file>

<file path=docProps/app.xml><?xml version="1.0" encoding="utf-8"?>
<ap:Properties xmlns:vt="http://schemas.openxmlformats.org/officeDocument/2006/docPropsVTypes" xmlns:ap="http://schemas.openxmlformats.org/officeDocument/2006/extended-properties">
  <ap:Pages>4</ap:Pages>
  <ap:Words>2244</ap:Words>
  <ap:Characters>12343</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2025-11-17T16:20:00.0000000Z</dcterms:created>
  <dcterms:modified xsi:type="dcterms:W3CDTF">2025-11-17T16:20:00.0000000Z</dcterms:modified>
  <dc:creator/>
  <lastModifiedBy/>
  <dc:description>------------------------</dc:description>
  <dc:subject/>
  <dc:title/>
  <keywords/>
  <version/>
  <category/>
</coreProperties>
</file>