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151A" w:rsidR="007D151A" w:rsidRDefault="00653EA3" w14:paraId="0DDA1448" w14:textId="0B34458F">
      <w:pPr>
        <w:rPr>
          <w:rFonts w:ascii="Calibri" w:hAnsi="Calibri" w:cs="Calibri"/>
        </w:rPr>
      </w:pPr>
      <w:r w:rsidRPr="007D151A">
        <w:rPr>
          <w:rFonts w:ascii="Calibri" w:hAnsi="Calibri" w:cs="Calibri"/>
        </w:rPr>
        <w:t>31</w:t>
      </w:r>
      <w:r w:rsidRPr="007D151A" w:rsidR="007D151A">
        <w:rPr>
          <w:rFonts w:ascii="Calibri" w:hAnsi="Calibri" w:cs="Calibri"/>
        </w:rPr>
        <w:t xml:space="preserve"> </w:t>
      </w:r>
      <w:r w:rsidRPr="007D151A">
        <w:rPr>
          <w:rFonts w:ascii="Calibri" w:hAnsi="Calibri" w:cs="Calibri"/>
        </w:rPr>
        <w:t>532</w:t>
      </w:r>
      <w:r w:rsidRPr="007D151A" w:rsidR="007D151A">
        <w:rPr>
          <w:rFonts w:ascii="Calibri" w:hAnsi="Calibri" w:cs="Calibri"/>
        </w:rPr>
        <w:tab/>
      </w:r>
      <w:r w:rsidRPr="007D151A" w:rsidR="007D151A">
        <w:rPr>
          <w:rFonts w:ascii="Calibri" w:hAnsi="Calibri" w:cs="Calibri"/>
        </w:rPr>
        <w:tab/>
        <w:t xml:space="preserve">Voedingsbeleid </w:t>
      </w:r>
    </w:p>
    <w:p w:rsidRPr="007D151A" w:rsidR="007D151A" w:rsidRDefault="007D151A" w14:paraId="229B8061" w14:textId="6F5D2649">
      <w:pPr>
        <w:rPr>
          <w:rFonts w:ascii="Calibri" w:hAnsi="Calibri" w:cs="Calibri"/>
        </w:rPr>
      </w:pPr>
      <w:r w:rsidRPr="007D151A">
        <w:rPr>
          <w:rFonts w:ascii="Calibri" w:hAnsi="Calibri" w:cs="Calibri"/>
        </w:rPr>
        <w:t>32</w:t>
      </w:r>
      <w:r w:rsidRPr="007D151A">
        <w:rPr>
          <w:rFonts w:ascii="Calibri" w:hAnsi="Calibri" w:cs="Calibri"/>
        </w:rPr>
        <w:t xml:space="preserve"> </w:t>
      </w:r>
      <w:r w:rsidRPr="007D151A">
        <w:rPr>
          <w:rFonts w:ascii="Calibri" w:hAnsi="Calibri" w:cs="Calibri"/>
        </w:rPr>
        <w:t>793</w:t>
      </w:r>
      <w:r w:rsidRPr="007D151A">
        <w:rPr>
          <w:rFonts w:ascii="Calibri" w:hAnsi="Calibri" w:cs="Calibri"/>
        </w:rPr>
        <w:tab/>
      </w:r>
      <w:r w:rsidRPr="007D151A">
        <w:rPr>
          <w:rFonts w:ascii="Calibri" w:hAnsi="Calibri" w:cs="Calibri"/>
        </w:rPr>
        <w:tab/>
        <w:t xml:space="preserve">Preventief gezondheidsbeleid </w:t>
      </w:r>
    </w:p>
    <w:p w:rsidRPr="007D151A" w:rsidR="007D151A" w:rsidP="007D151A" w:rsidRDefault="007D151A" w14:paraId="2CB5E13C" w14:textId="6392A638">
      <w:pPr>
        <w:ind w:left="1416" w:hanging="1410"/>
        <w:rPr>
          <w:rFonts w:ascii="Calibri" w:hAnsi="Calibri" w:cs="Calibri"/>
        </w:rPr>
      </w:pPr>
      <w:r w:rsidRPr="007D151A">
        <w:rPr>
          <w:rFonts w:ascii="Calibri" w:hAnsi="Calibri" w:cs="Calibri"/>
        </w:rPr>
        <w:t xml:space="preserve">Nr. </w:t>
      </w:r>
      <w:r w:rsidRPr="007D151A" w:rsidR="00653EA3">
        <w:rPr>
          <w:rFonts w:ascii="Calibri" w:hAnsi="Calibri" w:cs="Calibri"/>
        </w:rPr>
        <w:t>301</w:t>
      </w:r>
      <w:r w:rsidRPr="007D151A">
        <w:rPr>
          <w:rFonts w:ascii="Calibri" w:hAnsi="Calibri" w:cs="Calibri"/>
        </w:rPr>
        <w:tab/>
        <w:t>Brief van de staatssecretaris van Volksgezondheid, Welzijn en Sport</w:t>
      </w:r>
    </w:p>
    <w:p w:rsidRPr="007D151A" w:rsidR="00653EA3" w:rsidP="00653EA3" w:rsidRDefault="007D151A" w14:paraId="7E0684BE" w14:textId="7F0FD3E1">
      <w:pPr>
        <w:rPr>
          <w:rFonts w:ascii="Calibri" w:hAnsi="Calibri" w:cs="Calibri"/>
        </w:rPr>
      </w:pPr>
      <w:r w:rsidRPr="007D151A">
        <w:rPr>
          <w:rFonts w:ascii="Calibri" w:hAnsi="Calibri" w:cs="Calibri"/>
        </w:rPr>
        <w:t>Aan de Voorzitter van de Tweede Kamer der Staten-Generaal</w:t>
      </w:r>
    </w:p>
    <w:p w:rsidRPr="007D151A" w:rsidR="007D151A" w:rsidP="007D151A" w:rsidRDefault="007D151A" w14:paraId="48E05CCC" w14:textId="73B53EB9">
      <w:pPr>
        <w:spacing w:after="120"/>
        <w:rPr>
          <w:rFonts w:ascii="Calibri" w:hAnsi="Calibri" w:cs="Calibri"/>
        </w:rPr>
      </w:pPr>
      <w:r w:rsidRPr="007D151A">
        <w:rPr>
          <w:rFonts w:ascii="Calibri" w:hAnsi="Calibri" w:cs="Calibri"/>
        </w:rPr>
        <w:t>Den Haag, 18 november 2025</w:t>
      </w:r>
    </w:p>
    <w:p w:rsidRPr="007D151A" w:rsidR="00653EA3" w:rsidP="007D151A" w:rsidRDefault="00653EA3" w14:paraId="601E36D9" w14:textId="77777777">
      <w:pPr>
        <w:pStyle w:val="Geenafstand"/>
      </w:pPr>
    </w:p>
    <w:p w:rsidRPr="007D151A" w:rsidR="00653EA3" w:rsidP="007D151A" w:rsidRDefault="00653EA3" w14:paraId="3FFD06C2" w14:textId="5B1F7026">
      <w:pPr>
        <w:spacing w:after="0"/>
        <w:rPr>
          <w:rFonts w:ascii="Calibri" w:hAnsi="Calibri" w:cs="Calibri"/>
        </w:rPr>
      </w:pPr>
      <w:r w:rsidRPr="007D151A">
        <w:rPr>
          <w:rFonts w:ascii="Calibri" w:hAnsi="Calibri" w:cs="Calibri"/>
        </w:rPr>
        <w:t>Bijna in alle landen in Europa is men bezig met leefstijlpreventie-aanpakken, o.a. gericht op het tegengaan van obesitas. In het Verenigd Koninkrijk (VK) is per 1 oktober 2025 nieuwe wetgeving van kracht die kwantumkortingen op producten met een hoog suiker-, zout-, en vetgehalte (HFFS) in supermarkten wettelijk inperkt in de strijd tegen overgewicht en obesitas.</w:t>
      </w:r>
      <w:r w:rsidRPr="007D151A">
        <w:rPr>
          <w:rStyle w:val="Voetnootmarkering"/>
          <w:rFonts w:ascii="Calibri" w:hAnsi="Calibri" w:cs="Calibri"/>
        </w:rPr>
        <w:footnoteReference w:id="1"/>
      </w:r>
      <w:r w:rsidRPr="007D151A">
        <w:rPr>
          <w:rFonts w:ascii="Calibri" w:hAnsi="Calibri" w:cs="Calibri"/>
        </w:rPr>
        <w:t xml:space="preserve"> Enkele supermarktketens in het VK hebben in aanloop naar deze wetgeving, kwantumkorting al afgeschaft. Het is nog te vroeg om iets te kunnen zeggen over de effecten op de volksgezondheid. Andere ons omringende landen hebben eerder vergelijkbare acties ondernomen, Zo is er in Frankrijk sinds 1 januari 2019 wetgeving van kracht die zogenaamde 'superpromoties' op voedingsproducten beperkt.</w:t>
      </w:r>
      <w:r w:rsidRPr="007D151A">
        <w:rPr>
          <w:rStyle w:val="Voetnootmarkering"/>
          <w:rFonts w:ascii="Calibri" w:hAnsi="Calibri" w:cs="Calibri"/>
        </w:rPr>
        <w:footnoteReference w:id="2"/>
      </w:r>
      <w:r w:rsidRPr="007D151A">
        <w:rPr>
          <w:rFonts w:ascii="Calibri" w:hAnsi="Calibri" w:cs="Calibri"/>
        </w:rPr>
        <w:t xml:space="preserve"> Deze maatregel beoogt primair een eerlijkere verhouding tussen producenten te waarborgen en  voedselverspilling tegen te gaan. </w:t>
      </w:r>
    </w:p>
    <w:p w:rsidRPr="007D151A" w:rsidR="00653EA3" w:rsidP="007D151A" w:rsidRDefault="00653EA3" w14:paraId="68F91F69" w14:textId="77777777">
      <w:pPr>
        <w:pStyle w:val="Geenafstand"/>
      </w:pPr>
    </w:p>
    <w:p w:rsidRPr="007D151A" w:rsidR="00653EA3" w:rsidP="007D151A" w:rsidRDefault="00653EA3" w14:paraId="3836DE4E" w14:textId="77777777">
      <w:pPr>
        <w:spacing w:after="0"/>
        <w:rPr>
          <w:rFonts w:ascii="Calibri" w:hAnsi="Calibri" w:cs="Calibri"/>
        </w:rPr>
      </w:pPr>
      <w:r w:rsidRPr="007D151A">
        <w:rPr>
          <w:rFonts w:ascii="Calibri" w:hAnsi="Calibri" w:cs="Calibri"/>
        </w:rPr>
        <w:t>In opdracht van het ministerie van VWS heeft onderzoeksbureau SEO een onderzoek uitgevoerd naar de inzet van kwantumkorting door supermarkten en de impact die dit heeft op uitgaven aan eten en drinken. Met deze brief bied ik u het onderzoeksrapport van SEO “De tweede voor de halve prijs” aan.</w:t>
      </w:r>
    </w:p>
    <w:p w:rsidRPr="007D151A" w:rsidR="00653EA3" w:rsidP="007D151A" w:rsidRDefault="00653EA3" w14:paraId="2BFB240A" w14:textId="77777777">
      <w:pPr>
        <w:pStyle w:val="Geenafstand"/>
      </w:pPr>
    </w:p>
    <w:p w:rsidRPr="007D151A" w:rsidR="00653EA3" w:rsidP="00653EA3" w:rsidRDefault="00653EA3" w14:paraId="5CA254F8" w14:textId="77777777">
      <w:pPr>
        <w:rPr>
          <w:rFonts w:ascii="Calibri" w:hAnsi="Calibri" w:cs="Calibri"/>
        </w:rPr>
      </w:pPr>
      <w:r w:rsidRPr="007D151A">
        <w:rPr>
          <w:rFonts w:ascii="Calibri" w:hAnsi="Calibri" w:cs="Calibri"/>
        </w:rPr>
        <w:t xml:space="preserve">Het rapport beschrijft dat: </w:t>
      </w:r>
    </w:p>
    <w:p w:rsidRPr="007D151A" w:rsidR="00653EA3" w:rsidP="00653EA3" w:rsidRDefault="00653EA3" w14:paraId="5AA296EB"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7D151A">
        <w:rPr>
          <w:rFonts w:ascii="Calibri" w:hAnsi="Calibri" w:cs="Calibri"/>
        </w:rPr>
        <w:t xml:space="preserve">Consumenten relatief vaak korting krijgen op ongezonde producten; en </w:t>
      </w:r>
    </w:p>
    <w:p w:rsidRPr="007D151A" w:rsidR="00653EA3" w:rsidP="00653EA3" w:rsidRDefault="00653EA3" w14:paraId="2A8493A2"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7D151A">
        <w:rPr>
          <w:rFonts w:ascii="Calibri" w:hAnsi="Calibri" w:cs="Calibri"/>
        </w:rPr>
        <w:t xml:space="preserve">Consumenten door kwantumkorting uiteindelijk meer kopen van ongezonde producten zoals frisdrank, chips en ijs en hierdoor uiteindelijk minder besparen. </w:t>
      </w:r>
    </w:p>
    <w:p w:rsidRPr="007D151A" w:rsidR="00653EA3" w:rsidP="00653EA3" w:rsidRDefault="00653EA3" w14:paraId="672843D2" w14:textId="1C9CAFF0">
      <w:pPr>
        <w:spacing w:line="240" w:lineRule="auto"/>
        <w:rPr>
          <w:rFonts w:ascii="Calibri" w:hAnsi="Calibri" w:cs="Calibri"/>
        </w:rPr>
      </w:pPr>
    </w:p>
    <w:p w:rsidRPr="007D151A" w:rsidR="00653EA3" w:rsidP="007D151A" w:rsidRDefault="00653EA3" w14:paraId="0EBEB39F" w14:textId="77777777">
      <w:pPr>
        <w:spacing w:after="0"/>
        <w:rPr>
          <w:rFonts w:ascii="Calibri" w:hAnsi="Calibri" w:cs="Calibri"/>
        </w:rPr>
      </w:pPr>
      <w:r w:rsidRPr="007D151A">
        <w:rPr>
          <w:rFonts w:ascii="Calibri" w:hAnsi="Calibri" w:cs="Calibri"/>
        </w:rPr>
        <w:t>Wat deze bevindingen betekenen in de relatie tot leefstijl en de aanpak tegen obesitas is geen onderdeel van dit onderzoek. Of maatregelen vergelijkbaar met die in andere landen, zoals het VK, een plek hebben in de Nederlandse aanpak voor een gezond gewicht laat ik aan een volgend kabinet.</w:t>
      </w:r>
    </w:p>
    <w:p w:rsidRPr="007D151A" w:rsidR="007D151A" w:rsidP="007D151A" w:rsidRDefault="007D151A" w14:paraId="016C2853" w14:textId="77777777">
      <w:pPr>
        <w:pStyle w:val="Geenafstand"/>
        <w:rPr>
          <w:noProof/>
        </w:rPr>
      </w:pPr>
    </w:p>
    <w:p w:rsidRPr="007D151A" w:rsidR="007D151A" w:rsidP="007D151A" w:rsidRDefault="007D151A" w14:paraId="21A2D6A3" w14:textId="2D5396CD">
      <w:pPr>
        <w:pStyle w:val="Geenafstand"/>
        <w:rPr>
          <w:rFonts w:ascii="Calibri" w:hAnsi="Calibri" w:cs="Calibri"/>
        </w:rPr>
      </w:pPr>
      <w:r w:rsidRPr="007D151A">
        <w:rPr>
          <w:rFonts w:ascii="Calibri" w:hAnsi="Calibri" w:cs="Calibri"/>
          <w:noProof/>
        </w:rPr>
        <w:t xml:space="preserve">De </w:t>
      </w:r>
      <w:r w:rsidRPr="007D151A">
        <w:rPr>
          <w:rFonts w:ascii="Calibri" w:hAnsi="Calibri" w:cs="Calibri"/>
        </w:rPr>
        <w:t>staatssecretaris van Volksgezondheid, Welzijn en Sport,</w:t>
      </w:r>
    </w:p>
    <w:p w:rsidRPr="007D151A" w:rsidR="00653EA3" w:rsidP="007D151A" w:rsidRDefault="00653EA3" w14:paraId="30F085D2" w14:textId="78CC5179">
      <w:pPr>
        <w:pStyle w:val="Geenafstand"/>
        <w:rPr>
          <w:rFonts w:ascii="Calibri" w:hAnsi="Calibri" w:cs="Calibri"/>
          <w:noProof/>
        </w:rPr>
      </w:pPr>
      <w:r w:rsidRPr="007D151A">
        <w:rPr>
          <w:rFonts w:ascii="Calibri" w:hAnsi="Calibri" w:cs="Calibri"/>
        </w:rPr>
        <w:t>J</w:t>
      </w:r>
      <w:r w:rsidRPr="007D151A" w:rsidR="007D151A">
        <w:rPr>
          <w:rFonts w:ascii="Calibri" w:hAnsi="Calibri" w:cs="Calibri"/>
        </w:rPr>
        <w:t>.</w:t>
      </w:r>
      <w:r w:rsidRPr="007D151A">
        <w:rPr>
          <w:rFonts w:ascii="Calibri" w:hAnsi="Calibri" w:cs="Calibri"/>
        </w:rPr>
        <w:t>Z.C.M. Tielen</w:t>
      </w:r>
    </w:p>
    <w:p w:rsidRPr="007D151A" w:rsidR="00E6311E" w:rsidRDefault="00E6311E" w14:paraId="164A9E1C" w14:textId="77777777">
      <w:pPr>
        <w:rPr>
          <w:rFonts w:ascii="Calibri" w:hAnsi="Calibri" w:cs="Calibri"/>
        </w:rPr>
      </w:pPr>
    </w:p>
    <w:sectPr w:rsidRPr="007D151A" w:rsidR="00E6311E" w:rsidSect="00030348">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B873" w14:textId="77777777" w:rsidR="00653EA3" w:rsidRDefault="00653EA3" w:rsidP="00653EA3">
      <w:pPr>
        <w:spacing w:after="0" w:line="240" w:lineRule="auto"/>
      </w:pPr>
      <w:r>
        <w:separator/>
      </w:r>
    </w:p>
  </w:endnote>
  <w:endnote w:type="continuationSeparator" w:id="0">
    <w:p w14:paraId="1586A9B8" w14:textId="77777777" w:rsidR="00653EA3" w:rsidRDefault="00653EA3" w:rsidP="0065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libri"/>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67D4" w14:textId="77777777" w:rsidR="00653EA3" w:rsidRPr="00653EA3" w:rsidRDefault="00653EA3" w:rsidP="00653E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D398" w14:textId="77777777" w:rsidR="00653EA3" w:rsidRPr="00653EA3" w:rsidRDefault="00653EA3" w:rsidP="00653E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279F" w14:textId="77777777" w:rsidR="00653EA3" w:rsidRPr="00653EA3" w:rsidRDefault="00653EA3" w:rsidP="00653E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E8B1" w14:textId="77777777" w:rsidR="00653EA3" w:rsidRDefault="00653EA3" w:rsidP="00653EA3">
      <w:pPr>
        <w:spacing w:after="0" w:line="240" w:lineRule="auto"/>
      </w:pPr>
      <w:r>
        <w:separator/>
      </w:r>
    </w:p>
  </w:footnote>
  <w:footnote w:type="continuationSeparator" w:id="0">
    <w:p w14:paraId="57EA1955" w14:textId="77777777" w:rsidR="00653EA3" w:rsidRDefault="00653EA3" w:rsidP="00653EA3">
      <w:pPr>
        <w:spacing w:after="0" w:line="240" w:lineRule="auto"/>
      </w:pPr>
      <w:r>
        <w:continuationSeparator/>
      </w:r>
    </w:p>
  </w:footnote>
  <w:footnote w:id="1">
    <w:p w14:paraId="55413E71" w14:textId="77777777" w:rsidR="00653EA3" w:rsidRPr="007D151A" w:rsidRDefault="00653EA3" w:rsidP="00653EA3">
      <w:pPr>
        <w:pStyle w:val="Voetnoottekst"/>
        <w:rPr>
          <w:rFonts w:ascii="Calibri" w:hAnsi="Calibri" w:cs="Calibri"/>
          <w:szCs w:val="20"/>
          <w:lang w:val="en-US"/>
        </w:rPr>
      </w:pPr>
      <w:r w:rsidRPr="007D151A">
        <w:rPr>
          <w:rStyle w:val="Voetnootmarkering"/>
          <w:rFonts w:ascii="Calibri" w:hAnsi="Calibri" w:cs="Calibri"/>
          <w:szCs w:val="20"/>
        </w:rPr>
        <w:footnoteRef/>
      </w:r>
      <w:r w:rsidRPr="007D151A">
        <w:rPr>
          <w:rFonts w:ascii="Calibri" w:hAnsi="Calibri" w:cs="Calibri"/>
          <w:szCs w:val="20"/>
          <w:lang w:val="en-US"/>
        </w:rPr>
        <w:t xml:space="preserve"> </w:t>
      </w:r>
      <w:hyperlink r:id="rId1" w:history="1">
        <w:r w:rsidRPr="007D151A">
          <w:rPr>
            <w:rStyle w:val="Hyperlink"/>
            <w:rFonts w:ascii="Calibri" w:hAnsi="Calibri" w:cs="Calibri"/>
            <w:szCs w:val="20"/>
            <w:lang w:val="en-US"/>
          </w:rPr>
          <w:t>Restricting promotions of products high in fat, sugar or salt by location and by volume price: implementation guidance - GOV.UK</w:t>
        </w:r>
      </w:hyperlink>
    </w:p>
  </w:footnote>
  <w:footnote w:id="2">
    <w:p w14:paraId="43055C61" w14:textId="77777777" w:rsidR="00653EA3" w:rsidRPr="007D151A" w:rsidRDefault="00653EA3" w:rsidP="00653EA3">
      <w:pPr>
        <w:pStyle w:val="Voetnoottekst"/>
        <w:rPr>
          <w:rFonts w:ascii="Calibri" w:hAnsi="Calibri" w:cs="Calibri"/>
          <w:szCs w:val="20"/>
          <w:lang w:val="en-US"/>
        </w:rPr>
      </w:pPr>
      <w:r w:rsidRPr="007D151A">
        <w:rPr>
          <w:rStyle w:val="Voetnootmarkering"/>
          <w:rFonts w:ascii="Calibri" w:hAnsi="Calibri" w:cs="Calibri"/>
          <w:szCs w:val="20"/>
        </w:rPr>
        <w:footnoteRef/>
      </w:r>
      <w:r w:rsidRPr="007D151A">
        <w:rPr>
          <w:rFonts w:ascii="Calibri" w:hAnsi="Calibri" w:cs="Calibri"/>
          <w:szCs w:val="20"/>
          <w:lang w:val="en-US"/>
        </w:rPr>
        <w:t xml:space="preserve"> </w:t>
      </w:r>
      <w:hyperlink r:id="rId2" w:history="1">
        <w:r w:rsidRPr="007D151A">
          <w:rPr>
            <w:rStyle w:val="Hyperlink"/>
            <w:rFonts w:ascii="Calibri" w:hAnsi="Calibri" w:cs="Calibri"/>
            <w:szCs w:val="20"/>
            <w:lang w:val="en-US"/>
          </w:rPr>
          <w:t>https://www.legifrance.gouv.fr/jorf/id/JORFTEXT000047377284</w:t>
        </w:r>
      </w:hyperlink>
      <w:r w:rsidRPr="007D151A">
        <w:rPr>
          <w:rFonts w:ascii="Calibri" w:hAnsi="Calibri" w:cs="Calibri"/>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1631" w14:textId="77777777" w:rsidR="00653EA3" w:rsidRPr="00653EA3" w:rsidRDefault="00653EA3" w:rsidP="00653E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FAE4" w14:textId="77777777" w:rsidR="00653EA3" w:rsidRPr="00653EA3" w:rsidRDefault="00653EA3" w:rsidP="00653E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0766" w14:textId="77777777" w:rsidR="00653EA3" w:rsidRPr="00653EA3" w:rsidRDefault="00653EA3" w:rsidP="00653E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44EF5"/>
    <w:multiLevelType w:val="hybridMultilevel"/>
    <w:tmpl w:val="C6B6C2D8"/>
    <w:lvl w:ilvl="0" w:tplc="99585B1A">
      <w:start w:val="1"/>
      <w:numFmt w:val="decimal"/>
      <w:lvlText w:val="%1."/>
      <w:lvlJc w:val="left"/>
      <w:pPr>
        <w:ind w:left="360" w:hanging="360"/>
      </w:pPr>
    </w:lvl>
    <w:lvl w:ilvl="1" w:tplc="7A6C0E24" w:tentative="1">
      <w:start w:val="1"/>
      <w:numFmt w:val="lowerLetter"/>
      <w:lvlText w:val="%2."/>
      <w:lvlJc w:val="left"/>
      <w:pPr>
        <w:ind w:left="1080" w:hanging="360"/>
      </w:pPr>
    </w:lvl>
    <w:lvl w:ilvl="2" w:tplc="FABEEE5C" w:tentative="1">
      <w:start w:val="1"/>
      <w:numFmt w:val="lowerRoman"/>
      <w:lvlText w:val="%3."/>
      <w:lvlJc w:val="right"/>
      <w:pPr>
        <w:ind w:left="1800" w:hanging="180"/>
      </w:pPr>
    </w:lvl>
    <w:lvl w:ilvl="3" w:tplc="0046D052" w:tentative="1">
      <w:start w:val="1"/>
      <w:numFmt w:val="decimal"/>
      <w:lvlText w:val="%4."/>
      <w:lvlJc w:val="left"/>
      <w:pPr>
        <w:ind w:left="2520" w:hanging="360"/>
      </w:pPr>
    </w:lvl>
    <w:lvl w:ilvl="4" w:tplc="85EC5160" w:tentative="1">
      <w:start w:val="1"/>
      <w:numFmt w:val="lowerLetter"/>
      <w:lvlText w:val="%5."/>
      <w:lvlJc w:val="left"/>
      <w:pPr>
        <w:ind w:left="3240" w:hanging="360"/>
      </w:pPr>
    </w:lvl>
    <w:lvl w:ilvl="5" w:tplc="670807EA" w:tentative="1">
      <w:start w:val="1"/>
      <w:numFmt w:val="lowerRoman"/>
      <w:lvlText w:val="%6."/>
      <w:lvlJc w:val="right"/>
      <w:pPr>
        <w:ind w:left="3960" w:hanging="180"/>
      </w:pPr>
    </w:lvl>
    <w:lvl w:ilvl="6" w:tplc="FACABB8E" w:tentative="1">
      <w:start w:val="1"/>
      <w:numFmt w:val="decimal"/>
      <w:lvlText w:val="%7."/>
      <w:lvlJc w:val="left"/>
      <w:pPr>
        <w:ind w:left="4680" w:hanging="360"/>
      </w:pPr>
    </w:lvl>
    <w:lvl w:ilvl="7" w:tplc="A68A6CD2" w:tentative="1">
      <w:start w:val="1"/>
      <w:numFmt w:val="lowerLetter"/>
      <w:lvlText w:val="%8."/>
      <w:lvlJc w:val="left"/>
      <w:pPr>
        <w:ind w:left="5400" w:hanging="360"/>
      </w:pPr>
    </w:lvl>
    <w:lvl w:ilvl="8" w:tplc="27BA9686" w:tentative="1">
      <w:start w:val="1"/>
      <w:numFmt w:val="lowerRoman"/>
      <w:lvlText w:val="%9."/>
      <w:lvlJc w:val="right"/>
      <w:pPr>
        <w:ind w:left="6120" w:hanging="180"/>
      </w:pPr>
    </w:lvl>
  </w:abstractNum>
  <w:num w:numId="1" w16cid:durableId="155434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A3"/>
    <w:rsid w:val="00030348"/>
    <w:rsid w:val="0025703A"/>
    <w:rsid w:val="002A6CAF"/>
    <w:rsid w:val="00653EA3"/>
    <w:rsid w:val="007D151A"/>
    <w:rsid w:val="00C57495"/>
    <w:rsid w:val="00E6311E"/>
    <w:rsid w:val="00F90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B82E"/>
  <w15:chartTrackingRefBased/>
  <w15:docId w15:val="{62FE83CE-05CE-4BBE-AC99-18E84AB1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3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3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3E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3E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3E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3E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3E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3E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3E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3E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3E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3E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3E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3E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3E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3E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3E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3EA3"/>
    <w:rPr>
      <w:rFonts w:eastAsiaTheme="majorEastAsia" w:cstheme="majorBidi"/>
      <w:color w:val="272727" w:themeColor="text1" w:themeTint="D8"/>
    </w:rPr>
  </w:style>
  <w:style w:type="paragraph" w:styleId="Titel">
    <w:name w:val="Title"/>
    <w:basedOn w:val="Standaard"/>
    <w:next w:val="Standaard"/>
    <w:link w:val="TitelChar"/>
    <w:uiPriority w:val="10"/>
    <w:qFormat/>
    <w:rsid w:val="00653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3E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3E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3E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3E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3EA3"/>
    <w:rPr>
      <w:i/>
      <w:iCs/>
      <w:color w:val="404040" w:themeColor="text1" w:themeTint="BF"/>
    </w:rPr>
  </w:style>
  <w:style w:type="paragraph" w:styleId="Lijstalinea">
    <w:name w:val="List Paragraph"/>
    <w:basedOn w:val="Standaard"/>
    <w:uiPriority w:val="34"/>
    <w:qFormat/>
    <w:rsid w:val="00653EA3"/>
    <w:pPr>
      <w:ind w:left="720"/>
      <w:contextualSpacing/>
    </w:pPr>
  </w:style>
  <w:style w:type="character" w:styleId="Intensievebenadrukking">
    <w:name w:val="Intense Emphasis"/>
    <w:basedOn w:val="Standaardalinea-lettertype"/>
    <w:uiPriority w:val="21"/>
    <w:qFormat/>
    <w:rsid w:val="00653EA3"/>
    <w:rPr>
      <w:i/>
      <w:iCs/>
      <w:color w:val="0F4761" w:themeColor="accent1" w:themeShade="BF"/>
    </w:rPr>
  </w:style>
  <w:style w:type="paragraph" w:styleId="Duidelijkcitaat">
    <w:name w:val="Intense Quote"/>
    <w:basedOn w:val="Standaard"/>
    <w:next w:val="Standaard"/>
    <w:link w:val="DuidelijkcitaatChar"/>
    <w:uiPriority w:val="30"/>
    <w:qFormat/>
    <w:rsid w:val="00653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3EA3"/>
    <w:rPr>
      <w:i/>
      <w:iCs/>
      <w:color w:val="0F4761" w:themeColor="accent1" w:themeShade="BF"/>
    </w:rPr>
  </w:style>
  <w:style w:type="character" w:styleId="Intensieveverwijzing">
    <w:name w:val="Intense Reference"/>
    <w:basedOn w:val="Standaardalinea-lettertype"/>
    <w:uiPriority w:val="32"/>
    <w:qFormat/>
    <w:rsid w:val="00653EA3"/>
    <w:rPr>
      <w:b/>
      <w:bCs/>
      <w:smallCaps/>
      <w:color w:val="0F4761" w:themeColor="accent1" w:themeShade="BF"/>
      <w:spacing w:val="5"/>
    </w:rPr>
  </w:style>
  <w:style w:type="paragraph" w:customStyle="1" w:styleId="Huisstijl-Slotzin">
    <w:name w:val="Huisstijl - Slotzin"/>
    <w:basedOn w:val="Standaard"/>
    <w:next w:val="Standaard"/>
    <w:rsid w:val="00653EA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653EA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53EA3"/>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653EA3"/>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653EA3"/>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653EA3"/>
    <w:rPr>
      <w:vertAlign w:val="superscript"/>
    </w:rPr>
  </w:style>
  <w:style w:type="character" w:styleId="Hyperlink">
    <w:name w:val="Hyperlink"/>
    <w:basedOn w:val="Standaardalinea-lettertype"/>
    <w:uiPriority w:val="99"/>
    <w:unhideWhenUsed/>
    <w:rsid w:val="00653EA3"/>
    <w:rPr>
      <w:color w:val="0000FF"/>
      <w:u w:val="single"/>
    </w:rPr>
  </w:style>
  <w:style w:type="paragraph" w:styleId="Voettekst">
    <w:name w:val="footer"/>
    <w:basedOn w:val="Standaard"/>
    <w:link w:val="VoettekstChar"/>
    <w:uiPriority w:val="99"/>
    <w:unhideWhenUsed/>
    <w:rsid w:val="00653E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3EA3"/>
  </w:style>
  <w:style w:type="paragraph" w:styleId="Geenafstand">
    <w:name w:val="No Spacing"/>
    <w:uiPriority w:val="1"/>
    <w:qFormat/>
    <w:rsid w:val="007D15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jorf/id/JORFTEXT000047377284" TargetMode="External"/><Relationship Id="rId1" Type="http://schemas.openxmlformats.org/officeDocument/2006/relationships/hyperlink" Target="https://www.gov.uk/government/publications/restricting-promotions-of-products-high-in-fat-sugar-or-salt-by-location-and-by-volume-price/restricting-promotions-of-products-high-in-fat-sugar-or-salt-by-location-and-by-volume-price-implementation-guidance?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311</ap:Words>
  <ap:Characters>1716</ap:Characters>
  <ap:DocSecurity>0</ap:DocSecurity>
  <ap:Lines>14</ap:Lines>
  <ap:Paragraphs>4</ap:Paragraphs>
  <ap:ScaleCrop>false</ap:ScaleCrop>
  <ap:LinksUpToDate>false</ap:LinksUpToDate>
  <ap:CharactersWithSpaces>2023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2025-11-19T15:55:00.0000000Z</dcterms:created>
  <dcterms:modified xsi:type="dcterms:W3CDTF">2025-11-19T15:55:00.0000000Z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