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33A0" w:rsidP="00A933A0" w:rsidRDefault="00A933A0" w14:paraId="38F7C396" w14:textId="1A20D7AD">
      <w:r>
        <w:t xml:space="preserve">Hierbij bied ik u het WODC-rapport </w:t>
      </w:r>
      <w:r w:rsidR="00100E48">
        <w:t>‘Vijf jaar WAMCA. E</w:t>
      </w:r>
      <w:r>
        <w:t>valuatie Wet afwikkeling massaschade in collectieve actie</w:t>
      </w:r>
      <w:r w:rsidR="00100E48">
        <w:t xml:space="preserve"> (2020-2025)’</w:t>
      </w:r>
      <w:r>
        <w:t xml:space="preserve"> aan. Dit rapport vormt het tweede deel van het </w:t>
      </w:r>
      <w:r w:rsidR="00100E48">
        <w:t>evaluatie</w:t>
      </w:r>
      <w:r>
        <w:t>onderzoek</w:t>
      </w:r>
      <w:r w:rsidR="00100E48">
        <w:t xml:space="preserve"> van de Wet afwikkeling massaschade in collectieve actie (WAMCA)</w:t>
      </w:r>
      <w:r>
        <w:t xml:space="preserve">. Op 16 juni 2025 zond de </w:t>
      </w:r>
      <w:r w:rsidR="005B366E">
        <w:t>toenmalig</w:t>
      </w:r>
      <w:r w:rsidR="0084421E">
        <w:t>e</w:t>
      </w:r>
      <w:r w:rsidR="005B366E">
        <w:t xml:space="preserve"> </w:t>
      </w:r>
      <w:r>
        <w:t xml:space="preserve">Staatssecretaris Rechtsbescherming uw Kamer het eerste deel, het WODC-rapport “Rechtsvergelijking toegang tot de rechter van belangenorganisaties in </w:t>
      </w:r>
      <w:proofErr w:type="spellStart"/>
      <w:r>
        <w:t>algemeenbelangactie</w:t>
      </w:r>
      <w:proofErr w:type="spellEnd"/>
      <w:r>
        <w:t>’.</w:t>
      </w:r>
      <w:r w:rsidR="00100E48">
        <w:rPr>
          <w:rStyle w:val="Voetnootmarkering"/>
        </w:rPr>
        <w:footnoteReference w:id="1"/>
      </w:r>
      <w:r>
        <w:t xml:space="preserve">  </w:t>
      </w:r>
    </w:p>
    <w:p w:rsidR="00A933A0" w:rsidP="00A933A0" w:rsidRDefault="00A933A0" w14:paraId="697C5F82" w14:textId="77777777"/>
    <w:p w:rsidR="002958AE" w:rsidP="00A24E36" w:rsidRDefault="00A933A0" w14:paraId="60617C0E" w14:textId="1A0EE139">
      <w:r>
        <w:t>De wetsevaluatie</w:t>
      </w:r>
      <w:r w:rsidR="00100E48">
        <w:t xml:space="preserve"> is in opdracht van het WODC uitgevoerd door een </w:t>
      </w:r>
      <w:r w:rsidR="00FB6C3C">
        <w:t xml:space="preserve">breed </w:t>
      </w:r>
      <w:proofErr w:type="spellStart"/>
      <w:r w:rsidRPr="00100E48" w:rsidR="00100E48">
        <w:t>onderzoeksconsortium</w:t>
      </w:r>
      <w:proofErr w:type="spellEnd"/>
      <w:r w:rsidRPr="00100E48" w:rsidR="00100E48">
        <w:t xml:space="preserve"> van de Universiteit Utrecht, Erasmus Universiteit Rotterdam en Radboud Universiteit Nijmegen</w:t>
      </w:r>
      <w:r w:rsidR="00100E48">
        <w:t xml:space="preserve">. Bij de wetsevaluatie staat de vraag centraal </w:t>
      </w:r>
      <w:r w:rsidR="00A852EA">
        <w:t>hoe de WAMCA</w:t>
      </w:r>
      <w:r w:rsidR="00100E48">
        <w:t xml:space="preserve"> </w:t>
      </w:r>
      <w:r w:rsidR="00A852EA">
        <w:t xml:space="preserve">in </w:t>
      </w:r>
      <w:r w:rsidR="00100E48">
        <w:t xml:space="preserve">de praktijk </w:t>
      </w:r>
      <w:r w:rsidR="00A852EA">
        <w:t xml:space="preserve">werkt en of </w:t>
      </w:r>
      <w:r w:rsidR="00100E48">
        <w:t xml:space="preserve">de met de invoering van de wet beoogde doelen zijn bereikt. </w:t>
      </w:r>
    </w:p>
    <w:p w:rsidR="00A24E36" w:rsidP="00A933A0" w:rsidRDefault="00A24E36" w14:paraId="5C040B7D" w14:textId="77777777"/>
    <w:p w:rsidR="00EA7E6F" w:rsidP="00A933A0" w:rsidRDefault="00A852EA" w14:paraId="6F0DA38F" w14:textId="3AF17436">
      <w:r>
        <w:t xml:space="preserve">In het kader van het onderzoek is een analyse gemaakt van de </w:t>
      </w:r>
      <w:r w:rsidR="00EA7E6F">
        <w:t xml:space="preserve">95 </w:t>
      </w:r>
      <w:r>
        <w:t>collecti</w:t>
      </w:r>
      <w:r w:rsidR="00FB6C3C">
        <w:t>e</w:t>
      </w:r>
      <w:r>
        <w:t>ve acties die</w:t>
      </w:r>
      <w:r w:rsidR="00FB6C3C">
        <w:t xml:space="preserve"> sinds 2020</w:t>
      </w:r>
      <w:r>
        <w:t xml:space="preserve"> in het Centraal register voor collectieve vorderingen zijn opgenomen.</w:t>
      </w:r>
      <w:r w:rsidR="002958AE">
        <w:t xml:space="preserve"> </w:t>
      </w:r>
      <w:r w:rsidR="007E41E6">
        <w:t>De onderzoekers hebben verder</w:t>
      </w:r>
      <w:r w:rsidR="00FB6C3C">
        <w:t xml:space="preserve"> zes </w:t>
      </w:r>
      <w:proofErr w:type="spellStart"/>
      <w:r w:rsidR="00FB6C3C">
        <w:t>focusgroepbijeenkomsten</w:t>
      </w:r>
      <w:proofErr w:type="spellEnd"/>
      <w:r w:rsidR="00FB6C3C">
        <w:t xml:space="preserve"> gehouden en een vragenlijstonderzoek verricht waaraan zowel advocaten aan eisende als aan gedaagde kant, belangenorganisaties, gedaagde partijen en rechters hebben deelgenomen. Tot slot is er literatuuronderzoek verricht.</w:t>
      </w:r>
    </w:p>
    <w:p w:rsidR="00EA7E6F" w:rsidP="00A933A0" w:rsidRDefault="00EA7E6F" w14:paraId="6E90AD67" w14:textId="77777777"/>
    <w:p w:rsidR="00100E48" w:rsidP="00A933A0" w:rsidRDefault="00FB6C3C" w14:paraId="42FC5D92" w14:textId="3FBF638A">
      <w:r>
        <w:t>Op</w:t>
      </w:r>
      <w:r w:rsidRPr="00FB6C3C">
        <w:t xml:space="preserve"> </w:t>
      </w:r>
      <w:r>
        <w:t>basis van het onderzoek</w:t>
      </w:r>
      <w:r w:rsidRPr="00FB6C3C">
        <w:t xml:space="preserve"> komen </w:t>
      </w:r>
      <w:r w:rsidR="00FE2EE2">
        <w:t>de onderzoekers</w:t>
      </w:r>
      <w:r>
        <w:t xml:space="preserve"> </w:t>
      </w:r>
      <w:r w:rsidRPr="00FB6C3C">
        <w:t xml:space="preserve">tot vier algemene bevindingen en een aantal meer specifieke bevindingen per doelstelling. </w:t>
      </w:r>
      <w:r w:rsidR="00100E48">
        <w:t xml:space="preserve">De eerste algemene bevinding is dat </w:t>
      </w:r>
      <w:r w:rsidR="007E41E6">
        <w:t>personen en organisaties</w:t>
      </w:r>
      <w:r w:rsidRPr="00A933A0" w:rsidR="007E41E6">
        <w:t xml:space="preserve"> </w:t>
      </w:r>
      <w:r w:rsidRPr="00A933A0" w:rsidR="00A933A0">
        <w:t xml:space="preserve">die actief zijn op het gebied van </w:t>
      </w:r>
      <w:r w:rsidR="00A933A0">
        <w:t xml:space="preserve">collectieve acties in de zin van artikel 3:305a </w:t>
      </w:r>
      <w:r w:rsidR="00100E48">
        <w:t xml:space="preserve">van het Burgerlijk Wetboek </w:t>
      </w:r>
      <w:r w:rsidRPr="00A933A0" w:rsidR="00A933A0">
        <w:t>positief zijn over het bestaan van de collectieve (</w:t>
      </w:r>
      <w:proofErr w:type="spellStart"/>
      <w:r w:rsidRPr="00A933A0" w:rsidR="00A933A0">
        <w:t>schadevergoedings</w:t>
      </w:r>
      <w:proofErr w:type="spellEnd"/>
      <w:r w:rsidRPr="00A933A0" w:rsidR="00A933A0">
        <w:t>)actie.</w:t>
      </w:r>
      <w:r w:rsidR="00962501">
        <w:t xml:space="preserve"> </w:t>
      </w:r>
      <w:r w:rsidR="00100E48">
        <w:t xml:space="preserve">De tweede algemene bevinding is </w:t>
      </w:r>
      <w:r w:rsidR="00A933A0">
        <w:t>d</w:t>
      </w:r>
      <w:r w:rsidRPr="00A933A0" w:rsidR="00A933A0">
        <w:t xml:space="preserve">at de verplicht voorgeschreven en duidelijk onderscheiden </w:t>
      </w:r>
      <w:r w:rsidR="00100E48">
        <w:t>ontvankelijkheidsfase en de fase van inhoudelijke behandeling</w:t>
      </w:r>
      <w:r w:rsidRPr="00A933A0" w:rsidR="00A933A0">
        <w:t xml:space="preserve"> ervoor zorgt dat de voortgang van de</w:t>
      </w:r>
      <w:r w:rsidR="00FE2EE2">
        <w:t xml:space="preserve"> collectieve </w:t>
      </w:r>
      <w:r w:rsidRPr="00A933A0" w:rsidR="00A933A0">
        <w:t>actie een aandachtspunt is</w:t>
      </w:r>
      <w:r w:rsidR="00A852EA">
        <w:t>.</w:t>
      </w:r>
      <w:r w:rsidRPr="00A933A0" w:rsidR="00A933A0">
        <w:t xml:space="preserve"> </w:t>
      </w:r>
      <w:r w:rsidR="00100E48">
        <w:t xml:space="preserve">De derde algemene </w:t>
      </w:r>
      <w:r w:rsidRPr="00A933A0" w:rsidR="00A933A0">
        <w:t>bevinding</w:t>
      </w:r>
      <w:r w:rsidR="006266D2">
        <w:t>, die samenhangt met de tweede algemene bevinding,</w:t>
      </w:r>
      <w:r w:rsidRPr="00A933A0" w:rsidR="00A933A0">
        <w:t xml:space="preserve"> is dat er tot op dit moment nog geen collectieve schadeafwikkeling heeft plaatsgevonden op basis van het WAMCA-regime. De voorfase (voorafgaand aan de inhoudelijke behandeling) lijkt dusdanig veel tijd te kosten dat collectieve schadevergoedingsvorderingen in de evaluatieperiode in de meeste gevallen nog niet inhoudelijk zijn behandeld. </w:t>
      </w:r>
      <w:r w:rsidR="00100E48">
        <w:t>De</w:t>
      </w:r>
      <w:r w:rsidRPr="00A933A0" w:rsidR="00A933A0">
        <w:t xml:space="preserve"> vierde algemene bevinding is dat elke wetswijziging van een omvang als die van de WAMCA tot onduidelijkheden en </w:t>
      </w:r>
      <w:r w:rsidRPr="00A933A0" w:rsidR="006266D2">
        <w:t xml:space="preserve"> </w:t>
      </w:r>
      <w:r w:rsidRPr="00A933A0" w:rsidR="00A933A0">
        <w:t>knelpunten in de rechtspraktijk</w:t>
      </w:r>
      <w:r w:rsidR="006266D2">
        <w:t xml:space="preserve"> leidt.</w:t>
      </w:r>
      <w:r w:rsidRPr="00A933A0" w:rsidR="00A933A0">
        <w:t xml:space="preserve"> </w:t>
      </w:r>
      <w:r w:rsidR="006266D2">
        <w:t>D</w:t>
      </w:r>
      <w:r w:rsidRPr="00A933A0" w:rsidR="00A933A0">
        <w:t>at geldt dus ook hier. Op bepaalde punten is duidelijkheid gewenst</w:t>
      </w:r>
      <w:r w:rsidR="006266D2">
        <w:t>. Hie</w:t>
      </w:r>
      <w:r w:rsidR="00A852EA">
        <w:t xml:space="preserve">rbij </w:t>
      </w:r>
      <w:r w:rsidR="006266D2">
        <w:t xml:space="preserve">merken </w:t>
      </w:r>
      <w:r w:rsidR="00A852EA">
        <w:t xml:space="preserve">de onderzoekers op dat </w:t>
      </w:r>
      <w:r w:rsidR="006266D2">
        <w:t>die duidelijkheid</w:t>
      </w:r>
      <w:r w:rsidRPr="00A933A0" w:rsidR="006266D2">
        <w:t xml:space="preserve"> </w:t>
      </w:r>
      <w:r w:rsidRPr="00A933A0" w:rsidR="00A933A0">
        <w:t>niet altijd van de wetgever hoeft te komen</w:t>
      </w:r>
      <w:r w:rsidR="006266D2">
        <w:t xml:space="preserve">, maar ook </w:t>
      </w:r>
      <w:r w:rsidR="00193987">
        <w:t>door</w:t>
      </w:r>
      <w:r w:rsidR="00EE22BA">
        <w:t xml:space="preserve"> jurisprudentie </w:t>
      </w:r>
      <w:r w:rsidR="00FB3ABB">
        <w:t xml:space="preserve">kan </w:t>
      </w:r>
      <w:r w:rsidR="006266D2">
        <w:t>komen</w:t>
      </w:r>
      <w:r w:rsidRPr="00A933A0" w:rsidR="00A933A0">
        <w:t xml:space="preserve">. </w:t>
      </w:r>
    </w:p>
    <w:p w:rsidR="00FE2EE2" w:rsidP="00A933A0" w:rsidRDefault="00FE2EE2" w14:paraId="5098BAF1" w14:textId="77777777"/>
    <w:p w:rsidR="0047436F" w:rsidP="0047436F" w:rsidRDefault="0047436F" w14:paraId="53C26AF0" w14:textId="77777777">
      <w:r>
        <w:t>Als mogelijke benutting van de uitkomsten van het onderzoek stellen de onderzoekers vast dat het bestaan van de collectieve (</w:t>
      </w:r>
      <w:proofErr w:type="spellStart"/>
      <w:r>
        <w:t>schadevergoedings</w:t>
      </w:r>
      <w:proofErr w:type="spellEnd"/>
      <w:r>
        <w:t xml:space="preserve">)actie als positief wordt ervaren door degenen die ervaring hebben met deze actie. Zij merken op dat er daarmee geen aanleiding is voor een eventuele aanbeveling over het beperken of (fundamenteel) veranderen van de collectieve actie. </w:t>
      </w:r>
    </w:p>
    <w:p w:rsidR="0047436F" w:rsidP="0047436F" w:rsidRDefault="0047436F" w14:paraId="648D69BA" w14:textId="77777777"/>
    <w:p w:rsidR="00FE2EE2" w:rsidP="00A852EA" w:rsidRDefault="0047436F" w14:paraId="4664F3FA" w14:textId="79C46910">
      <w:r>
        <w:t>De bevindingen van de wetsevaluatie, mede in het licht van het rechtsvergelijkend onderzoek, zijn voor de onderzoekers wel aanleiding om een aantal juridisch-technische aanbevelingen te doen, met name ten aanzien van het bevorderen van de voortgang van de voorfase of ontvankelijkheidsfase van de collectieve actie. De aanbevelingen zien op de voorbereidende fase, de beoordeling van de ontvankelijkheid</w:t>
      </w:r>
      <w:r w:rsidR="000715B8">
        <w:t xml:space="preserve"> (waaronder het representativiteitsvereiste)</w:t>
      </w:r>
      <w:r>
        <w:t xml:space="preserve">, de aanwijzing van de exclusieve belangenbehartiger, de vaststelling van de collectieve vordering en de nauw omschreven groep, het bieden van een </w:t>
      </w:r>
      <w:proofErr w:type="spellStart"/>
      <w:r>
        <w:t>opt</w:t>
      </w:r>
      <w:proofErr w:type="spellEnd"/>
      <w:r>
        <w:t xml:space="preserve">-out-mogelijkheid en de verplichte schikkingsfase voorafgaand aan de inhoudelijke behandeling. Ten behoeve van de efficiëntie en effectiviteit van de 305a-actie zouden sommige verplichte onderdelen, die coördinatie beogen, kunnen worden losgelaten of aangepast juist in verband met efficiëntie en effectiviteit. </w:t>
      </w:r>
    </w:p>
    <w:p w:rsidR="00A24E36" w:rsidP="00A852EA" w:rsidRDefault="00A24E36" w14:paraId="6BEE202F" w14:textId="77777777"/>
    <w:p w:rsidR="00A24E36" w:rsidP="00A852EA" w:rsidRDefault="00A24E36" w14:paraId="0F2AB71C" w14:textId="4548B88D">
      <w:r w:rsidRPr="00A24E36">
        <w:t xml:space="preserve">Het evaluatieonderzoek geeft invulling aan de passage in het regeerprogramma van het kabinet Schoof waarin wordt gemeld dat het kabinet onderzoekt of en hoe nadere vereisten gesteld moeten worden aan de representativiteit van belangenorganisaties met een ideëel doel die een procedure kunnen voeren op basis van artikel 3:305a van het Burgerlijk Wetboek. Het komt ook tegemoet aan moties </w:t>
      </w:r>
      <w:r>
        <w:t xml:space="preserve">met een soortgelijke strekking </w:t>
      </w:r>
      <w:r w:rsidRPr="00A24E36">
        <w:t xml:space="preserve">van Stoffer c.s. en van </w:t>
      </w:r>
      <w:r>
        <w:t>Diederik v</w:t>
      </w:r>
      <w:r w:rsidRPr="00A24E36">
        <w:t>an Dijk c.s., alsmede aan een aan de Eerste Kamer gedane toezegging.</w:t>
      </w:r>
      <w:r>
        <w:rPr>
          <w:rStyle w:val="Voetnootmarkering"/>
        </w:rPr>
        <w:footnoteReference w:id="2"/>
      </w:r>
      <w:r w:rsidRPr="00A24E36">
        <w:t xml:space="preserve">  Uit het onderzoek blijkt niet dat er een noodzaak is tot het stellen van nadere vereisten. De onderzoekers bevelen aan om een kwalitatieve representativiteitstoets te introduceren voor in (in ieder geval) lid-6-acties (met een ideëel doel), waarbij de geschiktheid van de 305a-organisaties om op te komen voor de belangen die onderwerp zijn van de procedure worden getoetst.</w:t>
      </w:r>
    </w:p>
    <w:p w:rsidR="0047436F" w:rsidP="00A852EA" w:rsidRDefault="0047436F" w14:paraId="1D25FD4E" w14:textId="77777777"/>
    <w:p w:rsidR="005832F9" w:rsidP="00A852EA" w:rsidRDefault="005832F9" w14:paraId="2C5C5F52" w14:textId="77777777"/>
    <w:p w:rsidR="005832F9" w:rsidP="00A852EA" w:rsidRDefault="005832F9" w14:paraId="128789AD" w14:textId="77777777"/>
    <w:p w:rsidR="005832F9" w:rsidP="00A852EA" w:rsidRDefault="005832F9" w14:paraId="0A289388" w14:textId="77777777"/>
    <w:p w:rsidR="005832F9" w:rsidP="00A852EA" w:rsidRDefault="005832F9" w14:paraId="7A81DF4A" w14:textId="77777777"/>
    <w:p w:rsidR="005832F9" w:rsidP="00A852EA" w:rsidRDefault="005832F9" w14:paraId="757CF646" w14:textId="77777777"/>
    <w:p w:rsidR="005832F9" w:rsidP="00A852EA" w:rsidRDefault="005832F9" w14:paraId="7B01FB7E" w14:textId="77777777"/>
    <w:p w:rsidR="005832F9" w:rsidP="00A852EA" w:rsidRDefault="005832F9" w14:paraId="010738C7" w14:textId="77777777"/>
    <w:p w:rsidR="005832F9" w:rsidP="00A852EA" w:rsidRDefault="005832F9" w14:paraId="31416410" w14:textId="77777777"/>
    <w:p w:rsidR="005832F9" w:rsidP="00A852EA" w:rsidRDefault="005832F9" w14:paraId="4275EC6E" w14:textId="77777777"/>
    <w:p w:rsidR="005832F9" w:rsidP="00A852EA" w:rsidRDefault="005832F9" w14:paraId="21ACA264" w14:textId="77777777"/>
    <w:p w:rsidR="005832F9" w:rsidP="00A852EA" w:rsidRDefault="005832F9" w14:paraId="5236F70F" w14:textId="77777777"/>
    <w:p w:rsidR="005832F9" w:rsidP="00A852EA" w:rsidRDefault="005832F9" w14:paraId="196AD9EF" w14:textId="77777777"/>
    <w:p w:rsidR="009E2712" w:rsidP="00A852EA" w:rsidRDefault="00A852EA" w14:paraId="0C274263" w14:textId="33376D3B">
      <w:r>
        <w:t xml:space="preserve">Gelet op </w:t>
      </w:r>
      <w:r w:rsidR="002958AE">
        <w:t>de conclusie</w:t>
      </w:r>
      <w:r w:rsidR="002E78AA">
        <w:t>s</w:t>
      </w:r>
      <w:r w:rsidR="002958AE">
        <w:t xml:space="preserve"> </w:t>
      </w:r>
      <w:r w:rsidR="00A24E36">
        <w:t xml:space="preserve">van het onderzoek </w:t>
      </w:r>
      <w:r w:rsidR="002958AE">
        <w:t xml:space="preserve">en </w:t>
      </w:r>
      <w:r>
        <w:t xml:space="preserve">de demissionaire status van het kabinet, </w:t>
      </w:r>
      <w:r w:rsidR="002958AE">
        <w:t xml:space="preserve">zie ik geen aanleiding om op </w:t>
      </w:r>
      <w:r w:rsidR="0091256E">
        <w:t>dit moment</w:t>
      </w:r>
      <w:r w:rsidR="002958AE">
        <w:t xml:space="preserve"> wetgevende maatregelen te treffen</w:t>
      </w:r>
      <w:r w:rsidR="00120BC6">
        <w:t xml:space="preserve"> ten aanzien van de WAMCA</w:t>
      </w:r>
      <w:r w:rsidR="002958AE">
        <w:t xml:space="preserve">. Ik </w:t>
      </w:r>
      <w:r>
        <w:t xml:space="preserve">laat het aan een volgende kabinet om </w:t>
      </w:r>
      <w:r w:rsidR="0091256E">
        <w:t xml:space="preserve">met een nadere </w:t>
      </w:r>
      <w:r w:rsidR="00FB3ABB">
        <w:t xml:space="preserve">inhoudelijke </w:t>
      </w:r>
      <w:r w:rsidR="0091256E">
        <w:t>reactie te komen op het onderzoek</w:t>
      </w:r>
      <w:r>
        <w:t xml:space="preserve">. </w:t>
      </w:r>
      <w:r w:rsidR="00EA7E6F">
        <w:t>H</w:t>
      </w:r>
      <w:r>
        <w:t xml:space="preserve">et evaluatieonderzoek </w:t>
      </w:r>
      <w:r w:rsidR="00FE2EE2">
        <w:t xml:space="preserve">en de </w:t>
      </w:r>
      <w:r w:rsidR="00985759">
        <w:t xml:space="preserve">daaruit voortvloeiende </w:t>
      </w:r>
      <w:r w:rsidR="00FE2EE2">
        <w:t xml:space="preserve">aanbevelingen </w:t>
      </w:r>
      <w:r w:rsidR="00985759">
        <w:t xml:space="preserve">staan </w:t>
      </w:r>
      <w:r w:rsidR="00EA7E6F">
        <w:t xml:space="preserve">centraal </w:t>
      </w:r>
      <w:r>
        <w:t xml:space="preserve">tijdens de </w:t>
      </w:r>
      <w:r w:rsidR="00985759">
        <w:t xml:space="preserve">komende </w:t>
      </w:r>
      <w:r>
        <w:t>monitoringsbijeenkomst</w:t>
      </w:r>
      <w:r w:rsidR="00EA7E6F">
        <w:t xml:space="preserve"> </w:t>
      </w:r>
      <w:r w:rsidR="00FB3ABB">
        <w:t xml:space="preserve">waarin bij de WAMCA betrokken belanghebbenden </w:t>
      </w:r>
      <w:r w:rsidR="00247957">
        <w:t xml:space="preserve">hun </w:t>
      </w:r>
      <w:r w:rsidR="00FB3ABB">
        <w:t xml:space="preserve">ervaringen </w:t>
      </w:r>
      <w:r w:rsidR="00247957">
        <w:t xml:space="preserve">met de wet </w:t>
      </w:r>
      <w:r w:rsidR="00BE57AD">
        <w:t xml:space="preserve">en de aandachtspunten die zij daarbij hebben, </w:t>
      </w:r>
      <w:r w:rsidR="00FB3ABB">
        <w:t xml:space="preserve">kunnen </w:t>
      </w:r>
      <w:r w:rsidR="00193987">
        <w:t xml:space="preserve">uitwisselen. </w:t>
      </w:r>
      <w:r w:rsidR="00120BC6">
        <w:t>Ook de uitkomsten daarvan</w:t>
      </w:r>
      <w:r w:rsidR="00FE2EE2">
        <w:t xml:space="preserve"> </w:t>
      </w:r>
      <w:r>
        <w:t xml:space="preserve">kunnen worden betrokken bij de standpuntbepaling </w:t>
      </w:r>
      <w:r w:rsidR="00120BC6">
        <w:t xml:space="preserve">door </w:t>
      </w:r>
      <w:r>
        <w:t xml:space="preserve">een volgend kabinet. </w:t>
      </w:r>
    </w:p>
    <w:p w:rsidR="009E2712" w:rsidRDefault="009E2712" w14:paraId="592A8A7C" w14:textId="77777777"/>
    <w:p w:rsidR="009E2712" w:rsidRDefault="009E2712" w14:paraId="500F8B91" w14:textId="77777777"/>
    <w:p w:rsidR="009E2712" w:rsidRDefault="00A933A0" w14:paraId="7F6A0F51" w14:textId="2787AEA6">
      <w:r>
        <w:t>De Staatssecretaris van Justitie en Veiligheid</w:t>
      </w:r>
    </w:p>
    <w:p w:rsidR="009E2712" w:rsidRDefault="009E2712" w14:paraId="4155D63A" w14:textId="77777777"/>
    <w:p w:rsidR="00645A54" w:rsidRDefault="00645A54" w14:paraId="3EC55C54" w14:textId="77777777"/>
    <w:p w:rsidR="00645A54" w:rsidRDefault="00645A54" w14:paraId="59D6D7E1" w14:textId="77777777"/>
    <w:p w:rsidR="00645A54" w:rsidRDefault="00645A54" w14:paraId="753C8D14" w14:textId="77777777"/>
    <w:p w:rsidR="009E2712" w:rsidP="0047436F" w:rsidRDefault="00E93C35" w14:paraId="7C36DB59" w14:textId="72DCF0E9">
      <w:r>
        <w:t>mr. A.C.L. Rutte</w:t>
      </w:r>
    </w:p>
    <w:sectPr w:rsidR="009E271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12DD5" w14:textId="77777777" w:rsidR="005427FB" w:rsidRDefault="005427FB">
      <w:pPr>
        <w:spacing w:line="240" w:lineRule="auto"/>
      </w:pPr>
      <w:r>
        <w:separator/>
      </w:r>
    </w:p>
  </w:endnote>
  <w:endnote w:type="continuationSeparator" w:id="0">
    <w:p w14:paraId="4C042A71" w14:textId="77777777" w:rsidR="005427FB" w:rsidRDefault="005427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186B" w14:textId="77777777" w:rsidR="009E2712" w:rsidRDefault="009E271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A750B" w14:textId="77777777" w:rsidR="005427FB" w:rsidRDefault="005427FB">
      <w:pPr>
        <w:spacing w:line="240" w:lineRule="auto"/>
      </w:pPr>
      <w:r>
        <w:separator/>
      </w:r>
    </w:p>
  </w:footnote>
  <w:footnote w:type="continuationSeparator" w:id="0">
    <w:p w14:paraId="2D573595" w14:textId="77777777" w:rsidR="005427FB" w:rsidRDefault="005427FB">
      <w:pPr>
        <w:spacing w:line="240" w:lineRule="auto"/>
      </w:pPr>
      <w:r>
        <w:continuationSeparator/>
      </w:r>
    </w:p>
  </w:footnote>
  <w:footnote w:id="1">
    <w:p w14:paraId="04F71F06" w14:textId="036B2A45" w:rsidR="00100E48" w:rsidRPr="00C168BB" w:rsidRDefault="00100E48">
      <w:pPr>
        <w:pStyle w:val="Voetnoottekst"/>
        <w:rPr>
          <w:sz w:val="16"/>
          <w:szCs w:val="16"/>
        </w:rPr>
      </w:pPr>
      <w:r w:rsidRPr="00247957">
        <w:rPr>
          <w:rStyle w:val="Voetnootmarkering"/>
          <w:sz w:val="16"/>
          <w:szCs w:val="16"/>
        </w:rPr>
        <w:footnoteRef/>
      </w:r>
      <w:r w:rsidRPr="00247957">
        <w:rPr>
          <w:sz w:val="16"/>
          <w:szCs w:val="16"/>
        </w:rPr>
        <w:t xml:space="preserve"> </w:t>
      </w:r>
      <w:r w:rsidR="007E41E6" w:rsidRPr="00C168BB">
        <w:rPr>
          <w:sz w:val="16"/>
          <w:szCs w:val="16"/>
        </w:rPr>
        <w:t>Zie Kamerstukken II 2024/25 29279, nr 975 en Kamerstukken I 2024/25 35925 VI, nr AQ.</w:t>
      </w:r>
    </w:p>
  </w:footnote>
  <w:footnote w:id="2">
    <w:p w14:paraId="11DCCCFF" w14:textId="17C7DAB9" w:rsidR="00A24E36" w:rsidRDefault="00A24E36">
      <w:pPr>
        <w:pStyle w:val="Voetnoottekst"/>
      </w:pPr>
      <w:r>
        <w:rPr>
          <w:rStyle w:val="Voetnootmarkering"/>
        </w:rPr>
        <w:footnoteRef/>
      </w:r>
      <w:r>
        <w:t xml:space="preserve"> </w:t>
      </w:r>
      <w:r w:rsidRPr="00A24E36">
        <w:rPr>
          <w:sz w:val="16"/>
          <w:szCs w:val="16"/>
        </w:rPr>
        <w:t xml:space="preserve">Zie Kamerstukken II 2022/23, 36169, nr. 37 (gewijzigde motie Stoffer c.s.), </w:t>
      </w:r>
      <w:r>
        <w:rPr>
          <w:sz w:val="16"/>
          <w:szCs w:val="16"/>
        </w:rPr>
        <w:t>K</w:t>
      </w:r>
      <w:r w:rsidRPr="00A24E36">
        <w:rPr>
          <w:sz w:val="16"/>
          <w:szCs w:val="16"/>
        </w:rPr>
        <w:t xml:space="preserve">amerstukken II 2023/24, </w:t>
      </w:r>
      <w:proofErr w:type="spellStart"/>
      <w:r w:rsidRPr="00A24E36">
        <w:rPr>
          <w:sz w:val="16"/>
          <w:szCs w:val="16"/>
        </w:rPr>
        <w:t>nr</w:t>
      </w:r>
      <w:proofErr w:type="spellEnd"/>
      <w:r w:rsidRPr="00A24E36">
        <w:rPr>
          <w:sz w:val="16"/>
          <w:szCs w:val="16"/>
        </w:rPr>
        <w:t xml:space="preserve"> 41 (moties </w:t>
      </w:r>
      <w:r w:rsidR="00BE57AD">
        <w:rPr>
          <w:sz w:val="16"/>
          <w:szCs w:val="16"/>
        </w:rPr>
        <w:t>Diederik v</w:t>
      </w:r>
      <w:r w:rsidRPr="00A24E36">
        <w:rPr>
          <w:sz w:val="16"/>
          <w:szCs w:val="16"/>
        </w:rPr>
        <w:t>an Dijk c.s.) en Kamerstukken I 2022/23, 35334, BF en 33576- blz.12 (toezegging T03660).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D5A7F" w14:textId="77777777" w:rsidR="009E2712" w:rsidRDefault="00E93C35">
    <w:r>
      <w:rPr>
        <w:noProof/>
      </w:rPr>
      <mc:AlternateContent>
        <mc:Choice Requires="wps">
          <w:drawing>
            <wp:anchor distT="0" distB="0" distL="0" distR="0" simplePos="0" relativeHeight="251652608" behindDoc="0" locked="1" layoutInCell="1" allowOverlap="1" wp14:anchorId="56459187" wp14:editId="45ECDCE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586BAD2" w14:textId="77777777" w:rsidR="009E2712" w:rsidRDefault="00E93C35">
                          <w:pPr>
                            <w:pStyle w:val="Referentiegegevensbold"/>
                          </w:pPr>
                          <w:r>
                            <w:t>Cluster secretaris-generaal</w:t>
                          </w:r>
                        </w:p>
                        <w:p w14:paraId="3CB9CB8D" w14:textId="77777777" w:rsidR="009E2712" w:rsidRDefault="00E93C35">
                          <w:pPr>
                            <w:pStyle w:val="Referentiegegevens"/>
                          </w:pPr>
                          <w:r>
                            <w:t>Directie Wetgeving en Juridische Zaken</w:t>
                          </w:r>
                        </w:p>
                        <w:p w14:paraId="3EC2C214" w14:textId="77777777" w:rsidR="009E2712" w:rsidRDefault="00E93C35">
                          <w:pPr>
                            <w:pStyle w:val="Referentiegegevens"/>
                          </w:pPr>
                          <w:r>
                            <w:t>Sector Privaatrecht</w:t>
                          </w:r>
                        </w:p>
                        <w:p w14:paraId="509C5BA5" w14:textId="77777777" w:rsidR="009E2712" w:rsidRDefault="009E2712">
                          <w:pPr>
                            <w:pStyle w:val="WitregelW2"/>
                          </w:pPr>
                        </w:p>
                        <w:p w14:paraId="1974B5BD" w14:textId="77777777" w:rsidR="009E2712" w:rsidRDefault="00E93C35">
                          <w:pPr>
                            <w:pStyle w:val="Referentiegegevensbold"/>
                          </w:pPr>
                          <w:r>
                            <w:t>Datum</w:t>
                          </w:r>
                        </w:p>
                        <w:p w14:paraId="2D6CE39C" w14:textId="3FB0DDE3" w:rsidR="009E2712" w:rsidRDefault="005427FB">
                          <w:pPr>
                            <w:pStyle w:val="Referentiegegevens"/>
                          </w:pPr>
                          <w:sdt>
                            <w:sdtPr>
                              <w:id w:val="-391349201"/>
                              <w:date w:fullDate="2025-11-19T00:00:00Z">
                                <w:dateFormat w:val="d MMMM yyyy"/>
                                <w:lid w:val="nl"/>
                                <w:storeMappedDataAs w:val="dateTime"/>
                                <w:calendar w:val="gregorian"/>
                              </w:date>
                            </w:sdtPr>
                            <w:sdtEndPr/>
                            <w:sdtContent>
                              <w:r w:rsidR="005832F9">
                                <w:rPr>
                                  <w:lang w:val="nl"/>
                                </w:rPr>
                                <w:t>19 november 2025</w:t>
                              </w:r>
                            </w:sdtContent>
                          </w:sdt>
                        </w:p>
                        <w:p w14:paraId="4564AA3E" w14:textId="77777777" w:rsidR="009E2712" w:rsidRDefault="009E2712">
                          <w:pPr>
                            <w:pStyle w:val="WitregelW1"/>
                          </w:pPr>
                        </w:p>
                        <w:p w14:paraId="41E3ECCE" w14:textId="77777777" w:rsidR="009E2712" w:rsidRDefault="00E93C35">
                          <w:pPr>
                            <w:pStyle w:val="Referentiegegevensbold"/>
                          </w:pPr>
                          <w:r>
                            <w:t>Onze referentie</w:t>
                          </w:r>
                        </w:p>
                        <w:p w14:paraId="60008455" w14:textId="77777777" w:rsidR="009E2712" w:rsidRDefault="00E93C35">
                          <w:pPr>
                            <w:pStyle w:val="Referentiegegevens"/>
                          </w:pPr>
                          <w:r>
                            <w:t>6831430</w:t>
                          </w:r>
                        </w:p>
                      </w:txbxContent>
                    </wps:txbx>
                    <wps:bodyPr vert="horz" wrap="square" lIns="0" tIns="0" rIns="0" bIns="0" anchor="t" anchorCtr="0"/>
                  </wps:wsp>
                </a:graphicData>
              </a:graphic>
            </wp:anchor>
          </w:drawing>
        </mc:Choice>
        <mc:Fallback>
          <w:pict>
            <v:shapetype w14:anchorId="5645918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586BAD2" w14:textId="77777777" w:rsidR="009E2712" w:rsidRDefault="00E93C35">
                    <w:pPr>
                      <w:pStyle w:val="Referentiegegevensbold"/>
                    </w:pPr>
                    <w:r>
                      <w:t>Cluster secretaris-generaal</w:t>
                    </w:r>
                  </w:p>
                  <w:p w14:paraId="3CB9CB8D" w14:textId="77777777" w:rsidR="009E2712" w:rsidRDefault="00E93C35">
                    <w:pPr>
                      <w:pStyle w:val="Referentiegegevens"/>
                    </w:pPr>
                    <w:r>
                      <w:t>Directie Wetgeving en Juridische Zaken</w:t>
                    </w:r>
                  </w:p>
                  <w:p w14:paraId="3EC2C214" w14:textId="77777777" w:rsidR="009E2712" w:rsidRDefault="00E93C35">
                    <w:pPr>
                      <w:pStyle w:val="Referentiegegevens"/>
                    </w:pPr>
                    <w:r>
                      <w:t>Sector Privaatrecht</w:t>
                    </w:r>
                  </w:p>
                  <w:p w14:paraId="509C5BA5" w14:textId="77777777" w:rsidR="009E2712" w:rsidRDefault="009E2712">
                    <w:pPr>
                      <w:pStyle w:val="WitregelW2"/>
                    </w:pPr>
                  </w:p>
                  <w:p w14:paraId="1974B5BD" w14:textId="77777777" w:rsidR="009E2712" w:rsidRDefault="00E93C35">
                    <w:pPr>
                      <w:pStyle w:val="Referentiegegevensbold"/>
                    </w:pPr>
                    <w:r>
                      <w:t>Datum</w:t>
                    </w:r>
                  </w:p>
                  <w:p w14:paraId="2D6CE39C" w14:textId="3FB0DDE3" w:rsidR="009E2712" w:rsidRDefault="005427FB">
                    <w:pPr>
                      <w:pStyle w:val="Referentiegegevens"/>
                    </w:pPr>
                    <w:sdt>
                      <w:sdtPr>
                        <w:id w:val="-391349201"/>
                        <w:date w:fullDate="2025-11-19T00:00:00Z">
                          <w:dateFormat w:val="d MMMM yyyy"/>
                          <w:lid w:val="nl"/>
                          <w:storeMappedDataAs w:val="dateTime"/>
                          <w:calendar w:val="gregorian"/>
                        </w:date>
                      </w:sdtPr>
                      <w:sdtEndPr/>
                      <w:sdtContent>
                        <w:r w:rsidR="005832F9">
                          <w:rPr>
                            <w:lang w:val="nl"/>
                          </w:rPr>
                          <w:t>19 november 2025</w:t>
                        </w:r>
                      </w:sdtContent>
                    </w:sdt>
                  </w:p>
                  <w:p w14:paraId="4564AA3E" w14:textId="77777777" w:rsidR="009E2712" w:rsidRDefault="009E2712">
                    <w:pPr>
                      <w:pStyle w:val="WitregelW1"/>
                    </w:pPr>
                  </w:p>
                  <w:p w14:paraId="41E3ECCE" w14:textId="77777777" w:rsidR="009E2712" w:rsidRDefault="00E93C35">
                    <w:pPr>
                      <w:pStyle w:val="Referentiegegevensbold"/>
                    </w:pPr>
                    <w:r>
                      <w:t>Onze referentie</w:t>
                    </w:r>
                  </w:p>
                  <w:p w14:paraId="60008455" w14:textId="77777777" w:rsidR="009E2712" w:rsidRDefault="00E93C35">
                    <w:pPr>
                      <w:pStyle w:val="Referentiegegevens"/>
                    </w:pPr>
                    <w:r>
                      <w:t>6831430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AE47E17" wp14:editId="1AC5F3D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1E354DC" w14:textId="77777777" w:rsidR="00E93C35" w:rsidRDefault="00E93C35"/>
                      </w:txbxContent>
                    </wps:txbx>
                    <wps:bodyPr vert="horz" wrap="square" lIns="0" tIns="0" rIns="0" bIns="0" anchor="t" anchorCtr="0"/>
                  </wps:wsp>
                </a:graphicData>
              </a:graphic>
            </wp:anchor>
          </w:drawing>
        </mc:Choice>
        <mc:Fallback>
          <w:pict>
            <v:shape w14:anchorId="2AE47E1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1E354DC" w14:textId="77777777" w:rsidR="00E93C35" w:rsidRDefault="00E93C3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728AE37" wp14:editId="2EB03A6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D14FF0F" w14:textId="4734B60E" w:rsidR="009E2712" w:rsidRDefault="00E93C35">
                          <w:pPr>
                            <w:pStyle w:val="Referentiegegevens"/>
                          </w:pPr>
                          <w:r>
                            <w:t xml:space="preserve">Pagina </w:t>
                          </w:r>
                          <w:r>
                            <w:fldChar w:fldCharType="begin"/>
                          </w:r>
                          <w:r>
                            <w:instrText>PAGE</w:instrText>
                          </w:r>
                          <w:r>
                            <w:fldChar w:fldCharType="separate"/>
                          </w:r>
                          <w:r w:rsidR="00A933A0">
                            <w:rPr>
                              <w:noProof/>
                            </w:rPr>
                            <w:t>2</w:t>
                          </w:r>
                          <w:r>
                            <w:fldChar w:fldCharType="end"/>
                          </w:r>
                          <w:r>
                            <w:t xml:space="preserve"> van </w:t>
                          </w:r>
                          <w:r>
                            <w:fldChar w:fldCharType="begin"/>
                          </w:r>
                          <w:r>
                            <w:instrText>NUMPAGES</w:instrText>
                          </w:r>
                          <w:r>
                            <w:fldChar w:fldCharType="separate"/>
                          </w:r>
                          <w:r w:rsidR="00A933A0">
                            <w:rPr>
                              <w:noProof/>
                            </w:rPr>
                            <w:t>1</w:t>
                          </w:r>
                          <w:r>
                            <w:fldChar w:fldCharType="end"/>
                          </w:r>
                        </w:p>
                      </w:txbxContent>
                    </wps:txbx>
                    <wps:bodyPr vert="horz" wrap="square" lIns="0" tIns="0" rIns="0" bIns="0" anchor="t" anchorCtr="0"/>
                  </wps:wsp>
                </a:graphicData>
              </a:graphic>
            </wp:anchor>
          </w:drawing>
        </mc:Choice>
        <mc:Fallback>
          <w:pict>
            <v:shape w14:anchorId="3728AE37"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D14FF0F" w14:textId="4734B60E" w:rsidR="009E2712" w:rsidRDefault="00E93C35">
                    <w:pPr>
                      <w:pStyle w:val="Referentiegegevens"/>
                    </w:pPr>
                    <w:r>
                      <w:t xml:space="preserve">Pagina </w:t>
                    </w:r>
                    <w:r>
                      <w:fldChar w:fldCharType="begin"/>
                    </w:r>
                    <w:r>
                      <w:instrText>PAGE</w:instrText>
                    </w:r>
                    <w:r>
                      <w:fldChar w:fldCharType="separate"/>
                    </w:r>
                    <w:r w:rsidR="00A933A0">
                      <w:rPr>
                        <w:noProof/>
                      </w:rPr>
                      <w:t>2</w:t>
                    </w:r>
                    <w:r>
                      <w:fldChar w:fldCharType="end"/>
                    </w:r>
                    <w:r>
                      <w:t xml:space="preserve"> van </w:t>
                    </w:r>
                    <w:r>
                      <w:fldChar w:fldCharType="begin"/>
                    </w:r>
                    <w:r>
                      <w:instrText>NUMPAGES</w:instrText>
                    </w:r>
                    <w:r>
                      <w:fldChar w:fldCharType="separate"/>
                    </w:r>
                    <w:r w:rsidR="00A933A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E9B7" w14:textId="77777777" w:rsidR="009E2712" w:rsidRDefault="00E93C35">
    <w:pPr>
      <w:spacing w:after="6377" w:line="14" w:lineRule="exact"/>
    </w:pPr>
    <w:r>
      <w:rPr>
        <w:noProof/>
      </w:rPr>
      <mc:AlternateContent>
        <mc:Choice Requires="wps">
          <w:drawing>
            <wp:anchor distT="0" distB="0" distL="0" distR="0" simplePos="0" relativeHeight="251655680" behindDoc="0" locked="1" layoutInCell="1" allowOverlap="1" wp14:anchorId="39BDC475" wp14:editId="40268F13">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286EF0C" w14:textId="77777777" w:rsidR="00FF657B" w:rsidRDefault="00E93C35">
                          <w:r>
                            <w:t xml:space="preserve">Aan de Voorzitter van de Tweede Kamer </w:t>
                          </w:r>
                        </w:p>
                        <w:p w14:paraId="63EEF9B4" w14:textId="2E5D0B4A" w:rsidR="009E2712" w:rsidRDefault="00E93C35">
                          <w:r>
                            <w:t>der Staten-Generaal</w:t>
                          </w:r>
                        </w:p>
                        <w:p w14:paraId="61EE6AC5" w14:textId="77777777" w:rsidR="009E2712" w:rsidRDefault="00E93C35">
                          <w:r>
                            <w:t xml:space="preserve">Postbus 20018 </w:t>
                          </w:r>
                        </w:p>
                        <w:p w14:paraId="1282F57D" w14:textId="77777777" w:rsidR="009E2712" w:rsidRDefault="00E93C35">
                          <w:r>
                            <w:t>2500 EA  DEN HAAG</w:t>
                          </w:r>
                        </w:p>
                      </w:txbxContent>
                    </wps:txbx>
                    <wps:bodyPr vert="horz" wrap="square" lIns="0" tIns="0" rIns="0" bIns="0" anchor="t" anchorCtr="0"/>
                  </wps:wsp>
                </a:graphicData>
              </a:graphic>
            </wp:anchor>
          </w:drawing>
        </mc:Choice>
        <mc:Fallback>
          <w:pict>
            <v:shapetype w14:anchorId="39BDC47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286EF0C" w14:textId="77777777" w:rsidR="00FF657B" w:rsidRDefault="00E93C35">
                    <w:r>
                      <w:t xml:space="preserve">Aan de Voorzitter van de Tweede Kamer </w:t>
                    </w:r>
                  </w:p>
                  <w:p w14:paraId="63EEF9B4" w14:textId="2E5D0B4A" w:rsidR="009E2712" w:rsidRDefault="00E93C35">
                    <w:r>
                      <w:t>der Staten-Generaal</w:t>
                    </w:r>
                  </w:p>
                  <w:p w14:paraId="61EE6AC5" w14:textId="77777777" w:rsidR="009E2712" w:rsidRDefault="00E93C35">
                    <w:r>
                      <w:t xml:space="preserve">Postbus 20018 </w:t>
                    </w:r>
                  </w:p>
                  <w:p w14:paraId="1282F57D" w14:textId="77777777" w:rsidR="009E2712" w:rsidRDefault="00E93C3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24BAC30" wp14:editId="4C197093">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E2712" w14:paraId="7740A37E" w14:textId="77777777">
                            <w:trPr>
                              <w:trHeight w:val="240"/>
                            </w:trPr>
                            <w:tc>
                              <w:tcPr>
                                <w:tcW w:w="1140" w:type="dxa"/>
                              </w:tcPr>
                              <w:p w14:paraId="25502A3B" w14:textId="77777777" w:rsidR="009E2712" w:rsidRDefault="00E93C35">
                                <w:r>
                                  <w:t>Datum</w:t>
                                </w:r>
                              </w:p>
                            </w:tc>
                            <w:tc>
                              <w:tcPr>
                                <w:tcW w:w="5918" w:type="dxa"/>
                              </w:tcPr>
                              <w:p w14:paraId="0F70D8FA" w14:textId="539F0D95" w:rsidR="009E2712" w:rsidRDefault="003A6F89">
                                <w:r>
                                  <w:rPr>
                                    <w:lang w:val="nl"/>
                                  </w:rPr>
                                  <w:t xml:space="preserve">19 november </w:t>
                                </w:r>
                                <w:r w:rsidR="00645A54">
                                  <w:rPr>
                                    <w:lang w:val="nl"/>
                                  </w:rPr>
                                  <w:t>2025</w:t>
                                </w:r>
                              </w:p>
                            </w:tc>
                          </w:tr>
                          <w:tr w:rsidR="009E2712" w14:paraId="32AA8A12" w14:textId="77777777">
                            <w:trPr>
                              <w:trHeight w:val="240"/>
                            </w:trPr>
                            <w:tc>
                              <w:tcPr>
                                <w:tcW w:w="1140" w:type="dxa"/>
                              </w:tcPr>
                              <w:p w14:paraId="05CD0D37" w14:textId="77777777" w:rsidR="009E2712" w:rsidRDefault="00E93C35">
                                <w:r>
                                  <w:t>Betreft</w:t>
                                </w:r>
                              </w:p>
                            </w:tc>
                            <w:tc>
                              <w:tcPr>
                                <w:tcW w:w="5918" w:type="dxa"/>
                              </w:tcPr>
                              <w:p w14:paraId="6A5CD84C" w14:textId="77777777" w:rsidR="00645A54" w:rsidRDefault="00645A54" w:rsidP="00645A54">
                                <w:r>
                                  <w:t>WODC-evaluatie Wet afwikkeling massaschade in collectieve actie (WAMCA)</w:t>
                                </w:r>
                              </w:p>
                              <w:p w14:paraId="2680B4F3" w14:textId="77777777" w:rsidR="009E2712" w:rsidRDefault="009E2712"/>
                            </w:tc>
                          </w:tr>
                        </w:tbl>
                        <w:p w14:paraId="537FAC6E" w14:textId="77777777" w:rsidR="00E93C35" w:rsidRDefault="00E93C35"/>
                      </w:txbxContent>
                    </wps:txbx>
                    <wps:bodyPr vert="horz" wrap="square" lIns="0" tIns="0" rIns="0" bIns="0" anchor="t" anchorCtr="0"/>
                  </wps:wsp>
                </a:graphicData>
              </a:graphic>
            </wp:anchor>
          </w:drawing>
        </mc:Choice>
        <mc:Fallback>
          <w:pict>
            <v:shape w14:anchorId="224BAC30"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E2712" w14:paraId="7740A37E" w14:textId="77777777">
                      <w:trPr>
                        <w:trHeight w:val="240"/>
                      </w:trPr>
                      <w:tc>
                        <w:tcPr>
                          <w:tcW w:w="1140" w:type="dxa"/>
                        </w:tcPr>
                        <w:p w14:paraId="25502A3B" w14:textId="77777777" w:rsidR="009E2712" w:rsidRDefault="00E93C35">
                          <w:r>
                            <w:t>Datum</w:t>
                          </w:r>
                        </w:p>
                      </w:tc>
                      <w:tc>
                        <w:tcPr>
                          <w:tcW w:w="5918" w:type="dxa"/>
                        </w:tcPr>
                        <w:p w14:paraId="0F70D8FA" w14:textId="539F0D95" w:rsidR="009E2712" w:rsidRDefault="003A6F89">
                          <w:r>
                            <w:rPr>
                              <w:lang w:val="nl"/>
                            </w:rPr>
                            <w:t xml:space="preserve">19 november </w:t>
                          </w:r>
                          <w:r w:rsidR="00645A54">
                            <w:rPr>
                              <w:lang w:val="nl"/>
                            </w:rPr>
                            <w:t>2025</w:t>
                          </w:r>
                        </w:p>
                      </w:tc>
                    </w:tr>
                    <w:tr w:rsidR="009E2712" w14:paraId="32AA8A12" w14:textId="77777777">
                      <w:trPr>
                        <w:trHeight w:val="240"/>
                      </w:trPr>
                      <w:tc>
                        <w:tcPr>
                          <w:tcW w:w="1140" w:type="dxa"/>
                        </w:tcPr>
                        <w:p w14:paraId="05CD0D37" w14:textId="77777777" w:rsidR="009E2712" w:rsidRDefault="00E93C35">
                          <w:r>
                            <w:t>Betreft</w:t>
                          </w:r>
                        </w:p>
                      </w:tc>
                      <w:tc>
                        <w:tcPr>
                          <w:tcW w:w="5918" w:type="dxa"/>
                        </w:tcPr>
                        <w:p w14:paraId="6A5CD84C" w14:textId="77777777" w:rsidR="00645A54" w:rsidRDefault="00645A54" w:rsidP="00645A54">
                          <w:r>
                            <w:t>WODC-evaluatie Wet afwikkeling massaschade in collectieve actie (WAMCA)</w:t>
                          </w:r>
                        </w:p>
                        <w:p w14:paraId="2680B4F3" w14:textId="77777777" w:rsidR="009E2712" w:rsidRDefault="009E2712"/>
                      </w:tc>
                    </w:tr>
                  </w:tbl>
                  <w:p w14:paraId="537FAC6E" w14:textId="77777777" w:rsidR="00E93C35" w:rsidRDefault="00E93C35"/>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70087A8" wp14:editId="3A60D9C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50A52E0" w14:textId="77777777" w:rsidR="009E2712" w:rsidRDefault="00E93C35">
                          <w:pPr>
                            <w:pStyle w:val="Referentiegegevensbold"/>
                          </w:pPr>
                          <w:r>
                            <w:t>Cluster secretaris-generaal</w:t>
                          </w:r>
                        </w:p>
                        <w:p w14:paraId="281A4639" w14:textId="77777777" w:rsidR="009E2712" w:rsidRDefault="00E93C35">
                          <w:pPr>
                            <w:pStyle w:val="Referentiegegevens"/>
                          </w:pPr>
                          <w:r>
                            <w:t>Directie Wetgeving en Juridische Zaken</w:t>
                          </w:r>
                        </w:p>
                        <w:p w14:paraId="1304D373" w14:textId="77777777" w:rsidR="009E2712" w:rsidRDefault="00E93C35">
                          <w:pPr>
                            <w:pStyle w:val="Referentiegegevens"/>
                          </w:pPr>
                          <w:r>
                            <w:t>Sector Privaatrecht</w:t>
                          </w:r>
                        </w:p>
                        <w:p w14:paraId="3B3094FB" w14:textId="77777777" w:rsidR="009E2712" w:rsidRDefault="009E2712">
                          <w:pPr>
                            <w:pStyle w:val="WitregelW1"/>
                          </w:pPr>
                        </w:p>
                        <w:p w14:paraId="51D02F7C" w14:textId="77777777" w:rsidR="009E2712" w:rsidRDefault="00E93C35">
                          <w:pPr>
                            <w:pStyle w:val="Referentiegegevens"/>
                          </w:pPr>
                          <w:r>
                            <w:t>Turfmarkt 147</w:t>
                          </w:r>
                        </w:p>
                        <w:p w14:paraId="3ABA7AC5" w14:textId="77777777" w:rsidR="009E2712" w:rsidRDefault="00E93C35">
                          <w:pPr>
                            <w:pStyle w:val="Referentiegegevens"/>
                          </w:pPr>
                          <w:r>
                            <w:t>2511 DP   Den Haag</w:t>
                          </w:r>
                        </w:p>
                        <w:p w14:paraId="1F049F6D" w14:textId="77777777" w:rsidR="009E2712" w:rsidRPr="005832F9" w:rsidRDefault="00E93C35">
                          <w:pPr>
                            <w:pStyle w:val="Referentiegegevens"/>
                            <w:rPr>
                              <w:lang w:val="de-DE"/>
                            </w:rPr>
                          </w:pPr>
                          <w:r w:rsidRPr="005832F9">
                            <w:rPr>
                              <w:lang w:val="de-DE"/>
                            </w:rPr>
                            <w:t>Postbus 20301</w:t>
                          </w:r>
                        </w:p>
                        <w:p w14:paraId="0F64D37F" w14:textId="77777777" w:rsidR="009E2712" w:rsidRPr="005832F9" w:rsidRDefault="00E93C35">
                          <w:pPr>
                            <w:pStyle w:val="Referentiegegevens"/>
                            <w:rPr>
                              <w:lang w:val="de-DE"/>
                            </w:rPr>
                          </w:pPr>
                          <w:r w:rsidRPr="005832F9">
                            <w:rPr>
                              <w:lang w:val="de-DE"/>
                            </w:rPr>
                            <w:t>2500 EH   Den Haag</w:t>
                          </w:r>
                        </w:p>
                        <w:p w14:paraId="2A1259C6" w14:textId="77777777" w:rsidR="009E2712" w:rsidRPr="005832F9" w:rsidRDefault="00E93C35">
                          <w:pPr>
                            <w:pStyle w:val="Referentiegegevens"/>
                            <w:rPr>
                              <w:lang w:val="de-DE"/>
                            </w:rPr>
                          </w:pPr>
                          <w:r w:rsidRPr="005832F9">
                            <w:rPr>
                              <w:lang w:val="de-DE"/>
                            </w:rPr>
                            <w:t>www.rijksoverheid.nl/jenv</w:t>
                          </w:r>
                        </w:p>
                        <w:p w14:paraId="1D0AC1F8" w14:textId="77777777" w:rsidR="009E2712" w:rsidRPr="005832F9" w:rsidRDefault="009E2712">
                          <w:pPr>
                            <w:pStyle w:val="WitregelW2"/>
                            <w:rPr>
                              <w:lang w:val="de-DE"/>
                            </w:rPr>
                          </w:pPr>
                        </w:p>
                        <w:p w14:paraId="40C0140C" w14:textId="77777777" w:rsidR="009E2712" w:rsidRDefault="00E93C35">
                          <w:pPr>
                            <w:pStyle w:val="Referentiegegevensbold"/>
                          </w:pPr>
                          <w:r>
                            <w:t>Onze referentie</w:t>
                          </w:r>
                        </w:p>
                        <w:p w14:paraId="23CDD8BE" w14:textId="77777777" w:rsidR="009E2712" w:rsidRDefault="00E93C35">
                          <w:pPr>
                            <w:pStyle w:val="Referentiegegevens"/>
                          </w:pPr>
                          <w:r>
                            <w:t>6831430</w:t>
                          </w:r>
                        </w:p>
                        <w:p w14:paraId="2B00B655" w14:textId="77777777" w:rsidR="009E2712" w:rsidRDefault="009E2712">
                          <w:pPr>
                            <w:pStyle w:val="WitregelW1"/>
                          </w:pPr>
                        </w:p>
                        <w:p w14:paraId="53BEA75A" w14:textId="4A1B46E1" w:rsidR="009E2712" w:rsidRDefault="009E2712">
                          <w:pPr>
                            <w:pStyle w:val="Referentiegegevens"/>
                          </w:pPr>
                        </w:p>
                      </w:txbxContent>
                    </wps:txbx>
                    <wps:bodyPr vert="horz" wrap="square" lIns="0" tIns="0" rIns="0" bIns="0" anchor="t" anchorCtr="0"/>
                  </wps:wsp>
                </a:graphicData>
              </a:graphic>
            </wp:anchor>
          </w:drawing>
        </mc:Choice>
        <mc:Fallback>
          <w:pict>
            <v:shape w14:anchorId="070087A8"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50A52E0" w14:textId="77777777" w:rsidR="009E2712" w:rsidRDefault="00E93C35">
                    <w:pPr>
                      <w:pStyle w:val="Referentiegegevensbold"/>
                    </w:pPr>
                    <w:r>
                      <w:t>Cluster secretaris-generaal</w:t>
                    </w:r>
                  </w:p>
                  <w:p w14:paraId="281A4639" w14:textId="77777777" w:rsidR="009E2712" w:rsidRDefault="00E93C35">
                    <w:pPr>
                      <w:pStyle w:val="Referentiegegevens"/>
                    </w:pPr>
                    <w:r>
                      <w:t>Directie Wetgeving en Juridische Zaken</w:t>
                    </w:r>
                  </w:p>
                  <w:p w14:paraId="1304D373" w14:textId="77777777" w:rsidR="009E2712" w:rsidRDefault="00E93C35">
                    <w:pPr>
                      <w:pStyle w:val="Referentiegegevens"/>
                    </w:pPr>
                    <w:r>
                      <w:t>Sector Privaatrecht</w:t>
                    </w:r>
                  </w:p>
                  <w:p w14:paraId="3B3094FB" w14:textId="77777777" w:rsidR="009E2712" w:rsidRDefault="009E2712">
                    <w:pPr>
                      <w:pStyle w:val="WitregelW1"/>
                    </w:pPr>
                  </w:p>
                  <w:p w14:paraId="51D02F7C" w14:textId="77777777" w:rsidR="009E2712" w:rsidRDefault="00E93C35">
                    <w:pPr>
                      <w:pStyle w:val="Referentiegegevens"/>
                    </w:pPr>
                    <w:r>
                      <w:t>Turfmarkt 147</w:t>
                    </w:r>
                  </w:p>
                  <w:p w14:paraId="3ABA7AC5" w14:textId="77777777" w:rsidR="009E2712" w:rsidRDefault="00E93C35">
                    <w:pPr>
                      <w:pStyle w:val="Referentiegegevens"/>
                    </w:pPr>
                    <w:r>
                      <w:t>2511 DP   Den Haag</w:t>
                    </w:r>
                  </w:p>
                  <w:p w14:paraId="1F049F6D" w14:textId="77777777" w:rsidR="009E2712" w:rsidRPr="005832F9" w:rsidRDefault="00E93C35">
                    <w:pPr>
                      <w:pStyle w:val="Referentiegegevens"/>
                      <w:rPr>
                        <w:lang w:val="de-DE"/>
                      </w:rPr>
                    </w:pPr>
                    <w:r w:rsidRPr="005832F9">
                      <w:rPr>
                        <w:lang w:val="de-DE"/>
                      </w:rPr>
                      <w:t>Postbus 20301</w:t>
                    </w:r>
                  </w:p>
                  <w:p w14:paraId="0F64D37F" w14:textId="77777777" w:rsidR="009E2712" w:rsidRPr="005832F9" w:rsidRDefault="00E93C35">
                    <w:pPr>
                      <w:pStyle w:val="Referentiegegevens"/>
                      <w:rPr>
                        <w:lang w:val="de-DE"/>
                      </w:rPr>
                    </w:pPr>
                    <w:r w:rsidRPr="005832F9">
                      <w:rPr>
                        <w:lang w:val="de-DE"/>
                      </w:rPr>
                      <w:t>2500 EH   Den Haag</w:t>
                    </w:r>
                  </w:p>
                  <w:p w14:paraId="2A1259C6" w14:textId="77777777" w:rsidR="009E2712" w:rsidRPr="005832F9" w:rsidRDefault="00E93C35">
                    <w:pPr>
                      <w:pStyle w:val="Referentiegegevens"/>
                      <w:rPr>
                        <w:lang w:val="de-DE"/>
                      </w:rPr>
                    </w:pPr>
                    <w:r w:rsidRPr="005832F9">
                      <w:rPr>
                        <w:lang w:val="de-DE"/>
                      </w:rPr>
                      <w:t>www.rijksoverheid.nl/jenv</w:t>
                    </w:r>
                  </w:p>
                  <w:p w14:paraId="1D0AC1F8" w14:textId="77777777" w:rsidR="009E2712" w:rsidRPr="005832F9" w:rsidRDefault="009E2712">
                    <w:pPr>
                      <w:pStyle w:val="WitregelW2"/>
                      <w:rPr>
                        <w:lang w:val="de-DE"/>
                      </w:rPr>
                    </w:pPr>
                  </w:p>
                  <w:p w14:paraId="40C0140C" w14:textId="77777777" w:rsidR="009E2712" w:rsidRDefault="00E93C35">
                    <w:pPr>
                      <w:pStyle w:val="Referentiegegevensbold"/>
                    </w:pPr>
                    <w:r>
                      <w:t>Onze referentie</w:t>
                    </w:r>
                  </w:p>
                  <w:p w14:paraId="23CDD8BE" w14:textId="77777777" w:rsidR="009E2712" w:rsidRDefault="00E93C35">
                    <w:pPr>
                      <w:pStyle w:val="Referentiegegevens"/>
                    </w:pPr>
                    <w:r>
                      <w:t>6831430</w:t>
                    </w:r>
                  </w:p>
                  <w:p w14:paraId="2B00B655" w14:textId="77777777" w:rsidR="009E2712" w:rsidRDefault="009E2712">
                    <w:pPr>
                      <w:pStyle w:val="WitregelW1"/>
                    </w:pPr>
                  </w:p>
                  <w:p w14:paraId="53BEA75A" w14:textId="4A1B46E1" w:rsidR="009E2712" w:rsidRDefault="009E2712">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08E6A8D" wp14:editId="629A67D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7925504" w14:textId="77777777" w:rsidR="00E93C35" w:rsidRDefault="00E93C35"/>
                      </w:txbxContent>
                    </wps:txbx>
                    <wps:bodyPr vert="horz" wrap="square" lIns="0" tIns="0" rIns="0" bIns="0" anchor="t" anchorCtr="0"/>
                  </wps:wsp>
                </a:graphicData>
              </a:graphic>
            </wp:anchor>
          </w:drawing>
        </mc:Choice>
        <mc:Fallback>
          <w:pict>
            <v:shape w14:anchorId="308E6A8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7925504" w14:textId="77777777" w:rsidR="00E93C35" w:rsidRDefault="00E93C3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88F2515" wp14:editId="068E7F6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855BD82" w14:textId="77777777" w:rsidR="009E2712" w:rsidRDefault="00E93C35">
                          <w:pPr>
                            <w:pStyle w:val="Referentiegegevens"/>
                          </w:pPr>
                          <w:r>
                            <w:t xml:space="preserve">Pagina </w:t>
                          </w:r>
                          <w:r>
                            <w:fldChar w:fldCharType="begin"/>
                          </w:r>
                          <w:r>
                            <w:instrText>PAGE</w:instrText>
                          </w:r>
                          <w:r>
                            <w:fldChar w:fldCharType="separate"/>
                          </w:r>
                          <w:r w:rsidR="00A933A0">
                            <w:rPr>
                              <w:noProof/>
                            </w:rPr>
                            <w:t>1</w:t>
                          </w:r>
                          <w:r>
                            <w:fldChar w:fldCharType="end"/>
                          </w:r>
                          <w:r>
                            <w:t xml:space="preserve"> van </w:t>
                          </w:r>
                          <w:r>
                            <w:fldChar w:fldCharType="begin"/>
                          </w:r>
                          <w:r>
                            <w:instrText>NUMPAGES</w:instrText>
                          </w:r>
                          <w:r>
                            <w:fldChar w:fldCharType="separate"/>
                          </w:r>
                          <w:r w:rsidR="00A933A0">
                            <w:rPr>
                              <w:noProof/>
                            </w:rPr>
                            <w:t>1</w:t>
                          </w:r>
                          <w:r>
                            <w:fldChar w:fldCharType="end"/>
                          </w:r>
                        </w:p>
                      </w:txbxContent>
                    </wps:txbx>
                    <wps:bodyPr vert="horz" wrap="square" lIns="0" tIns="0" rIns="0" bIns="0" anchor="t" anchorCtr="0"/>
                  </wps:wsp>
                </a:graphicData>
              </a:graphic>
            </wp:anchor>
          </w:drawing>
        </mc:Choice>
        <mc:Fallback>
          <w:pict>
            <v:shape w14:anchorId="588F251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855BD82" w14:textId="77777777" w:rsidR="009E2712" w:rsidRDefault="00E93C35">
                    <w:pPr>
                      <w:pStyle w:val="Referentiegegevens"/>
                    </w:pPr>
                    <w:r>
                      <w:t xml:space="preserve">Pagina </w:t>
                    </w:r>
                    <w:r>
                      <w:fldChar w:fldCharType="begin"/>
                    </w:r>
                    <w:r>
                      <w:instrText>PAGE</w:instrText>
                    </w:r>
                    <w:r>
                      <w:fldChar w:fldCharType="separate"/>
                    </w:r>
                    <w:r w:rsidR="00A933A0">
                      <w:rPr>
                        <w:noProof/>
                      </w:rPr>
                      <w:t>1</w:t>
                    </w:r>
                    <w:r>
                      <w:fldChar w:fldCharType="end"/>
                    </w:r>
                    <w:r>
                      <w:t xml:space="preserve"> van </w:t>
                    </w:r>
                    <w:r>
                      <w:fldChar w:fldCharType="begin"/>
                    </w:r>
                    <w:r>
                      <w:instrText>NUMPAGES</w:instrText>
                    </w:r>
                    <w:r>
                      <w:fldChar w:fldCharType="separate"/>
                    </w:r>
                    <w:r w:rsidR="00A933A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3B98388" wp14:editId="1EF7C35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B1BDCCE" w14:textId="77777777" w:rsidR="009E2712" w:rsidRDefault="00E93C35">
                          <w:pPr>
                            <w:spacing w:line="240" w:lineRule="auto"/>
                          </w:pPr>
                          <w:r>
                            <w:rPr>
                              <w:noProof/>
                            </w:rPr>
                            <w:drawing>
                              <wp:inline distT="0" distB="0" distL="0" distR="0" wp14:anchorId="10621007" wp14:editId="1D0DA36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B9838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B1BDCCE" w14:textId="77777777" w:rsidR="009E2712" w:rsidRDefault="00E93C35">
                    <w:pPr>
                      <w:spacing w:line="240" w:lineRule="auto"/>
                    </w:pPr>
                    <w:r>
                      <w:rPr>
                        <w:noProof/>
                      </w:rPr>
                      <w:drawing>
                        <wp:inline distT="0" distB="0" distL="0" distR="0" wp14:anchorId="10621007" wp14:editId="1D0DA36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20D864C" wp14:editId="7BE5D31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9C902CD" w14:textId="77777777" w:rsidR="009E2712" w:rsidRDefault="00E93C35">
                          <w:pPr>
                            <w:spacing w:line="240" w:lineRule="auto"/>
                          </w:pPr>
                          <w:r>
                            <w:rPr>
                              <w:noProof/>
                            </w:rPr>
                            <w:drawing>
                              <wp:inline distT="0" distB="0" distL="0" distR="0" wp14:anchorId="2F435FFF" wp14:editId="46C6737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20D864C"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9C902CD" w14:textId="77777777" w:rsidR="009E2712" w:rsidRDefault="00E93C35">
                    <w:pPr>
                      <w:spacing w:line="240" w:lineRule="auto"/>
                    </w:pPr>
                    <w:r>
                      <w:rPr>
                        <w:noProof/>
                      </w:rPr>
                      <w:drawing>
                        <wp:inline distT="0" distB="0" distL="0" distR="0" wp14:anchorId="2F435FFF" wp14:editId="46C6737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AE0367B" wp14:editId="4696E2C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12835CD" w14:textId="77777777" w:rsidR="009E2712" w:rsidRDefault="00E93C3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AE0367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12835CD" w14:textId="77777777" w:rsidR="009E2712" w:rsidRDefault="00E93C35">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4D7713"/>
    <w:multiLevelType w:val="multilevel"/>
    <w:tmpl w:val="64D8848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22E6FC3"/>
    <w:multiLevelType w:val="multilevel"/>
    <w:tmpl w:val="592ACC0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C7E931D"/>
    <w:multiLevelType w:val="multilevel"/>
    <w:tmpl w:val="97B98ED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4991713"/>
    <w:multiLevelType w:val="hybridMultilevel"/>
    <w:tmpl w:val="5A5CF37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B9C823A"/>
    <w:multiLevelType w:val="multilevel"/>
    <w:tmpl w:val="B75772A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CD7E0B3"/>
    <w:multiLevelType w:val="multilevel"/>
    <w:tmpl w:val="9A8AE39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56FF9D26"/>
    <w:multiLevelType w:val="multilevel"/>
    <w:tmpl w:val="232E1B9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877399505">
    <w:abstractNumId w:val="4"/>
  </w:num>
  <w:num w:numId="2" w16cid:durableId="1021858827">
    <w:abstractNumId w:val="5"/>
  </w:num>
  <w:num w:numId="3" w16cid:durableId="2075279771">
    <w:abstractNumId w:val="1"/>
  </w:num>
  <w:num w:numId="4" w16cid:durableId="506602329">
    <w:abstractNumId w:val="6"/>
  </w:num>
  <w:num w:numId="5" w16cid:durableId="1070493789">
    <w:abstractNumId w:val="2"/>
  </w:num>
  <w:num w:numId="6" w16cid:durableId="2124180220">
    <w:abstractNumId w:val="0"/>
  </w:num>
  <w:num w:numId="7" w16cid:durableId="2067490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3A0"/>
    <w:rsid w:val="000715B8"/>
    <w:rsid w:val="000D3BD1"/>
    <w:rsid w:val="000D607A"/>
    <w:rsid w:val="00100E48"/>
    <w:rsid w:val="00120BC6"/>
    <w:rsid w:val="0017266E"/>
    <w:rsid w:val="00187B07"/>
    <w:rsid w:val="00193987"/>
    <w:rsid w:val="001B0896"/>
    <w:rsid w:val="001B5298"/>
    <w:rsid w:val="001E10A5"/>
    <w:rsid w:val="0021777D"/>
    <w:rsid w:val="00243045"/>
    <w:rsid w:val="00247957"/>
    <w:rsid w:val="00256C59"/>
    <w:rsid w:val="002813C5"/>
    <w:rsid w:val="002958AE"/>
    <w:rsid w:val="002E78AA"/>
    <w:rsid w:val="002F65F4"/>
    <w:rsid w:val="0032058F"/>
    <w:rsid w:val="003253AA"/>
    <w:rsid w:val="00376C96"/>
    <w:rsid w:val="003A6F89"/>
    <w:rsid w:val="004262FE"/>
    <w:rsid w:val="00451948"/>
    <w:rsid w:val="0047436F"/>
    <w:rsid w:val="004C6F92"/>
    <w:rsid w:val="0051497A"/>
    <w:rsid w:val="005300E1"/>
    <w:rsid w:val="005427FB"/>
    <w:rsid w:val="00563107"/>
    <w:rsid w:val="005832F9"/>
    <w:rsid w:val="005B366E"/>
    <w:rsid w:val="006266D2"/>
    <w:rsid w:val="00645A54"/>
    <w:rsid w:val="006569F0"/>
    <w:rsid w:val="007077B8"/>
    <w:rsid w:val="007134A7"/>
    <w:rsid w:val="0072383D"/>
    <w:rsid w:val="00730592"/>
    <w:rsid w:val="00771FDF"/>
    <w:rsid w:val="007A2244"/>
    <w:rsid w:val="007B60E6"/>
    <w:rsid w:val="007E41E6"/>
    <w:rsid w:val="0084421E"/>
    <w:rsid w:val="008B79FE"/>
    <w:rsid w:val="008C1D73"/>
    <w:rsid w:val="008D1FC3"/>
    <w:rsid w:val="008F279C"/>
    <w:rsid w:val="0091256E"/>
    <w:rsid w:val="00935A04"/>
    <w:rsid w:val="00952AD5"/>
    <w:rsid w:val="00962501"/>
    <w:rsid w:val="00977F66"/>
    <w:rsid w:val="00985759"/>
    <w:rsid w:val="009D1202"/>
    <w:rsid w:val="009D75D2"/>
    <w:rsid w:val="009E2712"/>
    <w:rsid w:val="00A07451"/>
    <w:rsid w:val="00A24E36"/>
    <w:rsid w:val="00A719E0"/>
    <w:rsid w:val="00A852EA"/>
    <w:rsid w:val="00A933A0"/>
    <w:rsid w:val="00AF14C9"/>
    <w:rsid w:val="00B22520"/>
    <w:rsid w:val="00B505F4"/>
    <w:rsid w:val="00BD5725"/>
    <w:rsid w:val="00BE57AD"/>
    <w:rsid w:val="00C168BB"/>
    <w:rsid w:val="00C423FF"/>
    <w:rsid w:val="00CC43F0"/>
    <w:rsid w:val="00CF3840"/>
    <w:rsid w:val="00D55006"/>
    <w:rsid w:val="00D6250E"/>
    <w:rsid w:val="00DB4D70"/>
    <w:rsid w:val="00E93C35"/>
    <w:rsid w:val="00EA7E6F"/>
    <w:rsid w:val="00EE22BA"/>
    <w:rsid w:val="00FB3ABB"/>
    <w:rsid w:val="00FB6C3C"/>
    <w:rsid w:val="00FD7F35"/>
    <w:rsid w:val="00FE2EE2"/>
    <w:rsid w:val="00FF65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2C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100E4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00E48"/>
    <w:rPr>
      <w:rFonts w:ascii="Verdana" w:hAnsi="Verdana"/>
      <w:color w:val="000000"/>
    </w:rPr>
  </w:style>
  <w:style w:type="character" w:styleId="Voetnootmarkering">
    <w:name w:val="footnote reference"/>
    <w:basedOn w:val="Standaardalinea-lettertype"/>
    <w:uiPriority w:val="99"/>
    <w:semiHidden/>
    <w:unhideWhenUsed/>
    <w:rsid w:val="00100E48"/>
    <w:rPr>
      <w:vertAlign w:val="superscript"/>
    </w:rPr>
  </w:style>
  <w:style w:type="paragraph" w:styleId="Lijstalinea">
    <w:name w:val="List Paragraph"/>
    <w:basedOn w:val="Standaard"/>
    <w:uiPriority w:val="34"/>
    <w:semiHidden/>
    <w:rsid w:val="002958AE"/>
    <w:pPr>
      <w:ind w:left="720"/>
      <w:contextualSpacing/>
    </w:pPr>
  </w:style>
  <w:style w:type="paragraph" w:styleId="Revisie">
    <w:name w:val="Revision"/>
    <w:hidden/>
    <w:uiPriority w:val="99"/>
    <w:semiHidden/>
    <w:rsid w:val="006266D2"/>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6266D2"/>
    <w:rPr>
      <w:sz w:val="16"/>
      <w:szCs w:val="16"/>
    </w:rPr>
  </w:style>
  <w:style w:type="paragraph" w:styleId="Tekstopmerking">
    <w:name w:val="annotation text"/>
    <w:basedOn w:val="Standaard"/>
    <w:link w:val="TekstopmerkingChar"/>
    <w:uiPriority w:val="99"/>
    <w:unhideWhenUsed/>
    <w:rsid w:val="006266D2"/>
    <w:pPr>
      <w:spacing w:line="240" w:lineRule="auto"/>
    </w:pPr>
    <w:rPr>
      <w:sz w:val="20"/>
      <w:szCs w:val="20"/>
    </w:rPr>
  </w:style>
  <w:style w:type="character" w:customStyle="1" w:styleId="TekstopmerkingChar">
    <w:name w:val="Tekst opmerking Char"/>
    <w:basedOn w:val="Standaardalinea-lettertype"/>
    <w:link w:val="Tekstopmerking"/>
    <w:uiPriority w:val="99"/>
    <w:rsid w:val="006266D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266D2"/>
    <w:rPr>
      <w:b/>
      <w:bCs/>
    </w:rPr>
  </w:style>
  <w:style w:type="character" w:customStyle="1" w:styleId="OnderwerpvanopmerkingChar">
    <w:name w:val="Onderwerp van opmerking Char"/>
    <w:basedOn w:val="TekstopmerkingChar"/>
    <w:link w:val="Onderwerpvanopmerking"/>
    <w:uiPriority w:val="99"/>
    <w:semiHidden/>
    <w:rsid w:val="006266D2"/>
    <w:rPr>
      <w:rFonts w:ascii="Verdana" w:hAnsi="Verdana"/>
      <w:b/>
      <w:bCs/>
      <w:color w:val="000000"/>
    </w:rPr>
  </w:style>
  <w:style w:type="paragraph" w:styleId="Koptekst">
    <w:name w:val="header"/>
    <w:basedOn w:val="Standaard"/>
    <w:link w:val="KoptekstChar"/>
    <w:uiPriority w:val="99"/>
    <w:unhideWhenUsed/>
    <w:rsid w:val="0047436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7436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856</ap:Words>
  <ap:Characters>4713</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2025-11-19T09:14:00.0000000Z</dcterms:created>
  <dcterms:modified xsi:type="dcterms:W3CDTF">2025-11-19T09:14:00.0000000Z</dcterms:modified>
  <dc:description>------------------------</dc:description>
  <version/>
  <category/>
</coreProperties>
</file>