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2025Z20072</w:t>
        <w:br/>
      </w:r>
      <w:proofErr w:type="spellEnd"/>
    </w:p>
    <w:p>
      <w:pPr>
        <w:pStyle w:val="Normal"/>
        <w:rPr>
          <w:b w:val="1"/>
          <w:bCs w:val="1"/>
        </w:rPr>
      </w:pPr>
      <w:r w:rsidR="250AE766">
        <w:rPr>
          <w:b w:val="0"/>
          <w:bCs w:val="0"/>
        </w:rPr>
        <w:t>(ingezonden 19 november 2025)</w:t>
        <w:br/>
      </w:r>
    </w:p>
    <w:p>
      <w:r>
        <w:t xml:space="preserve">Vragen van de leden Van Brenk en Struijs (beiden 50PLUS) aan de minister van Sociale Zaken en Werkgelegenheid over het artikel ‘Schrijnend beeld: gepensioneerden zien inkomen al jaren achterblijven ten opzichte van anderen’ </w:t>
      </w:r>
      <w:r>
        <w:br/>
      </w:r>
    </w:p>
    <w:p>
      <w:r>
        <w:t xml:space="preserve"> </w:t>
      </w:r>
      <w:r>
        <w:br/>
      </w:r>
    </w:p>
    <w:p>
      <w:pPr>
        <w:pStyle w:val="ListParagraph"/>
        <w:numPr>
          <w:ilvl w:val="0"/>
          <w:numId w:val="100490490"/>
        </w:numPr>
        <w:ind w:left="360"/>
      </w:pPr>
      <w:r>
        <w:t xml:space="preserve">Kunt u bevestigen dat de cijfers zoals weergegeven in de tabellen bij dit artikel inderdaad correct worden weergegeven en gebaseerd zijn op CBS-data? 1)</w:t>
      </w:r>
      <w:r>
        <w:br/>
      </w:r>
    </w:p>
    <w:p>
      <w:pPr>
        <w:pStyle w:val="ListParagraph"/>
        <w:numPr>
          <w:ilvl w:val="0"/>
          <w:numId w:val="100490490"/>
        </w:numPr>
        <w:ind w:left="360"/>
      </w:pPr>
      <w:r>
        <w:t xml:space="preserve">Wat vindt u van de in het artikel getoonde koopkrachtontwikkeling van gepensioneerden versus de koopkrachtontwikkeling van werkenden, zelfstandigen en uitkeringsgerechtigden? Ziet u hier een ‘evenwichtig inkomensbeeld’ of niet? Graag een toelichting. </w:t>
      </w:r>
      <w:r>
        <w:br/>
      </w:r>
    </w:p>
    <w:p>
      <w:pPr>
        <w:pStyle w:val="ListParagraph"/>
        <w:numPr>
          <w:ilvl w:val="0"/>
          <w:numId w:val="100490490"/>
        </w:numPr>
        <w:ind w:left="360"/>
      </w:pPr>
      <w:r>
        <w:t xml:space="preserve">Klopt de volgende constatering: </w:t>
      </w:r>
      <w:r>
        <w:rPr>
          <w:i w:val="1"/>
          <w:iCs w:val="1"/>
        </w:rPr>
        <w:t xml:space="preserve">“Uiteindelijk bleef de koppeling overeind, maar het staafdiagram laat zien dat daar weinig van overbleef. Het voordeel voor de gepensioneerden werd via fiscale maatregelen weer afgeroomd?”. </w:t>
      </w:r>
      <w:r>
        <w:rPr/>
        <w:t xml:space="preserve">Indien nee, waarom klopt de constatering niet? En zo ja, kunt u preciseren welke maatregelen hiervoor verantwoordelijk waren.</w:t>
      </w:r>
      <w:r>
        <w:br/>
      </w:r>
    </w:p>
    <w:p>
      <w:pPr>
        <w:pStyle w:val="ListParagraph"/>
        <w:numPr>
          <w:ilvl w:val="0"/>
          <w:numId w:val="100490490"/>
        </w:numPr>
        <w:ind w:left="360"/>
      </w:pPr>
      <w:r>
        <w:t xml:space="preserve">Deelt u de conclusie dat de concentratie van lastenverlichting via de arbeidskorting, ervoor heeft gezorgd dat lastenverlichting relatief minder neerslaat bij AOW’ers? Erkent u dat de onevenredig harde groei van de arbeidskorting, medeverantwoordelijk is voor het achterblijven van de koopkracht van gepensioneerden ten opzichte van werkenden en zelfstandigen? Indien nee, waarom niet?</w:t>
      </w:r>
      <w:r>
        <w:br/>
      </w:r>
    </w:p>
    <w:p>
      <w:pPr>
        <w:pStyle w:val="ListParagraph"/>
        <w:numPr>
          <w:ilvl w:val="0"/>
          <w:numId w:val="100490490"/>
        </w:numPr>
        <w:ind w:left="360"/>
      </w:pPr>
      <w:r>
        <w:t xml:space="preserve">Kan een overzicht worden gegeven van de ontwikkeling van de maximale hoogte van de arbeidskorting, de ouderenkorting en de zelfstandigenaftrek, per jaar sinds 2010? Kan daarbij tevens per jaar het budgettaire beslag van deze regelingen worden getoond?</w:t>
      </w:r>
      <w:r>
        <w:br/>
      </w:r>
    </w:p>
    <w:p>
      <w:pPr>
        <w:pStyle w:val="ListParagraph"/>
        <w:numPr>
          <w:ilvl w:val="0"/>
          <w:numId w:val="100490490"/>
        </w:numPr>
        <w:ind w:left="360"/>
      </w:pPr>
      <w:r>
        <w:t xml:space="preserve">Erkent u, dat het inkomensbeeld van Nederlandse gepensioneerden zoals getoond in het artikel, veel gunstiger zou zijn geweest als de Nederlandse aanvullende pensioenen sinds 2010 zouden zijn verhoogd met hetzelfde percentage als de aanvullende pensioenen in andere EU-landen, of met hetzelfde percentage als de staatspensioenen in andere EU-landen?</w:t>
      </w:r>
      <w:r>
        <w:br/>
      </w:r>
    </w:p>
    <w:p>
      <w:pPr>
        <w:pStyle w:val="ListParagraph"/>
        <w:numPr>
          <w:ilvl w:val="0"/>
          <w:numId w:val="100490490"/>
        </w:numPr>
        <w:ind w:left="360"/>
      </w:pPr>
      <w:r>
        <w:t xml:space="preserve">Kunt u een tabeloverzicht geven, per jaar vanaf 2010, met in de eerste kolom de gemiddelde jaarlijkse verhoging van de Nederlandse aanvullende pensioenen, in de tweede kolom de gemiddelde jaarlijkse verhoging van de aanvullende pensioenen in andere EU-landen en in de derde kolom de gemiddelde jaarlijkse verhoging van de staatspensioenen in andere EU-landen?</w:t>
      </w:r>
      <w:r>
        <w:br/>
      </w:r>
    </w:p>
    <w:p>
      <w:pPr>
        <w:pStyle w:val="ListParagraph"/>
        <w:numPr>
          <w:ilvl w:val="0"/>
          <w:numId w:val="100490490"/>
        </w:numPr>
        <w:ind w:left="360"/>
      </w:pPr>
      <w:r>
        <w:t xml:space="preserve">Kunt u tevens een landen specifiek overzicht geven vanaf 2010, met in de eerste kolom de gemiddelde jaarlijkse verhoging van de staatspensioenen in Frankrijk en daarnaast respectievelijk ook van Italië, Spanje en Duitsland?</w:t>
      </w:r>
      <w:r>
        <w:br/>
      </w:r>
    </w:p>
    <w:p>
      <w:pPr>
        <w:pStyle w:val="ListParagraph"/>
        <w:numPr>
          <w:ilvl w:val="0"/>
          <w:numId w:val="100490490"/>
        </w:numPr>
        <w:ind w:left="360"/>
      </w:pPr>
      <w:r>
        <w:t xml:space="preserve">Kunt u weerleggen, dat diverse toonaangevende artificiële intelligentie toepassingen, waaronder Grok en ChatGPT, bevestigend antwoorden op de vraag of het klopt dat Nederlandse aanvullende (beroepspensioenen) in de periode 2008-2024 inderdaad minder zijn geïndexeerd dan aanvullende pensioenen in andere EU-landen, minder dan de staatspensioenen in andere EU-landen én minder dan het Nederlandse staatspensioen (AOW)? Geven deze toepassingen een onjuist antwoord? Baseren zij zich op andere data of kunt u erkennen dat het inderdaad de waarheid is? Deelt u de mening dat dit eigenlijk onaanvaardbaar is?</w:t>
      </w:r>
      <w:r>
        <w:br/>
      </w:r>
    </w:p>
    <w:p>
      <w:pPr>
        <w:pStyle w:val="ListParagraph"/>
        <w:numPr>
          <w:ilvl w:val="0"/>
          <w:numId w:val="100490490"/>
        </w:numPr>
        <w:ind w:left="360"/>
      </w:pPr>
      <w:r>
        <w:t xml:space="preserve">Welk deel van het voor aanvullend pensioen bestemde kapitaal in de Europese Unie respectievelijk in de eurozone, kan worden toegerekend aan Nederlandse pensioenfondsen en pensioendeelnemers en welk deel aan andere lidstaten? Kan het antwoord worden gegeven in percentages en met aparte cirkeldiagrammen voor de EU en de eurozone?</w:t>
      </w:r>
      <w:r>
        <w:br/>
      </w:r>
    </w:p>
    <w:p>
      <w:pPr>
        <w:pStyle w:val="ListParagraph"/>
        <w:numPr>
          <w:ilvl w:val="0"/>
          <w:numId w:val="100490490"/>
        </w:numPr>
        <w:ind w:left="360"/>
      </w:pPr>
      <w:r>
        <w:t xml:space="preserve">Wat was het cumulatieve rendement van Nederlandse pensioenfondsen over de periode 2008 – 2020 in procenten? Wat was over dezelfde periode het cumulatieve rendement van niet-Nederlandse pensioenfondsen in de EU? Geeft het verschil in rendement onderbouwing voor het verschil in indexatie in de periode?</w:t>
      </w:r>
      <w:r>
        <w:br/>
      </w:r>
    </w:p>
    <w:p>
      <w:pPr>
        <w:pStyle w:val="ListParagraph"/>
        <w:numPr>
          <w:ilvl w:val="0"/>
          <w:numId w:val="100490490"/>
        </w:numPr>
        <w:ind w:left="360"/>
      </w:pPr>
      <w:r>
        <w:t xml:space="preserve">Begrijpt u dat Nederlandse gepensioneerden zich ernstig benadeeld voelen als zij op afstand de grootste pensioenpot van Europa bij elkaar hebben gespaard, maar tegelijkertijd moeten aanzien dat zowel staatspensioenen als aanvullende pensioenen in andere EU-landen veel harder zijn gestegen. Indien nee, graag een toelichting.  </w:t>
      </w:r>
      <w:r>
        <w:br/>
      </w:r>
    </w:p>
    <w:p>
      <w:pPr>
        <w:pStyle w:val="ListParagraph"/>
        <w:numPr>
          <w:ilvl w:val="0"/>
          <w:numId w:val="100490490"/>
        </w:numPr>
        <w:ind w:left="360"/>
      </w:pPr>
      <w:r>
        <w:t xml:space="preserve">Begrijpt u dat het voor veel Nederlanders onbestaanbaar is, dat andere EU-lidstaten die hun ongedekte staatspensioenen fors hebben verhoogd, straks aankloppen bij Nederland en/of bij de EU voor financiële steun via eurobonds of anderszins?</w:t>
      </w:r>
      <w:r>
        <w:br/>
      </w:r>
    </w:p>
    <w:p>
      <w:pPr>
        <w:pStyle w:val="ListParagraph"/>
        <w:numPr>
          <w:ilvl w:val="0"/>
          <w:numId w:val="100490490"/>
        </w:numPr>
        <w:ind w:left="360"/>
      </w:pPr>
      <w:r>
        <w:t xml:space="preserve">Wat gaat u doen om de koopkrachtresultaten van Nederlandse gepensioneerden op een meer evenwichtig groeipad te krijgen, in vergelijking met werkenden, zelfstandigen en uitkeringsgerechtigden?</w:t>
      </w:r>
      <w:r>
        <w:br/>
      </w:r>
    </w:p>
    <w:p>
      <w:pPr>
        <w:pStyle w:val="ListParagraph"/>
        <w:numPr>
          <w:ilvl w:val="0"/>
          <w:numId w:val="100490490"/>
        </w:numPr>
        <w:ind w:left="360"/>
      </w:pPr>
      <w:r>
        <w:t xml:space="preserve">Deelt u de mening dat hier sprake is van fiscale leeftijdsdiscriminatie?</w:t>
      </w:r>
      <w:r>
        <w:br/>
      </w:r>
    </w:p>
    <w:p>
      <w:r>
        <w:t xml:space="preserve"> </w:t>
      </w:r>
      <w:r>
        <w:br/>
      </w:r>
    </w:p>
    <w:p>
      <w:r>
        <w:t xml:space="preserve">1) BNR Nieuwsradio, 11 november 2025, ‘‘Schrijnend beeld: gepensioneerden zien inkomen al jaren achterblijven ten opzichte van anderen’’, </w:t>
      </w:r>
      <w:r>
        <w:rPr>
          <w:u w:val="single"/>
        </w:rPr>
        <w:t xml:space="preserve">h</w:t>
      </w:r>
      <w:r>
        <w:rPr/>
        <w:t xml:space="preserve"/>
      </w:r>
      <w:r>
        <w:rPr>
          <w:u w:val="single"/>
        </w:rPr>
        <w:t xml:space="preserve">ttps://www.bnr.nl/column/columns-opinie/10587409/schrijnend-beeld-gepensioneerden-zien-inkomen-al-jaren-achterblijven-ten-opzichte-van-anderen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