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2025Z20078</w:t>
        <w:br/>
      </w:r>
      <w:proofErr w:type="spellEnd"/>
    </w:p>
    <w:p>
      <w:pPr>
        <w:pStyle w:val="Normal"/>
        <w:rPr>
          <w:b w:val="1"/>
          <w:bCs w:val="1"/>
        </w:rPr>
      </w:pPr>
      <w:r w:rsidR="250AE766">
        <w:rPr>
          <w:b w:val="0"/>
          <w:bCs w:val="0"/>
        </w:rPr>
        <w:t>(ingezonden 19 november 2025)</w:t>
        <w:br/>
      </w:r>
    </w:p>
    <w:p>
      <w:r>
        <w:t xml:space="preserve">Vragen van het lid Patijn (GroenLinks-PvdA) aan de ministers Justitie en Veiligheid en van Sociale Zaken en Werkgelegenheid over criminele netwerken en arbeidsuitbuiting</w:t>
      </w:r>
      <w:r>
        <w:br/>
      </w:r>
    </w:p>
    <w:p>
      <w:pPr>
        <w:pStyle w:val="ListParagraph"/>
        <w:numPr>
          <w:ilvl w:val="0"/>
          <w:numId w:val="100490510"/>
        </w:numPr>
        <w:ind w:left="360"/>
      </w:pPr>
      <w:r>
        <w:t xml:space="preserve">Kent u het artikel 'Drie criminele Turkse families heersen over Zaanstad'? 1)</w:t>
      </w:r>
      <w:r>
        <w:br/>
      </w:r>
    </w:p>
    <w:p>
      <w:pPr>
        <w:pStyle w:val="ListParagraph"/>
        <w:numPr>
          <w:ilvl w:val="0"/>
          <w:numId w:val="100490510"/>
        </w:numPr>
        <w:ind w:left="360"/>
      </w:pPr>
      <w:r>
        <w:t xml:space="preserve">Kent u meer gemeenten waarbij één persoon of een klein aantal personen aan het hoofd staat van criminele piramidestructuren die een wijk in de greep houden? Zo ja, om hoeveel gemeenten gaat dat en kennen die gemeenten ook een interventieteam of een andere vorm van ondersteuning tegen deze vorm van ondermijnende criminaliteit?</w:t>
      </w:r>
      <w:r>
        <w:br/>
      </w:r>
    </w:p>
    <w:p>
      <w:pPr>
        <w:pStyle w:val="ListParagraph"/>
        <w:numPr>
          <w:ilvl w:val="0"/>
          <w:numId w:val="100490510"/>
        </w:numPr>
        <w:ind w:left="360"/>
      </w:pPr>
      <w:r>
        <w:t xml:space="preserve">Zijn u meer onderzoeken over criminele structuren in gemeenten bekend die vergelijkbaar zijn met het genoemde onderzoek van Bureau Beke met betrekking tot Zaanstad? Zo ja, welke onderzoeken zijn dat?</w:t>
      </w:r>
      <w:r>
        <w:br/>
      </w:r>
    </w:p>
    <w:p>
      <w:pPr>
        <w:pStyle w:val="ListParagraph"/>
        <w:numPr>
          <w:ilvl w:val="0"/>
          <w:numId w:val="100490510"/>
        </w:numPr>
        <w:ind w:left="360"/>
      </w:pPr>
      <w:r>
        <w:t xml:space="preserve">Deelt u de mening dat voorkomen moet worden hypotheek- en vastgoedfraude via ogenschijnlijk legale bedrijven kan plaatsvinden? Zo ja, wat is dan de stand van zaken betreffende de uitvoering van de motie van het lid Mutluer betreffende het onderzoeken of het verplicht stellen van een verklaring omtrent het gedrag bij een inschrijving in het Handelsregister effectief kan zijn bij het weren van criminele ondernemers (Kamerstuk 29911, nr. 458)? Zo nee, waarom niet?</w:t>
      </w:r>
      <w:r>
        <w:br/>
      </w:r>
    </w:p>
    <w:p>
      <w:pPr>
        <w:pStyle w:val="ListParagraph"/>
        <w:numPr>
          <w:ilvl w:val="0"/>
          <w:numId w:val="100490510"/>
        </w:numPr>
        <w:ind w:left="360"/>
      </w:pPr>
      <w:r>
        <w:t xml:space="preserve">Waarom heeft de uitvoering van de motie Mutluer/Six Dijkstra (Kamerstuk 29911, nr. 446), die verzoekt te onderzoeken hoe hypotheekverstrekkers inkomensgegevens kunnen opvragen bij de Belastingdienst om fraude tegen te gaan, zo lang stilgelegen en wanneer wordt de Kamer hierover opnieuw en volledig geïnformeerd? Bent u bereid om met hoge prioriteit te zorgen voor afronding van dit onderzoek, inclusief een concreet tijdpad voor implementatie? Zo nee, waarom niet?</w:t>
      </w:r>
      <w:r>
        <w:br/>
      </w:r>
    </w:p>
    <w:p>
      <w:pPr>
        <w:pStyle w:val="ListParagraph"/>
        <w:numPr>
          <w:ilvl w:val="0"/>
          <w:numId w:val="100490510"/>
        </w:numPr>
        <w:ind w:left="360"/>
      </w:pPr>
      <w:r>
        <w:t xml:space="preserve">Deelt u de analyse dat een structurele verstrekkingsgrond nodig is voor hypothecaire financiers via aanpassing van artikel 4:3 Besluit Politiegegevens? Bent u bereid te onderzoeken hoe de Belastingdienst structureel relevante opsporingsinformatie kan ontvangen bij fiscale en hypotheekfraude door aanpassing van artikel 4:3 Besluit politiegegevens (Bpg) en artikel 18 Wet politiegegevens (Wpg)? Zo ja, binnen welke termijn?</w:t>
      </w:r>
      <w:r>
        <w:br/>
      </w:r>
    </w:p>
    <w:p>
      <w:pPr>
        <w:pStyle w:val="ListParagraph"/>
        <w:numPr>
          <w:ilvl w:val="0"/>
          <w:numId w:val="100490510"/>
        </w:numPr>
        <w:ind w:left="360"/>
      </w:pPr>
      <w:r>
        <w:t xml:space="preserve">Bent u bereid in gesprek te gaan met het Openbaar Ministerie (OM) om te komen tot een programmatische aanpak van hypotheek- en vastgoedfraude in het bijzonder in de kwetsbare wijken die onder Nationaal Programma Leefbaarheid en Veiligheid vallen zodat de ondermijnende werking beter kan worden bestreden? Zo nee, waarom niet?</w:t>
      </w:r>
      <w:r>
        <w:br/>
      </w:r>
    </w:p>
    <w:p>
      <w:pPr>
        <w:pStyle w:val="ListParagraph"/>
        <w:numPr>
          <w:ilvl w:val="0"/>
          <w:numId w:val="100490510"/>
        </w:numPr>
        <w:ind w:left="360"/>
      </w:pPr>
      <w:r>
        <w:t xml:space="preserve">Welke acties zijn na motie Michon c.s. ondernomen om de Kamer van Koophandel meer mogelijkheden te geven om malafide ondernemingen te weren, onder meer door explicitering van weigeringsgronden en ruimere mogelijkheden tot het delen van signalen (Kamerstuk 29911, nr. 463)? Kunt u daarbij een splitsing maken tussen de inschrijving van BV’s en de inschrijving van de Bulgaren die als zelfstandige ingeschreven worden?</w:t>
      </w:r>
      <w:r>
        <w:br/>
      </w:r>
    </w:p>
    <w:p>
      <w:pPr>
        <w:pStyle w:val="ListParagraph"/>
        <w:numPr>
          <w:ilvl w:val="0"/>
          <w:numId w:val="100490510"/>
        </w:numPr>
        <w:ind w:left="360"/>
      </w:pPr>
      <w:r>
        <w:t xml:space="preserve">Ziet u aanleiding om een landelijk vergunningenstelsel te creëren voor sectoren die gevoelig zijn voor ondermijning (zoals schoonmaak of glazenwassen), mede gezien het waterbedeffect richting omliggende gemeenten? Zo nee, waarom niet? En wat is daar wel voor nodig?</w:t>
      </w:r>
      <w:r>
        <w:br/>
      </w:r>
    </w:p>
    <w:p>
      <w:pPr>
        <w:pStyle w:val="ListParagraph"/>
        <w:numPr>
          <w:ilvl w:val="0"/>
          <w:numId w:val="100490510"/>
        </w:numPr>
        <w:ind w:left="360"/>
      </w:pPr>
      <w:r>
        <w:t xml:space="preserve">Kunt u aangeven in hoeverre (een deel van) deze bedrijven al onder de nieuwe Wet toelating terbeschikkingstelling van arbeidskrachten (Wtta) vallen en daarmee toelatingsplichtig zijn?</w:t>
      </w:r>
      <w:r>
        <w:br/>
      </w:r>
    </w:p>
    <w:p>
      <w:pPr>
        <w:pStyle w:val="ListParagraph"/>
        <w:numPr>
          <w:ilvl w:val="0"/>
          <w:numId w:val="100490510"/>
        </w:numPr>
        <w:ind w:left="360"/>
      </w:pPr>
      <w:r>
        <w:t xml:space="preserve">Bent u het ermee eens dat de omschreven afhankelijkheid van de in het artikel genoemde arbeidsmigranten laat zien hoe belangrijk het scheiden van werk en wonen is?</w:t>
      </w:r>
      <w:r>
        <w:br/>
      </w:r>
    </w:p>
    <w:p>
      <w:pPr>
        <w:pStyle w:val="ListParagraph"/>
        <w:numPr>
          <w:ilvl w:val="0"/>
          <w:numId w:val="100490510"/>
        </w:numPr>
        <w:ind w:left="360"/>
      </w:pPr>
      <w:r>
        <w:t xml:space="preserve">Kunt u aangeven hoe omvangrijk de arbeidsuitbuiting is en wat er voor de mensen die het betreft gedaan wordt ten aanzien van bescherming en juridische ondersteuning?</w:t>
      </w:r>
      <w:r>
        <w:br/>
      </w:r>
    </w:p>
    <w:p>
      <w:pPr>
        <w:pStyle w:val="ListParagraph"/>
        <w:numPr>
          <w:ilvl w:val="0"/>
          <w:numId w:val="100490510"/>
        </w:numPr>
        <w:ind w:left="360"/>
      </w:pPr>
      <w:r>
        <w:t xml:space="preserve">Kunt u aangeven bij welke opdrachtgevers de mensen te werk gesteld werden en ziet u mogelijkheden om met werkgeversorganisaties het gesprek aan te gaan om scherper te controleren op hun keten van uitbesteding en aanbesteding en uitzendwerk?</w:t>
      </w:r>
      <w:r>
        <w:br/>
      </w:r>
    </w:p>
    <w:p>
      <w:pPr>
        <w:pStyle w:val="ListParagraph"/>
        <w:numPr>
          <w:ilvl w:val="0"/>
          <w:numId w:val="100490510"/>
        </w:numPr>
        <w:ind w:left="360"/>
      </w:pPr>
      <w:r>
        <w:t xml:space="preserve">Bent u bereid om nader in kaart te brengen hoe de ronseling van mensen uit Bulgarije en andere landen in de regio verloopt en hoe voorkomen kan worden dat mensen op deze manier naar Nederland gehaald worden?</w:t>
      </w:r>
      <w:r>
        <w:br/>
      </w:r>
    </w:p>
    <w:p>
      <w:pPr>
        <w:pStyle w:val="ListParagraph"/>
        <w:numPr>
          <w:ilvl w:val="0"/>
          <w:numId w:val="100490510"/>
        </w:numPr>
        <w:ind w:left="360"/>
      </w:pPr>
      <w:r>
        <w:t xml:space="preserve">Kunt u aangeven of ook de Belastingdienst betrokken is voor de handhaving op schijnzelfstandigheid?</w:t>
      </w:r>
      <w:r>
        <w:br/>
      </w:r>
    </w:p>
    <w:p>
      <w:pPr>
        <w:pStyle w:val="ListParagraph"/>
        <w:numPr>
          <w:ilvl w:val="0"/>
          <w:numId w:val="100490510"/>
        </w:numPr>
        <w:ind w:left="360"/>
      </w:pPr>
      <w:r>
        <w:t xml:space="preserve">Bent u bereid maatregelen te treffen tegen de beschreven gedwongen zelfstandigheid van deze migranten? Bent u het eens dat deze migranten niet echte ‘ondernemers’ zijn?</w:t>
      </w:r>
      <w:r>
        <w:br/>
      </w:r>
    </w:p>
    <w:p>
      <w:pPr>
        <w:pStyle w:val="ListParagraph"/>
        <w:numPr>
          <w:ilvl w:val="0"/>
          <w:numId w:val="100490510"/>
        </w:numPr>
        <w:ind w:left="360"/>
      </w:pPr>
      <w:r>
        <w:t xml:space="preserve">Is er op dit moment nog steeds sprake van illegale overbewoning met veel te hoge huren van het vastgoed van deze families?</w:t>
      </w:r>
      <w:r>
        <w:br/>
      </w:r>
    </w:p>
    <w:p>
      <w:pPr>
        <w:pStyle w:val="ListParagraph"/>
        <w:numPr>
          <w:ilvl w:val="0"/>
          <w:numId w:val="100490510"/>
        </w:numPr>
        <w:ind w:left="360"/>
      </w:pPr>
      <w:r>
        <w:t xml:space="preserve">Bent u bereid te onderzoeken welke handvatten gemeentes vanuit het Rijk kunnen krijgen om makkelijker te kunnen controleren en handhaven op overbewoning?</w:t>
      </w:r>
      <w:r>
        <w:br/>
      </w:r>
    </w:p>
    <w:p>
      <w:pPr>
        <w:pStyle w:val="ListParagraph"/>
        <w:numPr>
          <w:ilvl w:val="0"/>
          <w:numId w:val="100490510"/>
        </w:numPr>
        <w:ind w:left="360"/>
      </w:pPr>
      <w:r>
        <w:t xml:space="preserve">Bent u bereid drempels op te werpen voor ondernemerschap, zoals inschrijving in de Basisregistratie Personen (BRP) of een ondernemersdiploma, om deze gedwongen zelfstandigheid tegen te gaan waardoor de arbeidsmigranten geen werknemersrechten hebben?</w:t>
      </w:r>
      <w:r>
        <w:br/>
      </w:r>
    </w:p>
    <w:p>
      <w:pPr>
        <w:pStyle w:val="ListParagraph"/>
        <w:numPr>
          <w:ilvl w:val="0"/>
          <w:numId w:val="100490510"/>
        </w:numPr>
        <w:ind w:left="360"/>
      </w:pPr>
      <w:r>
        <w:t xml:space="preserve">Bent u bereid te verkennen welke aanvullende bestuurlijke waarborgen nodig zijn om ondermijning van lokale democratie tegen te gaan?</w:t>
      </w:r>
      <w:r>
        <w:br/>
      </w:r>
    </w:p>
    <w:p>
      <w:r>
        <w:t xml:space="preserve"> </w:t>
      </w:r>
      <w:r>
        <w:br/>
      </w:r>
    </w:p>
    <w:p>
      <w:r>
        <w:t xml:space="preserve">1) De Telegraaf, 15 november 2025, Drie criminele Turkse families heersen over Zaanstad.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