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0224" w:rsidR="00EB0224" w:rsidRDefault="00EB0224" w14:paraId="6495B57A" w14:textId="00F4EF72">
      <w:pPr>
        <w:rPr>
          <w:b/>
          <w:bCs/>
          <w:sz w:val="22"/>
        </w:rPr>
      </w:pPr>
      <w:r w:rsidRPr="00EB0224">
        <w:rPr>
          <w:b/>
          <w:bCs/>
          <w:sz w:val="22"/>
        </w:rPr>
        <w:t>BIJLAGE 1: CW3.1</w:t>
      </w:r>
      <w:r w:rsidR="00A55A6F">
        <w:rPr>
          <w:b/>
          <w:bCs/>
          <w:sz w:val="22"/>
        </w:rPr>
        <w:t>-</w:t>
      </w:r>
      <w:r w:rsidRPr="00EB0224">
        <w:rPr>
          <w:b/>
          <w:bCs/>
          <w:sz w:val="22"/>
        </w:rPr>
        <w:t>kader verlengen</w:t>
      </w:r>
      <w:r w:rsidR="00526E11">
        <w:rPr>
          <w:b/>
          <w:bCs/>
          <w:sz w:val="22"/>
        </w:rPr>
        <w:t xml:space="preserve"> </w:t>
      </w:r>
      <w:r w:rsidRPr="00DC1E28" w:rsidR="00526E11">
        <w:rPr>
          <w:b/>
          <w:bCs/>
          <w:sz w:val="22"/>
        </w:rPr>
        <w:t>kwijtscheldbeleid</w:t>
      </w:r>
      <w:r w:rsidRPr="00EB0224">
        <w:rPr>
          <w:b/>
          <w:bCs/>
          <w:sz w:val="22"/>
        </w:rPr>
        <w:t xml:space="preserve"> WIA-voorschotten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Pr="001C36BE" w:rsidR="00FC2749" w:rsidTr="0065611A" w14:paraId="636E3CEC" w14:textId="77777777">
        <w:tc>
          <w:tcPr>
            <w:tcW w:w="2830" w:type="dxa"/>
          </w:tcPr>
          <w:p w:rsidRPr="001C36BE" w:rsidR="00FC2749" w:rsidP="0065611A" w:rsidRDefault="00FC2749" w14:paraId="02EE00CB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 xml:space="preserve">Beleidskeuzes uitgelegd </w:t>
            </w:r>
          </w:p>
        </w:tc>
        <w:tc>
          <w:tcPr>
            <w:tcW w:w="6186" w:type="dxa"/>
          </w:tcPr>
          <w:p w:rsidRPr="001C36BE" w:rsidR="00FC2749" w:rsidP="0065611A" w:rsidRDefault="00FC2749" w14:paraId="7FA120A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1C36BE" w:rsidR="00FC2749" w:rsidTr="0065611A" w14:paraId="1E3EA4DA" w14:textId="77777777">
        <w:tc>
          <w:tcPr>
            <w:tcW w:w="2830" w:type="dxa"/>
          </w:tcPr>
          <w:p w:rsidRPr="001C36BE" w:rsidR="00FC2749" w:rsidP="0065611A" w:rsidRDefault="00FC2749" w14:paraId="1724188E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>1. Doel(en)</w:t>
            </w:r>
          </w:p>
        </w:tc>
        <w:tc>
          <w:tcPr>
            <w:tcW w:w="6186" w:type="dxa"/>
          </w:tcPr>
          <w:p w:rsidRPr="001C36BE" w:rsidR="00FC2749" w:rsidP="0065611A" w:rsidRDefault="006F7D05" w14:paraId="2D1665E6" w14:textId="36FC47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Wanneer mensen in afwachting zijn van een WIA-claimbeoordeling, ontvangen zij een voorschot. Nu er grote achterstanden zijn bij UWV moeten mensen langer dan wenselijk wachten op die claimbeoordeling.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Het huidige tegenwettelijke beleid rondom het kwijtschelden van WIA-voorschotten heeft tot doel dat mensen </w:t>
            </w:r>
            <w:r>
              <w:rPr>
                <w:rFonts w:ascii="Verdana" w:hAnsi="Verdana"/>
                <w:sz w:val="18"/>
                <w:szCs w:val="18"/>
              </w:rPr>
              <w:t xml:space="preserve">in deze situatie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niet geconfronteerd worden met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Pr="001C36B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>terugvorder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van WIA-voorschotten </w:t>
            </w:r>
            <w:r>
              <w:rPr>
                <w:rFonts w:ascii="Verdana" w:hAnsi="Verdana"/>
                <w:sz w:val="18"/>
                <w:szCs w:val="18"/>
              </w:rPr>
              <w:t>als uiteindelijk het recht op een uitkering wordt vastgesteld.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Het tegenwettelijke beleid </w:t>
            </w:r>
            <w:r w:rsidR="00AB40B7">
              <w:rPr>
                <w:rFonts w:ascii="Verdana" w:hAnsi="Verdana"/>
                <w:sz w:val="18"/>
                <w:szCs w:val="18"/>
              </w:rPr>
              <w:t>werd telkens</w:t>
            </w:r>
            <w:r w:rsidRPr="001C36BE" w:rsidR="00AB40B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>met de duur van één jaar aangekondigd</w:t>
            </w:r>
            <w:r w:rsidR="0005524F">
              <w:rPr>
                <w:rFonts w:ascii="Verdana" w:hAnsi="Verdana"/>
                <w:sz w:val="18"/>
                <w:szCs w:val="18"/>
              </w:rPr>
              <w:t xml:space="preserve"> en loopt </w:t>
            </w:r>
            <w:r w:rsidR="00AB40B7">
              <w:rPr>
                <w:rFonts w:ascii="Verdana" w:hAnsi="Verdana"/>
                <w:sz w:val="18"/>
                <w:szCs w:val="18"/>
              </w:rPr>
              <w:t xml:space="preserve">momenteel </w:t>
            </w:r>
            <w:r w:rsidR="0005524F">
              <w:rPr>
                <w:rFonts w:ascii="Verdana" w:hAnsi="Verdana"/>
                <w:sz w:val="18"/>
                <w:szCs w:val="18"/>
              </w:rPr>
              <w:t>tot en met 31 december 2025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. Het beleid wordt </w:t>
            </w:r>
            <w:r w:rsidR="00B03E59">
              <w:rPr>
                <w:rFonts w:ascii="Verdana" w:hAnsi="Verdana"/>
                <w:sz w:val="18"/>
                <w:szCs w:val="18"/>
              </w:rPr>
              <w:t>nu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meer structureel gemaakt, zodat </w:t>
            </w:r>
            <w:r w:rsidRPr="00CC32D2" w:rsidR="00CC32D2">
              <w:rPr>
                <w:rFonts w:ascii="Verdana" w:hAnsi="Verdana"/>
                <w:sz w:val="18"/>
                <w:szCs w:val="18"/>
              </w:rPr>
              <w:t xml:space="preserve">UWV het beleid kan blijven toepassen zolang er sprake is van grote achterstanden. </w:t>
            </w:r>
            <w:r w:rsidR="00CC32D2">
              <w:rPr>
                <w:rFonts w:ascii="Verdana" w:hAnsi="Verdana"/>
                <w:sz w:val="18"/>
                <w:szCs w:val="18"/>
              </w:rPr>
              <w:t xml:space="preserve">Hierdoor krijgen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werknemers en werkgevers meer zekerheid over de toekomst van het beleid. </w:t>
            </w:r>
          </w:p>
          <w:p w:rsidRPr="001C36BE" w:rsidR="00FC2749" w:rsidP="0091051A" w:rsidRDefault="00FC2749" w14:paraId="25CC009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1C36BE" w:rsidR="00FC2749" w:rsidTr="0065611A" w14:paraId="6DE740BE" w14:textId="77777777">
        <w:tc>
          <w:tcPr>
            <w:tcW w:w="2830" w:type="dxa"/>
          </w:tcPr>
          <w:p w:rsidRPr="001C36BE" w:rsidR="00FC2749" w:rsidP="0065611A" w:rsidRDefault="00FC2749" w14:paraId="6447016E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>2. Beleidsinstrument(en)</w:t>
            </w:r>
          </w:p>
        </w:tc>
        <w:tc>
          <w:tcPr>
            <w:tcW w:w="6186" w:type="dxa"/>
          </w:tcPr>
          <w:p w:rsidR="00FC2749" w:rsidP="0065611A" w:rsidRDefault="00FC2749" w14:paraId="20DA6ACF" w14:textId="5CAEB61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huidige tegenwettelijke beleid </w:t>
            </w:r>
            <w:r w:rsidR="00AB40B7">
              <w:rPr>
                <w:rFonts w:ascii="Verdana" w:hAnsi="Verdana"/>
                <w:sz w:val="18"/>
                <w:szCs w:val="18"/>
              </w:rPr>
              <w:t xml:space="preserve">werd telkens </w:t>
            </w:r>
            <w:r>
              <w:rPr>
                <w:rFonts w:ascii="Verdana" w:hAnsi="Verdana"/>
                <w:sz w:val="18"/>
                <w:szCs w:val="18"/>
              </w:rPr>
              <w:t xml:space="preserve">voor de duur van één jaar aangekondigd. Hiermee sluit de duur van het beleid niet aan bij de verwachtingen rondom de achterstanden. </w:t>
            </w:r>
            <w:r w:rsidR="006F7D05">
              <w:rPr>
                <w:rFonts w:ascii="Verdana" w:hAnsi="Verdana"/>
                <w:sz w:val="18"/>
                <w:szCs w:val="18"/>
              </w:rPr>
              <w:t xml:space="preserve">De verwachting is namelijk dat die nog zeker de komende jaren blijven bestaan. </w:t>
            </w:r>
            <w:r>
              <w:rPr>
                <w:rFonts w:ascii="Verdana" w:hAnsi="Verdana"/>
                <w:sz w:val="18"/>
                <w:szCs w:val="18"/>
              </w:rPr>
              <w:t>Om er voor te zorgen dat werknemers en werkgevers meer zekerheid krijgen over de toekomst wordt het beleid meer structureel gemaakt</w:t>
            </w:r>
            <w:r w:rsidR="009F4ADD">
              <w:rPr>
                <w:rFonts w:ascii="Verdana" w:hAnsi="Verdana"/>
                <w:sz w:val="18"/>
                <w:szCs w:val="18"/>
              </w:rPr>
              <w:t xml:space="preserve">. Hiervoor wordt gewerkt aan </w:t>
            </w:r>
            <w:r w:rsidR="006418AF">
              <w:rPr>
                <w:rFonts w:ascii="Verdana" w:hAnsi="Verdana"/>
                <w:sz w:val="18"/>
                <w:szCs w:val="18"/>
              </w:rPr>
              <w:t>een</w:t>
            </w:r>
            <w:r w:rsidR="009F4ADD">
              <w:rPr>
                <w:rFonts w:ascii="Verdana" w:hAnsi="Verdana"/>
                <w:sz w:val="18"/>
                <w:szCs w:val="18"/>
              </w:rPr>
              <w:t xml:space="preserve"> wetsvoorstel waarmee een wettelijke grondslag voor het beleid wordt gecreëerd.</w:t>
            </w:r>
          </w:p>
          <w:p w:rsidRPr="001C36BE" w:rsidR="00FC2749" w:rsidP="0091051A" w:rsidRDefault="00FC2749" w14:paraId="1AB35C4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1C36BE" w:rsidR="00FC2749" w:rsidTr="0065611A" w14:paraId="646D4AEC" w14:textId="77777777">
        <w:tc>
          <w:tcPr>
            <w:tcW w:w="2830" w:type="dxa"/>
          </w:tcPr>
          <w:p w:rsidRPr="001C36BE" w:rsidR="00FC2749" w:rsidP="0065611A" w:rsidRDefault="00FC2749" w14:paraId="5BABA106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 xml:space="preserve">3. A. Financiële gevolgen voor het Rijk </w:t>
            </w:r>
          </w:p>
        </w:tc>
        <w:tc>
          <w:tcPr>
            <w:tcW w:w="6186" w:type="dxa"/>
          </w:tcPr>
          <w:p w:rsidR="00FC2749" w:rsidP="0065611A" w:rsidRDefault="009F4ADD" w14:paraId="1DC29CED" w14:textId="57C4A2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verlengen van het kwijtscheldbeleid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leid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tot financiële gevolgen, namelijk hogere WIA- en TW-lasten. </w:t>
            </w:r>
            <w:r w:rsidRPr="006352A8" w:rsidR="006352A8">
              <w:rPr>
                <w:rFonts w:ascii="Verdana" w:hAnsi="Verdana"/>
                <w:sz w:val="18"/>
                <w:szCs w:val="18"/>
              </w:rPr>
              <w:t>Structureel is € 93 m</w:t>
            </w:r>
            <w:r w:rsidR="008905FD">
              <w:rPr>
                <w:rFonts w:ascii="Verdana" w:hAnsi="Verdana"/>
                <w:sz w:val="18"/>
                <w:szCs w:val="18"/>
              </w:rPr>
              <w:t>iljoen</w:t>
            </w:r>
            <w:r w:rsidRPr="006352A8" w:rsidR="006352A8">
              <w:rPr>
                <w:rFonts w:ascii="Verdana" w:hAnsi="Verdana"/>
                <w:sz w:val="18"/>
                <w:szCs w:val="18"/>
              </w:rPr>
              <w:t xml:space="preserve"> gereserveerd voor het kwijtschelden van voorschotten.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>Deze extra lasten ontstaan doordat voorschotten</w:t>
            </w:r>
            <w:r w:rsidR="009F59C5">
              <w:rPr>
                <w:rFonts w:ascii="Verdana" w:hAnsi="Verdana"/>
                <w:sz w:val="18"/>
                <w:szCs w:val="18"/>
              </w:rPr>
              <w:t>,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F7D05">
              <w:rPr>
                <w:rFonts w:ascii="Verdana" w:hAnsi="Verdana"/>
                <w:sz w:val="18"/>
                <w:szCs w:val="18"/>
              </w:rPr>
              <w:t xml:space="preserve">in gevallen waarbij </w:t>
            </w:r>
            <w:r w:rsidR="009F59C5">
              <w:rPr>
                <w:rFonts w:ascii="Verdana" w:hAnsi="Verdana"/>
                <w:sz w:val="18"/>
                <w:szCs w:val="18"/>
              </w:rPr>
              <w:t>later wordt vastgesteld dat hier geen recht op was</w:t>
            </w:r>
            <w:r w:rsidR="008C0583">
              <w:rPr>
                <w:rFonts w:ascii="Verdana" w:hAnsi="Verdana"/>
                <w:sz w:val="18"/>
                <w:szCs w:val="18"/>
              </w:rPr>
              <w:t xml:space="preserve"> en die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>niet of niet volledig</w:t>
            </w:r>
            <w:r w:rsidR="008C0583">
              <w:rPr>
                <w:rFonts w:ascii="Verdana" w:hAnsi="Verdana"/>
                <w:sz w:val="18"/>
                <w:szCs w:val="18"/>
              </w:rPr>
              <w:t xml:space="preserve"> kunnen worden verrekend, niet worden 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teruggevorderd. </w:t>
            </w:r>
          </w:p>
          <w:p w:rsidRPr="001C36BE" w:rsidR="00FC2749" w:rsidP="0091051A" w:rsidRDefault="00FC2749" w14:paraId="682166B0" w14:textId="77777777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Pr="001C36BE" w:rsidR="00FC2749" w:rsidTr="0065611A" w14:paraId="39D55F70" w14:textId="77777777">
        <w:tc>
          <w:tcPr>
            <w:tcW w:w="2830" w:type="dxa"/>
          </w:tcPr>
          <w:p w:rsidRPr="001C36BE" w:rsidR="00FC2749" w:rsidP="0065611A" w:rsidRDefault="00FC2749" w14:paraId="4FE02988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 xml:space="preserve">3. B. Financiële gevolgen voor maatschappelijke sectoren </w:t>
            </w:r>
          </w:p>
        </w:tc>
        <w:tc>
          <w:tcPr>
            <w:tcW w:w="6186" w:type="dxa"/>
          </w:tcPr>
          <w:p w:rsidRPr="001C36BE" w:rsidR="00FC2749" w:rsidP="0065611A" w:rsidRDefault="009F4ADD" w14:paraId="549B412A" w14:textId="5032F9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 voorstel heeft geen financiële gevolgen</w:t>
            </w:r>
            <w:r w:rsidR="00FC2749">
              <w:rPr>
                <w:rFonts w:ascii="Verdana" w:hAnsi="Verdana"/>
                <w:sz w:val="18"/>
                <w:szCs w:val="18"/>
              </w:rPr>
              <w:t xml:space="preserve"> voor maatschappelijke sectoren</w:t>
            </w:r>
            <w:r w:rsidRPr="001C36BE" w:rsidR="00FC2749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Pr="001C36BE" w:rsidR="00FC2749" w:rsidP="0065611A" w:rsidRDefault="00FC2749" w14:paraId="35F514D0" w14:textId="68FAF8BC">
            <w:pPr>
              <w:rPr>
                <w:rFonts w:ascii="Verdana" w:hAnsi="Verdana"/>
                <w:sz w:val="18"/>
                <w:szCs w:val="18"/>
              </w:rPr>
            </w:pPr>
          </w:p>
          <w:p w:rsidRPr="001C36BE" w:rsidR="00FC2749" w:rsidP="0065611A" w:rsidRDefault="00FC2749" w14:paraId="162C3AB8" w14:textId="7777777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Pr="001C36BE" w:rsidR="00FC2749" w:rsidTr="0065611A" w14:paraId="4C972CCC" w14:textId="77777777">
        <w:tc>
          <w:tcPr>
            <w:tcW w:w="2830" w:type="dxa"/>
          </w:tcPr>
          <w:p w:rsidRPr="001C36BE" w:rsidR="00FC2749" w:rsidP="0065611A" w:rsidRDefault="00FC2749" w14:paraId="49BB272D" w14:textId="77777777">
            <w:pPr>
              <w:rPr>
                <w:rFonts w:ascii="Verdana" w:hAnsi="Verdana"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 xml:space="preserve">4. Nagestreefde doeltreffendheid </w:t>
            </w:r>
          </w:p>
        </w:tc>
        <w:tc>
          <w:tcPr>
            <w:tcW w:w="6186" w:type="dxa"/>
          </w:tcPr>
          <w:p w:rsidR="00FC2749" w:rsidP="007A4D44" w:rsidRDefault="0014319C" w14:paraId="0BF69F6F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Pr="0014319C">
              <w:rPr>
                <w:rFonts w:ascii="Verdana" w:hAnsi="Verdana"/>
                <w:sz w:val="18"/>
                <w:szCs w:val="18"/>
              </w:rPr>
              <w:t xml:space="preserve">ensen </w:t>
            </w:r>
            <w:r w:rsidR="006418AF">
              <w:rPr>
                <w:rFonts w:ascii="Verdana" w:hAnsi="Verdana"/>
                <w:sz w:val="18"/>
                <w:szCs w:val="18"/>
              </w:rPr>
              <w:t xml:space="preserve">moeten </w:t>
            </w:r>
            <w:r>
              <w:rPr>
                <w:rFonts w:ascii="Verdana" w:hAnsi="Verdana"/>
                <w:sz w:val="18"/>
                <w:szCs w:val="18"/>
              </w:rPr>
              <w:t xml:space="preserve">niet </w:t>
            </w:r>
            <w:r w:rsidRPr="0014319C">
              <w:rPr>
                <w:rFonts w:ascii="Verdana" w:hAnsi="Verdana"/>
                <w:sz w:val="18"/>
                <w:szCs w:val="18"/>
              </w:rPr>
              <w:t>buiten hun schuld om geconfronteerd worden met het terugvorderen van WIA-voorschotten die verstrekt zijn in afwachting van een WIA-claimbeoordeling.</w:t>
            </w:r>
            <w:r w:rsidR="00AB40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611FD">
              <w:rPr>
                <w:rFonts w:ascii="Verdana" w:hAnsi="Verdana"/>
                <w:sz w:val="18"/>
                <w:szCs w:val="18"/>
              </w:rPr>
              <w:t>Vanwege de verwachting dat de achterstanden de komende jaren zullen blijven, is besloten om het tijdelijke beleid meer structureel te maken.</w:t>
            </w:r>
            <w:r w:rsidR="005D413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Door </w:t>
            </w:r>
            <w:r w:rsidR="006418AF">
              <w:rPr>
                <w:rFonts w:ascii="Verdana" w:hAnsi="Verdana"/>
                <w:sz w:val="18"/>
                <w:szCs w:val="18"/>
              </w:rPr>
              <w:t>het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C0583">
              <w:rPr>
                <w:rFonts w:ascii="Verdana" w:hAnsi="Verdana"/>
                <w:sz w:val="18"/>
                <w:szCs w:val="18"/>
              </w:rPr>
              <w:t xml:space="preserve">meer </w:t>
            </w:r>
            <w:r>
              <w:rPr>
                <w:rFonts w:ascii="Verdana" w:hAnsi="Verdana"/>
                <w:sz w:val="18"/>
                <w:szCs w:val="18"/>
              </w:rPr>
              <w:t xml:space="preserve">structureel </w:t>
            </w:r>
            <w:r w:rsidR="006418AF">
              <w:rPr>
                <w:rFonts w:ascii="Verdana" w:hAnsi="Verdana"/>
                <w:sz w:val="18"/>
                <w:szCs w:val="18"/>
              </w:rPr>
              <w:t xml:space="preserve">maken </w:t>
            </w:r>
            <w:r>
              <w:rPr>
                <w:rFonts w:ascii="Verdana" w:hAnsi="Verdana"/>
                <w:sz w:val="18"/>
                <w:szCs w:val="18"/>
              </w:rPr>
              <w:t xml:space="preserve">en niet telkens </w:t>
            </w:r>
            <w:r w:rsidR="00AB40B7">
              <w:rPr>
                <w:rFonts w:ascii="Verdana" w:hAnsi="Verdana"/>
                <w:sz w:val="18"/>
                <w:szCs w:val="18"/>
              </w:rPr>
              <w:t>één</w:t>
            </w:r>
            <w:r>
              <w:rPr>
                <w:rFonts w:ascii="Verdana" w:hAnsi="Verdana"/>
                <w:sz w:val="18"/>
                <w:szCs w:val="18"/>
              </w:rPr>
              <w:t xml:space="preserve"> jaar buitenwettelijk </w:t>
            </w:r>
            <w:r w:rsidR="00275843">
              <w:rPr>
                <w:rFonts w:ascii="Verdana" w:hAnsi="Verdana"/>
                <w:sz w:val="18"/>
                <w:szCs w:val="18"/>
              </w:rPr>
              <w:t xml:space="preserve">beleid </w:t>
            </w:r>
            <w:r>
              <w:rPr>
                <w:rFonts w:ascii="Verdana" w:hAnsi="Verdana"/>
                <w:sz w:val="18"/>
                <w:szCs w:val="18"/>
              </w:rPr>
              <w:t xml:space="preserve">te verlengen, </w:t>
            </w:r>
            <w:r w:rsidR="00C352D3">
              <w:rPr>
                <w:rFonts w:ascii="Verdana" w:hAnsi="Verdana"/>
                <w:sz w:val="18"/>
                <w:szCs w:val="18"/>
              </w:rPr>
              <w:t xml:space="preserve">kan </w:t>
            </w:r>
            <w:r w:rsidRPr="00C352D3" w:rsidR="00C352D3">
              <w:rPr>
                <w:rFonts w:ascii="Verdana" w:hAnsi="Verdana"/>
                <w:sz w:val="18"/>
                <w:szCs w:val="18"/>
              </w:rPr>
              <w:t>UWV het beleid blijven toepassen zolang er sprake is van grote achterstanden</w:t>
            </w:r>
            <w:r w:rsidR="00C352D3">
              <w:rPr>
                <w:rFonts w:ascii="Verdana" w:hAnsi="Verdana"/>
                <w:sz w:val="18"/>
                <w:szCs w:val="18"/>
              </w:rPr>
              <w:t xml:space="preserve"> en </w:t>
            </w:r>
            <w:r>
              <w:rPr>
                <w:rFonts w:ascii="Verdana" w:hAnsi="Verdana"/>
                <w:sz w:val="18"/>
                <w:szCs w:val="18"/>
              </w:rPr>
              <w:t xml:space="preserve">krijgen mensen </w:t>
            </w:r>
            <w:r w:rsidR="008C0583">
              <w:rPr>
                <w:rFonts w:ascii="Verdana" w:hAnsi="Verdana"/>
                <w:sz w:val="18"/>
                <w:szCs w:val="18"/>
              </w:rPr>
              <w:t>meer</w:t>
            </w:r>
            <w:r>
              <w:rPr>
                <w:rFonts w:ascii="Verdana" w:hAnsi="Verdana"/>
                <w:sz w:val="18"/>
                <w:szCs w:val="18"/>
              </w:rPr>
              <w:t xml:space="preserve"> zekerheid over</w:t>
            </w:r>
            <w:r w:rsidR="008C0583">
              <w:rPr>
                <w:rFonts w:ascii="Verdana" w:hAnsi="Verdana"/>
                <w:sz w:val="18"/>
                <w:szCs w:val="18"/>
              </w:rPr>
              <w:t xml:space="preserve"> de toekomst van dit beleid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="006418AF">
              <w:rPr>
                <w:rFonts w:ascii="Verdana" w:hAnsi="Verdana"/>
                <w:sz w:val="18"/>
                <w:szCs w:val="18"/>
              </w:rPr>
              <w:t xml:space="preserve">Hiervoor wordt gewerkt aan een wetsvoorstel waarmee een wettelijke grondslag wordt gecreëerd. </w:t>
            </w:r>
          </w:p>
          <w:p w:rsidRPr="001C36BE" w:rsidR="00526E11" w:rsidP="007A4D44" w:rsidRDefault="00526E11" w14:paraId="6A835D17" w14:textId="026C5F26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Pr="001C36BE" w:rsidR="00FC2749" w:rsidTr="0065611A" w14:paraId="0F0603D4" w14:textId="77777777">
        <w:tc>
          <w:tcPr>
            <w:tcW w:w="2830" w:type="dxa"/>
          </w:tcPr>
          <w:p w:rsidRPr="001C36BE" w:rsidR="00FC2749" w:rsidP="0065611A" w:rsidRDefault="00FC2749" w14:paraId="5E9E6819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t xml:space="preserve">5. Nagestreefde doelmatigheid </w:t>
            </w:r>
          </w:p>
        </w:tc>
        <w:tc>
          <w:tcPr>
            <w:tcW w:w="6186" w:type="dxa"/>
          </w:tcPr>
          <w:p w:rsidR="00FC2749" w:rsidP="00B42643" w:rsidRDefault="00AB40B7" w14:paraId="5456FAFF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</w:t>
            </w:r>
            <w:r w:rsidR="004F1CBE">
              <w:rPr>
                <w:rFonts w:ascii="Verdana" w:hAnsi="Verdana"/>
                <w:sz w:val="18"/>
                <w:szCs w:val="18"/>
              </w:rPr>
              <w:t xml:space="preserve"> voorgestelde</w:t>
            </w:r>
            <w:r>
              <w:rPr>
                <w:rFonts w:ascii="Verdana" w:hAnsi="Verdana"/>
                <w:sz w:val="18"/>
                <w:szCs w:val="18"/>
              </w:rPr>
              <w:t xml:space="preserve"> – meer structurele – verlenging van het</w:t>
            </w:r>
            <w:r w:rsidR="004F1CB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4319C">
              <w:rPr>
                <w:rFonts w:ascii="Verdana" w:hAnsi="Verdana"/>
                <w:sz w:val="18"/>
                <w:szCs w:val="18"/>
              </w:rPr>
              <w:t xml:space="preserve">kwijtscheldbeleid </w:t>
            </w:r>
            <w:r w:rsidR="004F1CBE">
              <w:rPr>
                <w:rFonts w:ascii="Verdana" w:hAnsi="Verdana"/>
                <w:sz w:val="18"/>
                <w:szCs w:val="18"/>
              </w:rPr>
              <w:t xml:space="preserve">heeft tot doel dat </w:t>
            </w:r>
            <w:r w:rsidR="0014319C">
              <w:rPr>
                <w:rFonts w:ascii="Verdana" w:hAnsi="Verdana"/>
                <w:sz w:val="18"/>
                <w:szCs w:val="18"/>
              </w:rPr>
              <w:t xml:space="preserve">mensen met een WIA-voorschot zekerheid </w:t>
            </w:r>
            <w:r w:rsidR="004F1CBE">
              <w:rPr>
                <w:rFonts w:ascii="Verdana" w:hAnsi="Verdana"/>
                <w:sz w:val="18"/>
                <w:szCs w:val="18"/>
              </w:rPr>
              <w:t xml:space="preserve">krijgen </w:t>
            </w:r>
            <w:r w:rsidR="0014319C">
              <w:rPr>
                <w:rFonts w:ascii="Verdana" w:hAnsi="Verdana"/>
                <w:sz w:val="18"/>
                <w:szCs w:val="18"/>
              </w:rPr>
              <w:t xml:space="preserve">dat ze dit voorschot </w:t>
            </w:r>
            <w:r w:rsidR="006418AF">
              <w:rPr>
                <w:rFonts w:ascii="Verdana" w:hAnsi="Verdana"/>
                <w:sz w:val="18"/>
                <w:szCs w:val="18"/>
              </w:rPr>
              <w:t>niet hoeven terug te betalen</w:t>
            </w:r>
            <w:r w:rsidR="0014319C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6077CE">
              <w:rPr>
                <w:rFonts w:ascii="Verdana" w:hAnsi="Verdana"/>
                <w:sz w:val="18"/>
                <w:szCs w:val="18"/>
              </w:rPr>
              <w:t>Dit zorgt voor zowel rust bij mensen als bij de uitvoering</w:t>
            </w:r>
            <w:r w:rsidR="00E446B8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5C0FD1">
              <w:rPr>
                <w:rFonts w:ascii="Verdana" w:hAnsi="Verdana"/>
                <w:sz w:val="18"/>
                <w:szCs w:val="18"/>
              </w:rPr>
              <w:t>Dit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 is</w:t>
            </w:r>
            <w:r w:rsidR="005C0FD1">
              <w:rPr>
                <w:rFonts w:ascii="Verdana" w:hAnsi="Verdana"/>
                <w:sz w:val="18"/>
                <w:szCs w:val="18"/>
              </w:rPr>
              <w:t xml:space="preserve"> de meest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 doelmatig</w:t>
            </w:r>
            <w:r w:rsidR="005C0FD1">
              <w:rPr>
                <w:rFonts w:ascii="Verdana" w:hAnsi="Verdana"/>
                <w:sz w:val="18"/>
                <w:szCs w:val="18"/>
              </w:rPr>
              <w:t>e optie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, omdat </w:t>
            </w:r>
            <w:r w:rsidR="00CA5C71">
              <w:rPr>
                <w:rFonts w:ascii="Verdana" w:hAnsi="Verdana"/>
                <w:sz w:val="18"/>
                <w:szCs w:val="18"/>
              </w:rPr>
              <w:t>er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 geen alternatieve </w:t>
            </w:r>
            <w:r w:rsidR="00CA5C71">
              <w:rPr>
                <w:rFonts w:ascii="Verdana" w:hAnsi="Verdana"/>
                <w:sz w:val="18"/>
                <w:szCs w:val="18"/>
              </w:rPr>
              <w:t>mogelijkheden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 zi</w:t>
            </w:r>
            <w:r w:rsidR="00CA5C71">
              <w:rPr>
                <w:rFonts w:ascii="Verdana" w:hAnsi="Verdana"/>
                <w:sz w:val="18"/>
                <w:szCs w:val="18"/>
              </w:rPr>
              <w:t>jn</w:t>
            </w:r>
            <w:r w:rsidR="00DB37AE">
              <w:rPr>
                <w:rFonts w:ascii="Verdana" w:hAnsi="Verdana"/>
                <w:sz w:val="18"/>
                <w:szCs w:val="18"/>
              </w:rPr>
              <w:t xml:space="preserve"> om gedurende de huidige mismatchproblematiek </w:t>
            </w:r>
            <w:r w:rsidR="00D25AC8">
              <w:rPr>
                <w:rFonts w:ascii="Verdana" w:hAnsi="Verdana"/>
                <w:sz w:val="18"/>
                <w:szCs w:val="18"/>
              </w:rPr>
              <w:t xml:space="preserve">te verzekeren dat </w:t>
            </w:r>
            <w:r w:rsidR="00DB37AE">
              <w:rPr>
                <w:rFonts w:ascii="Verdana" w:hAnsi="Verdana"/>
                <w:sz w:val="18"/>
                <w:szCs w:val="18"/>
              </w:rPr>
              <w:t>mensen</w:t>
            </w:r>
            <w:r w:rsidR="00D25AC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2643">
              <w:rPr>
                <w:rFonts w:ascii="Verdana" w:hAnsi="Verdana"/>
                <w:sz w:val="18"/>
                <w:szCs w:val="18"/>
              </w:rPr>
              <w:t xml:space="preserve">niet geconfronteerd worden met terugvordering van WIA-voorschotten als uiteindelijk het recht op een uitkering wordt vastgesteld. </w:t>
            </w:r>
          </w:p>
          <w:p w:rsidRPr="001C36BE" w:rsidR="00526E11" w:rsidP="00B42643" w:rsidRDefault="00526E11" w14:paraId="3AACB76F" w14:textId="2550D141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Pr="001C36BE" w:rsidR="00FC2749" w:rsidTr="0065611A" w14:paraId="536FC4A2" w14:textId="77777777">
        <w:tc>
          <w:tcPr>
            <w:tcW w:w="2830" w:type="dxa"/>
          </w:tcPr>
          <w:p w:rsidRPr="001C36BE" w:rsidR="00FC2749" w:rsidP="0065611A" w:rsidRDefault="00FC2749" w14:paraId="74CDA212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36BE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6. Evaluatieparagraaf</w:t>
            </w:r>
          </w:p>
        </w:tc>
        <w:tc>
          <w:tcPr>
            <w:tcW w:w="6186" w:type="dxa"/>
          </w:tcPr>
          <w:p w:rsidR="00653218" w:rsidP="0065611A" w:rsidRDefault="005935EB" w14:paraId="24ABC2BA" w14:textId="43CEBD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aantal mensen dat geconfronteerd </w:t>
            </w:r>
            <w:r w:rsidR="006418AF">
              <w:rPr>
                <w:rFonts w:ascii="Verdana" w:hAnsi="Verdana"/>
                <w:sz w:val="18"/>
                <w:szCs w:val="18"/>
              </w:rPr>
              <w:t xml:space="preserve">wordt </w:t>
            </w:r>
            <w:r>
              <w:rPr>
                <w:rFonts w:ascii="Verdana" w:hAnsi="Verdana"/>
                <w:sz w:val="18"/>
                <w:szCs w:val="18"/>
              </w:rPr>
              <w:t>met een lange wachttijd bij hun WIA-aanvraag en</w:t>
            </w:r>
            <w:r w:rsidR="006F7D0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7A84">
              <w:rPr>
                <w:rFonts w:ascii="Verdana" w:hAnsi="Verdana"/>
                <w:sz w:val="18"/>
                <w:szCs w:val="18"/>
              </w:rPr>
              <w:t xml:space="preserve">een </w:t>
            </w:r>
            <w:r>
              <w:rPr>
                <w:rFonts w:ascii="Verdana" w:hAnsi="Verdana"/>
                <w:sz w:val="18"/>
                <w:szCs w:val="18"/>
              </w:rPr>
              <w:t>voorschot</w:t>
            </w:r>
            <w:r w:rsidR="00107A8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F7D05">
              <w:rPr>
                <w:rFonts w:ascii="Verdana" w:hAnsi="Verdana"/>
                <w:sz w:val="18"/>
                <w:szCs w:val="18"/>
              </w:rPr>
              <w:t xml:space="preserve">krijgt </w:t>
            </w:r>
            <w:r>
              <w:rPr>
                <w:rFonts w:ascii="Verdana" w:hAnsi="Verdana"/>
                <w:sz w:val="18"/>
                <w:szCs w:val="18"/>
              </w:rPr>
              <w:t>wordt continu gemonitord.</w:t>
            </w:r>
            <w:r w:rsidR="0065321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653218" w:rsidP="0065611A" w:rsidRDefault="00653218" w14:paraId="0ACB19F1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1C36BE" w:rsidR="00FC2749" w:rsidP="0065611A" w:rsidRDefault="005935EB" w14:paraId="2457C5DC" w14:textId="51E9A0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Als </w:t>
            </w:r>
            <w:r w:rsidR="00107A84">
              <w:rPr>
                <w:rFonts w:ascii="Verdana" w:hAnsi="Verdana"/>
                <w:sz w:val="18"/>
                <w:szCs w:val="18"/>
              </w:rPr>
              <w:t xml:space="preserve">in de toekomst de wachttijd afneemt, en </w:t>
            </w:r>
            <w:r>
              <w:rPr>
                <w:rFonts w:ascii="Verdana" w:hAnsi="Verdana"/>
                <w:sz w:val="18"/>
                <w:szCs w:val="18"/>
              </w:rPr>
              <w:t xml:space="preserve">het aantal voorschotten </w:t>
            </w:r>
            <w:r w:rsidR="00107A84">
              <w:rPr>
                <w:rFonts w:ascii="Verdana" w:hAnsi="Verdana"/>
                <w:sz w:val="18"/>
                <w:szCs w:val="18"/>
              </w:rPr>
              <w:t>dus afneemt</w:t>
            </w:r>
            <w:r>
              <w:rPr>
                <w:rFonts w:ascii="Verdana" w:hAnsi="Verdana"/>
                <w:sz w:val="18"/>
                <w:szCs w:val="18"/>
              </w:rPr>
              <w:t xml:space="preserve">, zal het </w:t>
            </w:r>
            <w:r w:rsidR="006418AF">
              <w:rPr>
                <w:rFonts w:ascii="Verdana" w:hAnsi="Verdana"/>
                <w:sz w:val="18"/>
                <w:szCs w:val="18"/>
              </w:rPr>
              <w:t xml:space="preserve">voortzetten van het </w:t>
            </w:r>
            <w:r>
              <w:rPr>
                <w:rFonts w:ascii="Verdana" w:hAnsi="Verdana"/>
                <w:sz w:val="18"/>
                <w:szCs w:val="18"/>
              </w:rPr>
              <w:t xml:space="preserve">kwijtscheldbeleid worden herzien. Daarvoor is </w:t>
            </w:r>
            <w:r w:rsidR="00107A84">
              <w:rPr>
                <w:rFonts w:ascii="Verdana" w:hAnsi="Verdana"/>
                <w:sz w:val="18"/>
                <w:szCs w:val="18"/>
              </w:rPr>
              <w:t>ook in deze wet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7A84">
              <w:rPr>
                <w:rFonts w:ascii="Verdana" w:hAnsi="Verdana"/>
                <w:sz w:val="18"/>
                <w:szCs w:val="18"/>
              </w:rPr>
              <w:t xml:space="preserve">opgenomen dat </w:t>
            </w:r>
            <w:r w:rsidR="00E77E7F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054C72">
              <w:rPr>
                <w:rFonts w:ascii="Verdana" w:hAnsi="Verdana"/>
                <w:sz w:val="18"/>
                <w:szCs w:val="18"/>
              </w:rPr>
              <w:t>voorgestelde grondslag en de daarop te baseren algemene maatregel van bestuur</w:t>
            </w:r>
            <w:r w:rsidR="00E77E7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7A84">
              <w:rPr>
                <w:rFonts w:ascii="Verdana" w:hAnsi="Verdana"/>
                <w:sz w:val="18"/>
                <w:szCs w:val="18"/>
              </w:rPr>
              <w:t xml:space="preserve">met </w:t>
            </w:r>
            <w:r>
              <w:rPr>
                <w:rFonts w:ascii="Verdana" w:hAnsi="Verdana"/>
                <w:sz w:val="18"/>
                <w:szCs w:val="18"/>
              </w:rPr>
              <w:t xml:space="preserve">een Koninklijk Besluit </w:t>
            </w:r>
            <w:r w:rsidR="00E77E7F">
              <w:rPr>
                <w:rFonts w:ascii="Verdana" w:hAnsi="Verdana"/>
                <w:sz w:val="18"/>
                <w:szCs w:val="18"/>
              </w:rPr>
              <w:t>kunnen</w:t>
            </w:r>
            <w:r>
              <w:rPr>
                <w:rFonts w:ascii="Verdana" w:hAnsi="Verdana"/>
                <w:sz w:val="18"/>
                <w:szCs w:val="18"/>
              </w:rPr>
              <w:t xml:space="preserve"> worden ingetrokken.   </w:t>
            </w:r>
          </w:p>
          <w:p w:rsidRPr="001C36BE" w:rsidR="00FC2749" w:rsidP="006418AF" w:rsidRDefault="00FC2749" w14:paraId="6DA7A4F2" w14:textId="7777777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</w:tbl>
    <w:p w:rsidR="00B06701" w:rsidRDefault="00B06701" w14:paraId="4F93AF9F" w14:textId="77777777"/>
    <w:sectPr w:rsidR="00B06701" w:rsidSect="001E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3F27" w14:textId="77777777" w:rsidR="002E0FBC" w:rsidRDefault="002E0FBC" w:rsidP="004F1CBE">
      <w:pPr>
        <w:spacing w:after="0" w:line="240" w:lineRule="auto"/>
      </w:pPr>
      <w:r>
        <w:separator/>
      </w:r>
    </w:p>
  </w:endnote>
  <w:endnote w:type="continuationSeparator" w:id="0">
    <w:p w14:paraId="6AFA9035" w14:textId="77777777" w:rsidR="002E0FBC" w:rsidRDefault="002E0FBC" w:rsidP="004F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C033" w14:textId="77777777" w:rsidR="00B00CF5" w:rsidRDefault="00B00C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DEB5" w14:textId="77777777" w:rsidR="00B00CF5" w:rsidRDefault="00B00C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EF64" w14:textId="77777777" w:rsidR="00B00CF5" w:rsidRDefault="00B00C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13C4" w14:textId="77777777" w:rsidR="002E0FBC" w:rsidRDefault="002E0FBC" w:rsidP="004F1CBE">
      <w:pPr>
        <w:spacing w:after="0" w:line="240" w:lineRule="auto"/>
      </w:pPr>
      <w:r>
        <w:separator/>
      </w:r>
    </w:p>
  </w:footnote>
  <w:footnote w:type="continuationSeparator" w:id="0">
    <w:p w14:paraId="5083FAA4" w14:textId="77777777" w:rsidR="002E0FBC" w:rsidRDefault="002E0FBC" w:rsidP="004F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15DD" w14:textId="77777777" w:rsidR="00B00CF5" w:rsidRDefault="00B00C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FEC6" w14:textId="77777777" w:rsidR="00B00CF5" w:rsidRDefault="00B00C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76CA" w14:textId="77777777" w:rsidR="00B00CF5" w:rsidRDefault="00B00C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9"/>
    <w:rsid w:val="000331A0"/>
    <w:rsid w:val="00054C72"/>
    <w:rsid w:val="0005524F"/>
    <w:rsid w:val="00056121"/>
    <w:rsid w:val="00094C64"/>
    <w:rsid w:val="000F5CF1"/>
    <w:rsid w:val="00107A84"/>
    <w:rsid w:val="0014319C"/>
    <w:rsid w:val="00196DCE"/>
    <w:rsid w:val="001E2FE6"/>
    <w:rsid w:val="001E6A24"/>
    <w:rsid w:val="00227640"/>
    <w:rsid w:val="00241526"/>
    <w:rsid w:val="0027573B"/>
    <w:rsid w:val="00275843"/>
    <w:rsid w:val="00287E63"/>
    <w:rsid w:val="002B369B"/>
    <w:rsid w:val="002E0FBC"/>
    <w:rsid w:val="00306814"/>
    <w:rsid w:val="003F36E8"/>
    <w:rsid w:val="00416A92"/>
    <w:rsid w:val="00450955"/>
    <w:rsid w:val="00452466"/>
    <w:rsid w:val="004B5C21"/>
    <w:rsid w:val="004C6BBB"/>
    <w:rsid w:val="004E38C8"/>
    <w:rsid w:val="004F1CBE"/>
    <w:rsid w:val="0050686B"/>
    <w:rsid w:val="00526E11"/>
    <w:rsid w:val="00531149"/>
    <w:rsid w:val="00544A43"/>
    <w:rsid w:val="005935EB"/>
    <w:rsid w:val="005B173D"/>
    <w:rsid w:val="005C0FD1"/>
    <w:rsid w:val="005D4133"/>
    <w:rsid w:val="005F17A0"/>
    <w:rsid w:val="006077CE"/>
    <w:rsid w:val="00626136"/>
    <w:rsid w:val="006352A8"/>
    <w:rsid w:val="006418AF"/>
    <w:rsid w:val="00653218"/>
    <w:rsid w:val="006A564D"/>
    <w:rsid w:val="006F5498"/>
    <w:rsid w:val="006F7D05"/>
    <w:rsid w:val="00761D34"/>
    <w:rsid w:val="007634DC"/>
    <w:rsid w:val="00780858"/>
    <w:rsid w:val="00782CA7"/>
    <w:rsid w:val="007A4D44"/>
    <w:rsid w:val="007B3133"/>
    <w:rsid w:val="007E415D"/>
    <w:rsid w:val="008024B0"/>
    <w:rsid w:val="00841E65"/>
    <w:rsid w:val="00847D9C"/>
    <w:rsid w:val="00865A4B"/>
    <w:rsid w:val="008905FD"/>
    <w:rsid w:val="0089454E"/>
    <w:rsid w:val="008B3A80"/>
    <w:rsid w:val="008C0583"/>
    <w:rsid w:val="008C4FCC"/>
    <w:rsid w:val="008C78AE"/>
    <w:rsid w:val="0091051A"/>
    <w:rsid w:val="00925535"/>
    <w:rsid w:val="00947AFF"/>
    <w:rsid w:val="009611FD"/>
    <w:rsid w:val="009F4ADD"/>
    <w:rsid w:val="009F59C5"/>
    <w:rsid w:val="00A0542D"/>
    <w:rsid w:val="00A40FE6"/>
    <w:rsid w:val="00A55A6F"/>
    <w:rsid w:val="00AB1375"/>
    <w:rsid w:val="00AB40B7"/>
    <w:rsid w:val="00AC78F4"/>
    <w:rsid w:val="00AE1240"/>
    <w:rsid w:val="00B00CF5"/>
    <w:rsid w:val="00B03E59"/>
    <w:rsid w:val="00B06701"/>
    <w:rsid w:val="00B10070"/>
    <w:rsid w:val="00B42643"/>
    <w:rsid w:val="00BA2A48"/>
    <w:rsid w:val="00BC5189"/>
    <w:rsid w:val="00BD27E3"/>
    <w:rsid w:val="00BE151F"/>
    <w:rsid w:val="00C0317A"/>
    <w:rsid w:val="00C14BCC"/>
    <w:rsid w:val="00C23D35"/>
    <w:rsid w:val="00C352D3"/>
    <w:rsid w:val="00C56305"/>
    <w:rsid w:val="00CA5C71"/>
    <w:rsid w:val="00CB6414"/>
    <w:rsid w:val="00CC32D2"/>
    <w:rsid w:val="00D0794B"/>
    <w:rsid w:val="00D140ED"/>
    <w:rsid w:val="00D25AC8"/>
    <w:rsid w:val="00D4727A"/>
    <w:rsid w:val="00DB37AE"/>
    <w:rsid w:val="00DC1E28"/>
    <w:rsid w:val="00DD5FF3"/>
    <w:rsid w:val="00E0070C"/>
    <w:rsid w:val="00E446B8"/>
    <w:rsid w:val="00E76F49"/>
    <w:rsid w:val="00E77E7F"/>
    <w:rsid w:val="00E80EDB"/>
    <w:rsid w:val="00E8231E"/>
    <w:rsid w:val="00E86220"/>
    <w:rsid w:val="00EB0224"/>
    <w:rsid w:val="00EC1E48"/>
    <w:rsid w:val="00F96CDB"/>
    <w:rsid w:val="00FB28A9"/>
    <w:rsid w:val="00FC2749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FB7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749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C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27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27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27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27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27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27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27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27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2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274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274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274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27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27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27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27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C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27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27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2749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C2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2749"/>
    <w:pPr>
      <w:ind w:left="720"/>
      <w:contextualSpacing/>
    </w:pPr>
    <w:rPr>
      <w:kern w:val="2"/>
      <w:lang w:val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C2749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27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2749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2749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59"/>
    <w:rsid w:val="00FC2749"/>
    <w:pPr>
      <w:spacing w:after="0" w:line="240" w:lineRule="auto"/>
    </w:pPr>
    <w:rPr>
      <w:rFonts w:ascii="Calibri" w:eastAsia="Calibri" w:hAnsi="Calibri" w:cs="Times New Roman"/>
      <w:kern w:val="0"/>
      <w:sz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7573B"/>
    <w:pPr>
      <w:spacing w:after="0" w:line="240" w:lineRule="auto"/>
    </w:pPr>
    <w:rPr>
      <w:kern w:val="0"/>
      <w:lang w:val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1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31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319C"/>
    <w:rPr>
      <w:kern w:val="0"/>
      <w:sz w:val="20"/>
      <w:szCs w:val="20"/>
      <w:lang w:val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1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19C"/>
    <w:rPr>
      <w:b/>
      <w:bCs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41E6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1E6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0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CF5"/>
    <w:rPr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0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CF5"/>
    <w:rPr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577</ap:Words>
  <ap:Characters>3175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2025-11-19T13:34:00.0000000Z</dcterms:created>
  <dcterms:modified xsi:type="dcterms:W3CDTF">2025-11-19T13:34:00.0000000Z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39f15-c483-4670-87f9-f365ba551dce_Enabled">
    <vt:lpwstr>true</vt:lpwstr>
  </property>
  <property fmtid="{D5CDD505-2E9C-101B-9397-08002B2CF9AE}" pid="3" name="MSIP_Label_f5339f15-c483-4670-87f9-f365ba551dce_SetDate">
    <vt:lpwstr>2025-10-10T10:00:42Z</vt:lpwstr>
  </property>
  <property fmtid="{D5CDD505-2E9C-101B-9397-08002B2CF9AE}" pid="4" name="MSIP_Label_f5339f15-c483-4670-87f9-f365ba551dce_Method">
    <vt:lpwstr>Standard</vt:lpwstr>
  </property>
  <property fmtid="{D5CDD505-2E9C-101B-9397-08002B2CF9AE}" pid="5" name="MSIP_Label_f5339f15-c483-4670-87f9-f365ba551dce_Name">
    <vt:lpwstr>FIN-IRF-Dep. V.</vt:lpwstr>
  </property>
  <property fmtid="{D5CDD505-2E9C-101B-9397-08002B2CF9AE}" pid="6" name="MSIP_Label_f5339f15-c483-4670-87f9-f365ba551dce_SiteId">
    <vt:lpwstr>84712536-f524-40a0-913b-5d25ba502732</vt:lpwstr>
  </property>
  <property fmtid="{D5CDD505-2E9C-101B-9397-08002B2CF9AE}" pid="7" name="MSIP_Label_f5339f15-c483-4670-87f9-f365ba551dce_ActionId">
    <vt:lpwstr>b42563b2-0a46-401f-8445-7c417b3ee96f</vt:lpwstr>
  </property>
  <property fmtid="{D5CDD505-2E9C-101B-9397-08002B2CF9AE}" pid="8" name="MSIP_Label_f5339f15-c483-4670-87f9-f365ba551dce_ContentBits">
    <vt:lpwstr>0</vt:lpwstr>
  </property>
</Properties>
</file>