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3F82" w:rsidR="00326C80" w:rsidP="003C061B" w:rsidRDefault="007A3F82" w14:paraId="4286B650" w14:textId="2579E7B7">
      <w:pPr>
        <w:spacing w:after="0" w:line="276" w:lineRule="auto"/>
        <w:rPr>
          <w:rFonts w:ascii="Verdana" w:hAnsi="Verdana"/>
          <w:b/>
          <w:bCs/>
          <w:sz w:val="22"/>
          <w:szCs w:val="22"/>
        </w:rPr>
      </w:pPr>
      <w:r w:rsidRPr="007A3F82">
        <w:rPr>
          <w:rFonts w:ascii="Verdana" w:hAnsi="Verdana"/>
          <w:b/>
          <w:bCs/>
          <w:sz w:val="22"/>
          <w:szCs w:val="22"/>
        </w:rPr>
        <w:t xml:space="preserve">BIJLAGE </w:t>
      </w:r>
      <w:r w:rsidR="0010409D">
        <w:rPr>
          <w:rFonts w:ascii="Verdana" w:hAnsi="Verdana"/>
          <w:b/>
          <w:bCs/>
          <w:sz w:val="22"/>
          <w:szCs w:val="22"/>
        </w:rPr>
        <w:t>2</w:t>
      </w:r>
      <w:r w:rsidRPr="007A3F82">
        <w:rPr>
          <w:rFonts w:ascii="Verdana" w:hAnsi="Verdana"/>
          <w:b/>
          <w:bCs/>
          <w:sz w:val="22"/>
          <w:szCs w:val="22"/>
        </w:rPr>
        <w:t>: CW3.1</w:t>
      </w:r>
      <w:r w:rsidR="00243BC4">
        <w:rPr>
          <w:rFonts w:ascii="Verdana" w:hAnsi="Verdana"/>
          <w:b/>
          <w:bCs/>
          <w:sz w:val="22"/>
          <w:szCs w:val="22"/>
        </w:rPr>
        <w:t>-</w:t>
      </w:r>
      <w:r w:rsidRPr="007A3F82">
        <w:rPr>
          <w:rFonts w:ascii="Verdana" w:hAnsi="Verdana"/>
          <w:b/>
          <w:bCs/>
          <w:sz w:val="22"/>
          <w:szCs w:val="22"/>
        </w:rPr>
        <w:t xml:space="preserve">kader </w:t>
      </w:r>
      <w:r w:rsidR="000D686A">
        <w:rPr>
          <w:rFonts w:ascii="Verdana" w:hAnsi="Verdana"/>
          <w:b/>
          <w:bCs/>
          <w:sz w:val="22"/>
          <w:szCs w:val="22"/>
        </w:rPr>
        <w:t>A</w:t>
      </w:r>
      <w:r w:rsidRPr="007A3F82">
        <w:rPr>
          <w:rFonts w:ascii="Verdana" w:hAnsi="Verdana"/>
          <w:b/>
          <w:bCs/>
          <w:sz w:val="22"/>
          <w:szCs w:val="22"/>
        </w:rPr>
        <w:t xml:space="preserve">ctieagenda </w:t>
      </w:r>
      <w:r w:rsidR="00AA4AD5">
        <w:rPr>
          <w:rFonts w:ascii="Verdana" w:hAnsi="Verdana"/>
          <w:b/>
          <w:bCs/>
          <w:sz w:val="22"/>
          <w:szCs w:val="22"/>
        </w:rPr>
        <w:t>I</w:t>
      </w:r>
      <w:r w:rsidRPr="007A3F82">
        <w:rPr>
          <w:rFonts w:ascii="Verdana" w:hAnsi="Verdana"/>
          <w:b/>
          <w:bCs/>
          <w:sz w:val="22"/>
          <w:szCs w:val="22"/>
        </w:rPr>
        <w:t xml:space="preserve">ntegratie </w:t>
      </w:r>
      <w:r w:rsidR="00AA4AD5">
        <w:rPr>
          <w:rFonts w:ascii="Verdana" w:hAnsi="Verdana"/>
          <w:b/>
          <w:bCs/>
          <w:sz w:val="22"/>
          <w:szCs w:val="22"/>
        </w:rPr>
        <w:t xml:space="preserve">en Open en Vrije Samenleving </w:t>
      </w:r>
      <w:r w:rsidRPr="007A3F82">
        <w:rPr>
          <w:rFonts w:ascii="Verdana" w:hAnsi="Verdana"/>
          <w:b/>
          <w:bCs/>
          <w:sz w:val="22"/>
          <w:szCs w:val="22"/>
        </w:rPr>
        <w:t>en taaleis</w:t>
      </w:r>
    </w:p>
    <w:p w:rsidRPr="00A216B7" w:rsidR="007A3F82" w:rsidP="003C061B" w:rsidRDefault="007A3F82" w14:paraId="660F76E3" w14:textId="77777777">
      <w:pPr>
        <w:spacing w:after="0" w:line="276" w:lineRule="auto"/>
        <w:rPr>
          <w:rFonts w:ascii="Verdana" w:hAnsi="Verdana"/>
          <w:sz w:val="18"/>
          <w:szCs w:val="18"/>
        </w:rPr>
      </w:pPr>
    </w:p>
    <w:p w:rsidRPr="00A216B7" w:rsidR="00326C80" w:rsidP="003C061B" w:rsidRDefault="00326C80" w14:paraId="450CFF77" w14:textId="43B3436C">
      <w:pPr>
        <w:spacing w:after="0" w:line="276" w:lineRule="auto"/>
        <w:rPr>
          <w:rFonts w:ascii="Verdana" w:hAnsi="Verdana"/>
          <w:b/>
          <w:bCs/>
          <w:sz w:val="18"/>
          <w:szCs w:val="18"/>
        </w:rPr>
      </w:pPr>
      <w:r w:rsidRPr="00A216B7">
        <w:rPr>
          <w:rFonts w:ascii="Verdana" w:hAnsi="Verdana"/>
          <w:b/>
          <w:bCs/>
          <w:sz w:val="18"/>
          <w:szCs w:val="18"/>
        </w:rPr>
        <w:t xml:space="preserve">Beleidskeuzes uitgelegd </w:t>
      </w:r>
    </w:p>
    <w:p w:rsidR="00A216B7" w:rsidP="003C061B" w:rsidRDefault="00A216B7" w14:paraId="414C8515" w14:textId="77777777">
      <w:pPr>
        <w:spacing w:after="0" w:line="276" w:lineRule="auto"/>
        <w:rPr>
          <w:rFonts w:ascii="Verdana" w:hAnsi="Verdana"/>
          <w:b/>
          <w:bCs/>
          <w:sz w:val="18"/>
          <w:szCs w:val="18"/>
        </w:rPr>
      </w:pPr>
    </w:p>
    <w:p w:rsidRPr="00A216B7" w:rsidR="00326C80" w:rsidP="003C061B" w:rsidRDefault="00326C80" w14:paraId="15F0B3D5" w14:textId="0E111B2F">
      <w:pPr>
        <w:spacing w:after="0" w:line="276" w:lineRule="auto"/>
        <w:rPr>
          <w:rFonts w:ascii="Verdana" w:hAnsi="Verdana"/>
          <w:b/>
          <w:bCs/>
          <w:sz w:val="18"/>
          <w:szCs w:val="18"/>
        </w:rPr>
      </w:pPr>
      <w:r w:rsidRPr="00A216B7">
        <w:rPr>
          <w:rFonts w:ascii="Verdana" w:hAnsi="Verdana"/>
          <w:b/>
          <w:bCs/>
          <w:sz w:val="18"/>
          <w:szCs w:val="18"/>
        </w:rPr>
        <w:t xml:space="preserve">Doel(en) </w:t>
      </w:r>
    </w:p>
    <w:p w:rsidRPr="00A216B7" w:rsidR="00326C80" w:rsidP="003C061B" w:rsidRDefault="00326C80" w14:paraId="5860B667" w14:textId="77777777">
      <w:pPr>
        <w:spacing w:after="0" w:line="276" w:lineRule="auto"/>
        <w:rPr>
          <w:rFonts w:ascii="Verdana" w:hAnsi="Verdana"/>
          <w:sz w:val="18"/>
          <w:szCs w:val="18"/>
        </w:rPr>
      </w:pPr>
    </w:p>
    <w:p w:rsidRPr="00A216B7" w:rsidR="006828F1" w:rsidP="003C061B" w:rsidRDefault="00326C80" w14:paraId="2F8A3136" w14:textId="201FBE71">
      <w:pPr>
        <w:spacing w:after="0" w:line="276" w:lineRule="auto"/>
        <w:rPr>
          <w:rFonts w:ascii="Verdana" w:hAnsi="Verdana"/>
          <w:sz w:val="18"/>
          <w:szCs w:val="18"/>
        </w:rPr>
      </w:pPr>
      <w:r w:rsidRPr="00A216B7">
        <w:rPr>
          <w:rFonts w:ascii="Verdana" w:hAnsi="Verdana"/>
          <w:sz w:val="18"/>
          <w:szCs w:val="18"/>
        </w:rPr>
        <w:t>De Actieagenda Integratie en Open en Vrije Samenlev</w:t>
      </w:r>
      <w:r w:rsidR="00BC2F22">
        <w:rPr>
          <w:rFonts w:ascii="Verdana" w:hAnsi="Verdana"/>
          <w:sz w:val="18"/>
          <w:szCs w:val="18"/>
        </w:rPr>
        <w:t>ing</w:t>
      </w:r>
      <w:r w:rsidRPr="00A216B7">
        <w:rPr>
          <w:rFonts w:ascii="Verdana" w:hAnsi="Verdana"/>
          <w:sz w:val="18"/>
          <w:szCs w:val="18"/>
        </w:rPr>
        <w:t xml:space="preserve"> </w:t>
      </w:r>
      <w:r w:rsidR="00AA4AD5">
        <w:rPr>
          <w:rFonts w:ascii="Verdana" w:hAnsi="Verdana"/>
          <w:sz w:val="18"/>
          <w:szCs w:val="18"/>
        </w:rPr>
        <w:t xml:space="preserve">(Actieagenda) </w:t>
      </w:r>
      <w:r w:rsidRPr="00A216B7">
        <w:rPr>
          <w:rFonts w:ascii="Verdana" w:hAnsi="Verdana"/>
          <w:sz w:val="18"/>
          <w:szCs w:val="18"/>
        </w:rPr>
        <w:t xml:space="preserve">moet bijdragen aan het doel van Nederland als open en vrij land. Een Nederland waar mensen zichzelf kunnen zijn en hun eigen keuzen kunnen maken. Een Nederland waar </w:t>
      </w:r>
      <w:r w:rsidRPr="00A216B7" w:rsidR="00BB7373">
        <w:rPr>
          <w:rFonts w:ascii="Verdana" w:hAnsi="Verdana"/>
          <w:sz w:val="18"/>
          <w:szCs w:val="18"/>
        </w:rPr>
        <w:t xml:space="preserve">mensen </w:t>
      </w:r>
      <w:r w:rsidRPr="00A216B7">
        <w:rPr>
          <w:rFonts w:ascii="Verdana" w:hAnsi="Verdana"/>
          <w:sz w:val="18"/>
          <w:szCs w:val="18"/>
        </w:rPr>
        <w:t>gelijk</w:t>
      </w:r>
      <w:r w:rsidRPr="00A216B7" w:rsidR="00BB7373">
        <w:rPr>
          <w:rFonts w:ascii="Verdana" w:hAnsi="Verdana"/>
          <w:sz w:val="18"/>
          <w:szCs w:val="18"/>
        </w:rPr>
        <w:t xml:space="preserve">e kansen </w:t>
      </w:r>
      <w:r w:rsidR="00BC2F22">
        <w:rPr>
          <w:rFonts w:ascii="Verdana" w:hAnsi="Verdana"/>
          <w:sz w:val="18"/>
          <w:szCs w:val="18"/>
        </w:rPr>
        <w:t xml:space="preserve">hebben </w:t>
      </w:r>
      <w:r w:rsidRPr="00A216B7" w:rsidR="00BB7373">
        <w:rPr>
          <w:rFonts w:ascii="Verdana" w:hAnsi="Verdana"/>
          <w:sz w:val="18"/>
          <w:szCs w:val="18"/>
        </w:rPr>
        <w:t xml:space="preserve">om volwaardig mee te kunnen doen </w:t>
      </w:r>
      <w:r w:rsidRPr="00A216B7">
        <w:rPr>
          <w:rFonts w:ascii="Verdana" w:hAnsi="Verdana"/>
          <w:sz w:val="18"/>
          <w:szCs w:val="18"/>
        </w:rPr>
        <w:t>en mensen zich thuis voelen ongeacht overtuiging, afkomst, seksuele gerichtheid, geloof of geslacht. Dit geldt voor nieuwkomers (asielzoekers, statushouders en hiermee verbonden gezinsmigranten) maar ook voor hen die al in Nederland wonen en de ontvangende samenleving vormen.</w:t>
      </w:r>
      <w:r w:rsidRPr="00A216B7" w:rsidR="00CE5172">
        <w:rPr>
          <w:rFonts w:ascii="Verdana" w:hAnsi="Verdana"/>
          <w:sz w:val="18"/>
          <w:szCs w:val="18"/>
        </w:rPr>
        <w:t xml:space="preserve"> </w:t>
      </w:r>
      <w:r w:rsidRPr="00A216B7" w:rsidR="006828F1">
        <w:rPr>
          <w:rFonts w:ascii="Verdana" w:hAnsi="Verdana"/>
          <w:sz w:val="18"/>
          <w:szCs w:val="18"/>
        </w:rPr>
        <w:t>Daarnaast moet de Actieagenda ertoe bijdragen dat nieuwkomers zo snel mogelijk aan het werk</w:t>
      </w:r>
      <w:r w:rsidRPr="00A216B7" w:rsidR="002A3F4B">
        <w:rPr>
          <w:rFonts w:ascii="Verdana" w:hAnsi="Verdana"/>
          <w:sz w:val="18"/>
          <w:szCs w:val="18"/>
        </w:rPr>
        <w:t xml:space="preserve"> gaan</w:t>
      </w:r>
      <w:r w:rsidRPr="00A216B7" w:rsidR="006828F1">
        <w:rPr>
          <w:rFonts w:ascii="Verdana" w:hAnsi="Verdana"/>
          <w:sz w:val="18"/>
          <w:szCs w:val="18"/>
        </w:rPr>
        <w:t xml:space="preserve">, te meer </w:t>
      </w:r>
      <w:r w:rsidRPr="00A216B7" w:rsidR="002A3F4B">
        <w:rPr>
          <w:rFonts w:ascii="Verdana" w:hAnsi="Verdana"/>
          <w:sz w:val="18"/>
          <w:szCs w:val="18"/>
        </w:rPr>
        <w:t>om</w:t>
      </w:r>
      <w:r w:rsidRPr="00A216B7" w:rsidR="006828F1">
        <w:rPr>
          <w:rFonts w:ascii="Verdana" w:hAnsi="Verdana"/>
          <w:sz w:val="18"/>
          <w:szCs w:val="18"/>
        </w:rPr>
        <w:t>dat werk de beste manier is om te integreren in de Nederlandse samenleving en de Nederlandse taal te leren.</w:t>
      </w:r>
    </w:p>
    <w:p w:rsidRPr="00A216B7" w:rsidR="006828F1" w:rsidP="003C061B" w:rsidRDefault="006828F1" w14:paraId="0403E4EA" w14:textId="77777777">
      <w:pPr>
        <w:spacing w:after="0" w:line="276" w:lineRule="auto"/>
        <w:rPr>
          <w:rFonts w:ascii="Verdana" w:hAnsi="Verdana"/>
          <w:sz w:val="18"/>
          <w:szCs w:val="18"/>
        </w:rPr>
      </w:pPr>
    </w:p>
    <w:p w:rsidRPr="00A216B7" w:rsidR="006828F1" w:rsidP="003C061B" w:rsidRDefault="006828F1" w14:paraId="345E2572" w14:textId="77777777">
      <w:pPr>
        <w:spacing w:after="0" w:line="276" w:lineRule="auto"/>
        <w:rPr>
          <w:rFonts w:ascii="Verdana" w:hAnsi="Verdana"/>
          <w:sz w:val="18"/>
          <w:szCs w:val="18"/>
        </w:rPr>
      </w:pPr>
    </w:p>
    <w:p w:rsidRPr="00A216B7" w:rsidR="00326C80" w:rsidP="003C061B" w:rsidRDefault="00326C80" w14:paraId="4DB5CB83" w14:textId="77777777">
      <w:pPr>
        <w:spacing w:after="0" w:line="276" w:lineRule="auto"/>
        <w:rPr>
          <w:rFonts w:ascii="Verdana" w:hAnsi="Verdana"/>
          <w:b/>
          <w:bCs/>
          <w:sz w:val="18"/>
          <w:szCs w:val="18"/>
        </w:rPr>
      </w:pPr>
      <w:r w:rsidRPr="00A216B7">
        <w:rPr>
          <w:rFonts w:ascii="Verdana" w:hAnsi="Verdana"/>
          <w:b/>
          <w:bCs/>
          <w:sz w:val="18"/>
          <w:szCs w:val="18"/>
        </w:rPr>
        <w:t xml:space="preserve">Beleidsinstrument(en) </w:t>
      </w:r>
    </w:p>
    <w:p w:rsidRPr="00A216B7" w:rsidR="00326C80" w:rsidP="003C061B" w:rsidRDefault="00326C80" w14:paraId="35E7BEFB" w14:textId="77777777">
      <w:pPr>
        <w:spacing w:after="0" w:line="276" w:lineRule="auto"/>
        <w:rPr>
          <w:rFonts w:ascii="Verdana" w:hAnsi="Verdana"/>
          <w:sz w:val="18"/>
          <w:szCs w:val="18"/>
        </w:rPr>
      </w:pPr>
    </w:p>
    <w:p w:rsidRPr="00A216B7" w:rsidR="007D6058" w:rsidP="003C061B" w:rsidRDefault="00326C80" w14:paraId="0B134251" w14:textId="7278DEA8">
      <w:pPr>
        <w:spacing w:after="0" w:line="276" w:lineRule="auto"/>
        <w:rPr>
          <w:rFonts w:ascii="Verdana" w:hAnsi="Verdana" w:cstheme="minorHAnsi"/>
          <w:sz w:val="18"/>
          <w:szCs w:val="18"/>
        </w:rPr>
      </w:pPr>
      <w:r w:rsidRPr="00A216B7">
        <w:rPr>
          <w:rFonts w:ascii="Verdana" w:hAnsi="Verdana"/>
          <w:sz w:val="18"/>
          <w:szCs w:val="18"/>
        </w:rPr>
        <w:t xml:space="preserve">Om te komen tot deze doelen werkt het kabinet </w:t>
      </w:r>
      <w:r w:rsidRPr="00A216B7" w:rsidR="006F4993">
        <w:rPr>
          <w:rFonts w:ascii="Verdana" w:hAnsi="Verdana"/>
          <w:sz w:val="18"/>
          <w:szCs w:val="18"/>
        </w:rPr>
        <w:t xml:space="preserve">in de periode 2025-2029 </w:t>
      </w:r>
      <w:r w:rsidRPr="00A216B7">
        <w:rPr>
          <w:rFonts w:ascii="Verdana" w:hAnsi="Verdana"/>
          <w:sz w:val="18"/>
          <w:szCs w:val="18"/>
        </w:rPr>
        <w:t>aan een minder vrijblijvend integratiebeleid.</w:t>
      </w:r>
      <w:r w:rsidRPr="00A216B7" w:rsidR="003C061B">
        <w:rPr>
          <w:rFonts w:ascii="Verdana" w:hAnsi="Verdana"/>
          <w:sz w:val="18"/>
          <w:szCs w:val="18"/>
        </w:rPr>
        <w:t xml:space="preserve"> </w:t>
      </w:r>
      <w:r w:rsidRPr="00A216B7" w:rsidR="007D6058">
        <w:rPr>
          <w:rFonts w:ascii="Verdana" w:hAnsi="Verdana" w:cstheme="minorHAnsi"/>
          <w:sz w:val="18"/>
          <w:szCs w:val="18"/>
        </w:rPr>
        <w:t xml:space="preserve">De </w:t>
      </w:r>
      <w:r w:rsidR="000D686A">
        <w:rPr>
          <w:rFonts w:ascii="Verdana" w:hAnsi="Verdana" w:cstheme="minorHAnsi"/>
          <w:sz w:val="18"/>
          <w:szCs w:val="18"/>
        </w:rPr>
        <w:t>A</w:t>
      </w:r>
      <w:r w:rsidRPr="00A216B7" w:rsidR="007D6058">
        <w:rPr>
          <w:rFonts w:ascii="Verdana" w:hAnsi="Verdana" w:cstheme="minorHAnsi"/>
          <w:sz w:val="18"/>
          <w:szCs w:val="18"/>
        </w:rPr>
        <w:t xml:space="preserve">ctieagenda bestaat uit twee pijlers. </w:t>
      </w:r>
    </w:p>
    <w:p w:rsidRPr="00A216B7" w:rsidR="007D6058" w:rsidP="003C061B" w:rsidRDefault="007D6058" w14:paraId="7CE3D9E4" w14:textId="77777777">
      <w:pPr>
        <w:pStyle w:val="Lijstalinea"/>
        <w:numPr>
          <w:ilvl w:val="0"/>
          <w:numId w:val="2"/>
        </w:numPr>
        <w:spacing w:after="0" w:line="276" w:lineRule="auto"/>
        <w:rPr>
          <w:rFonts w:ascii="Verdana" w:hAnsi="Verdana" w:cstheme="minorHAnsi"/>
          <w:sz w:val="18"/>
          <w:szCs w:val="18"/>
        </w:rPr>
      </w:pPr>
      <w:r w:rsidRPr="00A216B7">
        <w:rPr>
          <w:rFonts w:ascii="Verdana" w:hAnsi="Verdana" w:cstheme="minorHAnsi"/>
          <w:sz w:val="18"/>
          <w:szCs w:val="18"/>
        </w:rPr>
        <w:t xml:space="preserve">De eerste: De normen en waarden van onze open en vrije samenleving; </w:t>
      </w:r>
    </w:p>
    <w:p w:rsidRPr="00A216B7" w:rsidR="007D6058" w:rsidP="003C061B" w:rsidRDefault="007D6058" w14:paraId="15E35093" w14:textId="4C2AF012">
      <w:pPr>
        <w:pStyle w:val="Lijstalinea"/>
        <w:numPr>
          <w:ilvl w:val="0"/>
          <w:numId w:val="2"/>
        </w:numPr>
        <w:spacing w:after="0" w:line="276" w:lineRule="auto"/>
        <w:rPr>
          <w:rFonts w:ascii="Verdana" w:hAnsi="Verdana"/>
          <w:sz w:val="18"/>
          <w:szCs w:val="18"/>
        </w:rPr>
      </w:pPr>
      <w:r w:rsidRPr="00A216B7">
        <w:rPr>
          <w:rFonts w:ascii="Verdana" w:hAnsi="Verdana" w:cstheme="minorHAnsi"/>
          <w:sz w:val="18"/>
          <w:szCs w:val="18"/>
        </w:rPr>
        <w:t>De tweede: Nieuwkomers aan het werk.</w:t>
      </w:r>
      <w:r w:rsidRPr="00A216B7">
        <w:rPr>
          <w:rFonts w:ascii="Verdana" w:hAnsi="Verdana" w:cstheme="minorHAnsi"/>
          <w:sz w:val="18"/>
          <w:szCs w:val="18"/>
        </w:rPr>
        <w:br/>
      </w:r>
    </w:p>
    <w:p w:rsidRPr="00A216B7" w:rsidR="00FC5290" w:rsidP="00FC5290" w:rsidRDefault="00CE5172" w14:paraId="70FF34C0" w14:textId="77777777">
      <w:pPr>
        <w:spacing w:after="0" w:line="276" w:lineRule="auto"/>
        <w:rPr>
          <w:rFonts w:ascii="Verdana" w:hAnsi="Verdana" w:cstheme="minorHAnsi"/>
          <w:sz w:val="18"/>
          <w:szCs w:val="18"/>
          <w:u w:val="single"/>
        </w:rPr>
      </w:pPr>
      <w:r w:rsidRPr="00A216B7">
        <w:rPr>
          <w:rFonts w:ascii="Verdana" w:hAnsi="Verdana"/>
          <w:sz w:val="18"/>
          <w:szCs w:val="18"/>
          <w:u w:val="single"/>
        </w:rPr>
        <w:t>Pijler 1</w:t>
      </w:r>
      <w:r w:rsidRPr="00A216B7" w:rsidR="00FC5290">
        <w:rPr>
          <w:rFonts w:ascii="Verdana" w:hAnsi="Verdana"/>
          <w:sz w:val="18"/>
          <w:szCs w:val="18"/>
          <w:u w:val="single"/>
        </w:rPr>
        <w:t xml:space="preserve">: </w:t>
      </w:r>
      <w:r w:rsidRPr="00A216B7" w:rsidR="00FC5290">
        <w:rPr>
          <w:rFonts w:ascii="Verdana" w:hAnsi="Verdana" w:cstheme="minorHAnsi"/>
          <w:sz w:val="18"/>
          <w:szCs w:val="18"/>
          <w:u w:val="single"/>
        </w:rPr>
        <w:t xml:space="preserve">De normen en waarden van onze open en vrije samenleving; </w:t>
      </w:r>
    </w:p>
    <w:p w:rsidRPr="00A216B7" w:rsidR="00CE5172" w:rsidP="00CE5172" w:rsidRDefault="00CE5172" w14:paraId="18BD87D3" w14:textId="2D7CF895">
      <w:pPr>
        <w:spacing w:after="0" w:line="276" w:lineRule="auto"/>
        <w:rPr>
          <w:rFonts w:ascii="Verdana" w:hAnsi="Verdana"/>
          <w:sz w:val="18"/>
          <w:szCs w:val="18"/>
        </w:rPr>
      </w:pPr>
      <w:r w:rsidRPr="00A216B7">
        <w:rPr>
          <w:rFonts w:ascii="Verdana" w:hAnsi="Verdana"/>
          <w:sz w:val="18"/>
          <w:szCs w:val="18"/>
        </w:rPr>
        <w:t>Pijler 1 zet in op het versterken van waarden en normen van de open en vrije samenleving. Dat doen we door</w:t>
      </w:r>
      <w:r w:rsidRPr="00A216B7" w:rsidR="006F4993">
        <w:rPr>
          <w:rFonts w:ascii="Verdana" w:hAnsi="Verdana"/>
          <w:sz w:val="18"/>
          <w:szCs w:val="18"/>
        </w:rPr>
        <w:t xml:space="preserve"> in de periode 2025-2029 extra</w:t>
      </w:r>
      <w:r w:rsidRPr="00A216B7">
        <w:rPr>
          <w:rFonts w:ascii="Verdana" w:hAnsi="Verdana"/>
          <w:sz w:val="18"/>
          <w:szCs w:val="18"/>
        </w:rPr>
        <w:t xml:space="preserve"> maatregelen </w:t>
      </w:r>
      <w:r w:rsidRPr="00A216B7" w:rsidR="006F4993">
        <w:rPr>
          <w:rFonts w:ascii="Verdana" w:hAnsi="Verdana"/>
          <w:sz w:val="18"/>
          <w:szCs w:val="18"/>
        </w:rPr>
        <w:t xml:space="preserve">in te </w:t>
      </w:r>
      <w:r w:rsidRPr="00A216B7">
        <w:rPr>
          <w:rFonts w:ascii="Verdana" w:hAnsi="Verdana"/>
          <w:sz w:val="18"/>
          <w:szCs w:val="18"/>
        </w:rPr>
        <w:t>zetten voor het tegengaan van discriminatie, polarisatie en maatschappelijke inspanningen, preventie van radicalisering en extremisme.</w:t>
      </w:r>
      <w:r w:rsidRPr="00A216B7" w:rsidR="006F4993">
        <w:rPr>
          <w:rFonts w:ascii="Verdana" w:hAnsi="Verdana"/>
          <w:sz w:val="18"/>
          <w:szCs w:val="18"/>
        </w:rPr>
        <w:t xml:space="preserve"> Dit is aanvullend op het lopende beleid. </w:t>
      </w:r>
    </w:p>
    <w:p w:rsidRPr="00A216B7" w:rsidR="00CE5172" w:rsidP="00CE5172" w:rsidRDefault="00CE5172" w14:paraId="49F204D4" w14:textId="77777777">
      <w:pPr>
        <w:spacing w:after="0" w:line="276" w:lineRule="auto"/>
        <w:rPr>
          <w:rFonts w:ascii="Verdana" w:hAnsi="Verdana"/>
          <w:sz w:val="18"/>
          <w:szCs w:val="18"/>
        </w:rPr>
      </w:pPr>
    </w:p>
    <w:p w:rsidRPr="00A216B7" w:rsidR="00CE5172" w:rsidP="00CE5172" w:rsidRDefault="00CE5172" w14:paraId="32BCF60A" w14:textId="44A77A47">
      <w:pPr>
        <w:spacing w:after="0" w:line="276" w:lineRule="auto"/>
        <w:rPr>
          <w:rFonts w:ascii="Verdana" w:hAnsi="Verdana"/>
          <w:sz w:val="18"/>
          <w:szCs w:val="18"/>
        </w:rPr>
      </w:pPr>
      <w:r w:rsidRPr="00A216B7">
        <w:rPr>
          <w:rFonts w:ascii="Verdana" w:hAnsi="Verdana"/>
          <w:sz w:val="18"/>
          <w:szCs w:val="18"/>
        </w:rPr>
        <w:t xml:space="preserve">We geven een extra impuls aan het actieprogramma zelfbeschikking en preventie van schadelijke praktijken. Op basis van de voorlopige uitkomsten uit de evaluatie van het Meerjarenplan zelfbeschikking 2022-2025, worden de bewezen effectieve maatregelen met de meeste impact, voortgezet en opgeschaald: mentaliteitsverandering van binnenuit en financiële zelfredzaamheid voor vrouwen met een migratieachtergrond in een financiële afhankelijkheidsrelatie. Aanvullende inzet vindt plaats waar nog onvoldoende gebeurt: samen met VWS wordt de preventie binnen de ketenaanpak van schadelijke praktijken versterkt door deskundigheidsbevordering van professionals in dit veld. Hiervoor werken we samen met Pharos op basis van </w:t>
      </w:r>
      <w:r w:rsidRPr="000D686A">
        <w:rPr>
          <w:rFonts w:ascii="Verdana" w:hAnsi="Verdana"/>
          <w:sz w:val="18"/>
          <w:szCs w:val="18"/>
        </w:rPr>
        <w:t>evidence</w:t>
      </w:r>
      <w:r w:rsidR="003E40B5">
        <w:rPr>
          <w:rFonts w:ascii="Verdana" w:hAnsi="Verdana"/>
          <w:sz w:val="18"/>
          <w:szCs w:val="18"/>
        </w:rPr>
        <w:t xml:space="preserve"> </w:t>
      </w:r>
      <w:r w:rsidRPr="000D686A">
        <w:rPr>
          <w:rFonts w:ascii="Verdana" w:hAnsi="Verdana"/>
          <w:sz w:val="18"/>
          <w:szCs w:val="18"/>
        </w:rPr>
        <w:t>based</w:t>
      </w:r>
      <w:r w:rsidRPr="00A216B7">
        <w:rPr>
          <w:rFonts w:ascii="Verdana" w:hAnsi="Verdana"/>
          <w:sz w:val="18"/>
          <w:szCs w:val="18"/>
        </w:rPr>
        <w:t xml:space="preserve"> methoden.</w:t>
      </w:r>
    </w:p>
    <w:p w:rsidRPr="00A216B7" w:rsidR="00CE5172" w:rsidP="00CE5172" w:rsidRDefault="00CE5172" w14:paraId="1637B7D9" w14:textId="77777777">
      <w:pPr>
        <w:spacing w:after="0" w:line="276" w:lineRule="auto"/>
        <w:rPr>
          <w:rFonts w:ascii="Verdana" w:hAnsi="Verdana"/>
          <w:sz w:val="18"/>
          <w:szCs w:val="18"/>
        </w:rPr>
      </w:pPr>
    </w:p>
    <w:p w:rsidRPr="00A216B7" w:rsidR="00CE5172" w:rsidP="00CE5172" w:rsidRDefault="00CE5172" w14:paraId="7294CDFB" w14:textId="77777777">
      <w:pPr>
        <w:spacing w:after="0" w:line="276" w:lineRule="auto"/>
        <w:rPr>
          <w:rFonts w:ascii="Verdana" w:hAnsi="Verdana"/>
          <w:sz w:val="18"/>
          <w:szCs w:val="18"/>
        </w:rPr>
      </w:pPr>
      <w:r w:rsidRPr="00A216B7">
        <w:rPr>
          <w:rFonts w:ascii="Verdana" w:hAnsi="Verdana"/>
          <w:sz w:val="18"/>
          <w:szCs w:val="18"/>
        </w:rPr>
        <w:t>Om discriminatie op grond van religie, herkomst en huidskleur tegen te gaan, zetten we in op een preventieve aanpak die is gebaseerd op bewezen effectieve interventies die door het Kennisplatform Inclusieve Samenleving (KIS) zijn ontwikkeld en interventies die zijn ontwikkeld op basis van pilots en kennis uit onderzoeken. De grondslag voor beleid is gelegen in de mate van ervaringen van discriminatie en meldingen van discriminatie bij bijvoorbeeld anti-discriminatievoorzieningen en de politie.</w:t>
      </w:r>
    </w:p>
    <w:p w:rsidRPr="00A216B7" w:rsidR="00CE5172" w:rsidP="00CE5172" w:rsidRDefault="00CE5172" w14:paraId="3A10637F" w14:textId="77777777">
      <w:pPr>
        <w:spacing w:after="0" w:line="276" w:lineRule="auto"/>
        <w:rPr>
          <w:rFonts w:ascii="Verdana" w:hAnsi="Verdana"/>
          <w:sz w:val="18"/>
          <w:szCs w:val="18"/>
        </w:rPr>
      </w:pPr>
    </w:p>
    <w:p w:rsidRPr="00A216B7" w:rsidR="00CE5172" w:rsidP="00CE5172" w:rsidRDefault="00CE5172" w14:paraId="21C5E1AB" w14:textId="6652DDB9">
      <w:pPr>
        <w:spacing w:after="0" w:line="276" w:lineRule="auto"/>
        <w:rPr>
          <w:rFonts w:ascii="Verdana" w:hAnsi="Verdana"/>
          <w:sz w:val="18"/>
          <w:szCs w:val="18"/>
        </w:rPr>
      </w:pPr>
      <w:r w:rsidRPr="00A216B7">
        <w:rPr>
          <w:rFonts w:ascii="Verdana" w:hAnsi="Verdana"/>
          <w:sz w:val="18"/>
          <w:szCs w:val="18"/>
        </w:rPr>
        <w:t>Ongewenste buitenlandse inmenging (OBI) is ondermijnend aan onze open en vrije samenleving. Om de weerbaarheid tegen OBI te vergroten, zetten wij in op de bewustwording van onze samenleving en diasporagemeenschappen in het bijzonder en dragen wij bij aan het handelingsperspectief. Dit doe</w:t>
      </w:r>
      <w:r w:rsidR="00FC1081">
        <w:rPr>
          <w:rFonts w:ascii="Verdana" w:hAnsi="Verdana"/>
          <w:sz w:val="18"/>
          <w:szCs w:val="18"/>
        </w:rPr>
        <w:t>n</w:t>
      </w:r>
      <w:r w:rsidRPr="00A216B7">
        <w:rPr>
          <w:rFonts w:ascii="Verdana" w:hAnsi="Verdana"/>
          <w:sz w:val="18"/>
          <w:szCs w:val="18"/>
        </w:rPr>
        <w:t xml:space="preserve"> wij o.a. door regionale bijeenkomsten te organiseren voor gemeenten, handreikingen op te stellen voor lokale professionals, een communicatiecampagne ten behoeve van de bewustwording op te starten, DU’s te verstrekken voor concrete interventies, een </w:t>
      </w:r>
      <w:r w:rsidRPr="00A216B7">
        <w:rPr>
          <w:rFonts w:ascii="Verdana" w:hAnsi="Verdana"/>
          <w:sz w:val="18"/>
          <w:szCs w:val="18"/>
        </w:rPr>
        <w:lastRenderedPageBreak/>
        <w:t xml:space="preserve">OBI game te ontwikkelen en een leernetwerk op te zetten. </w:t>
      </w:r>
      <w:r w:rsidRPr="008B2189">
        <w:rPr>
          <w:rFonts w:ascii="Verdana" w:hAnsi="Verdana"/>
          <w:sz w:val="18"/>
          <w:szCs w:val="18"/>
        </w:rPr>
        <w:t>Ook dragen wij bij aan</w:t>
      </w:r>
      <w:r w:rsidRPr="008B2189" w:rsidR="008B2189">
        <w:rPr>
          <w:rFonts w:ascii="Verdana" w:hAnsi="Verdana"/>
          <w:sz w:val="18"/>
          <w:szCs w:val="18"/>
        </w:rPr>
        <w:t xml:space="preserve"> het oprichten van een vertrouwenslijn c.q. meldpunt OBI, </w:t>
      </w:r>
      <w:r w:rsidRPr="008B2189">
        <w:rPr>
          <w:rFonts w:ascii="Verdana" w:hAnsi="Verdana"/>
          <w:sz w:val="18"/>
          <w:szCs w:val="18"/>
        </w:rPr>
        <w:t xml:space="preserve">onder </w:t>
      </w:r>
      <w:r w:rsidRPr="008B2189" w:rsidR="008B2189">
        <w:rPr>
          <w:rFonts w:ascii="Verdana" w:hAnsi="Verdana"/>
          <w:sz w:val="18"/>
          <w:szCs w:val="18"/>
        </w:rPr>
        <w:t xml:space="preserve">de </w:t>
      </w:r>
      <w:r w:rsidRPr="008B2189">
        <w:rPr>
          <w:rFonts w:ascii="Verdana" w:hAnsi="Verdana"/>
          <w:sz w:val="18"/>
          <w:szCs w:val="18"/>
        </w:rPr>
        <w:t>coördinatie van de NCTV</w:t>
      </w:r>
      <w:r w:rsidRPr="008B2189" w:rsidR="008B2189">
        <w:rPr>
          <w:rFonts w:ascii="Verdana" w:hAnsi="Verdana"/>
          <w:sz w:val="18"/>
          <w:szCs w:val="18"/>
        </w:rPr>
        <w:t>.</w:t>
      </w:r>
    </w:p>
    <w:p w:rsidRPr="00A216B7" w:rsidR="00CE5172" w:rsidP="00CE5172" w:rsidRDefault="00CE5172" w14:paraId="3F6F317E" w14:textId="77777777">
      <w:pPr>
        <w:spacing w:after="0" w:line="276" w:lineRule="auto"/>
        <w:rPr>
          <w:rFonts w:ascii="Verdana" w:hAnsi="Verdana"/>
          <w:sz w:val="18"/>
          <w:szCs w:val="18"/>
        </w:rPr>
      </w:pPr>
    </w:p>
    <w:p w:rsidRPr="008D7BED" w:rsidR="00CE5172" w:rsidP="00CE5172" w:rsidRDefault="00CE5172" w14:paraId="27CA767B" w14:textId="36C2BF54">
      <w:pPr>
        <w:spacing w:after="0" w:line="276" w:lineRule="auto"/>
        <w:rPr>
          <w:rFonts w:ascii="Verdana" w:hAnsi="Verdana"/>
          <w:sz w:val="18"/>
          <w:szCs w:val="18"/>
          <w:highlight w:val="yellow"/>
        </w:rPr>
      </w:pPr>
      <w:r w:rsidRPr="008B2189">
        <w:rPr>
          <w:rFonts w:ascii="Verdana" w:hAnsi="Verdana"/>
          <w:sz w:val="18"/>
          <w:szCs w:val="18"/>
        </w:rPr>
        <w:t>Om de Nederlandse moslimgemeenschap in staat te stellen</w:t>
      </w:r>
      <w:r w:rsidRPr="008B2189" w:rsidR="008D7BED">
        <w:rPr>
          <w:rFonts w:ascii="Verdana" w:hAnsi="Verdana"/>
          <w:sz w:val="18"/>
          <w:szCs w:val="18"/>
        </w:rPr>
        <w:t xml:space="preserve"> </w:t>
      </w:r>
      <w:r w:rsidRPr="008B2189">
        <w:rPr>
          <w:rFonts w:ascii="Verdana" w:hAnsi="Verdana"/>
          <w:sz w:val="18"/>
          <w:szCs w:val="18"/>
        </w:rPr>
        <w:t>onafhankelijk van de herkomstlanden zelf hun eigen predikers en voorgangers voort te brengen, wordt er een Nederlandse imamopleiding opgezet.</w:t>
      </w:r>
      <w:r w:rsidRPr="00A216B7">
        <w:rPr>
          <w:rFonts w:ascii="Verdana" w:hAnsi="Verdana"/>
          <w:sz w:val="18"/>
          <w:szCs w:val="18"/>
        </w:rPr>
        <w:t xml:space="preserve"> In Nederland gewortelde en opgeleide imams zullen, in tegenstelling tot buitenlandse imams, beter aansluiting vinden bij de leefwereld van onze Nederlandse moslims (taal) en zijn al bekend met onze Nederlandse context (normen en waarden).</w:t>
      </w:r>
    </w:p>
    <w:p w:rsidRPr="00A216B7" w:rsidR="00CE5172" w:rsidP="00CE5172" w:rsidRDefault="00CE5172" w14:paraId="1D302002" w14:textId="77777777">
      <w:pPr>
        <w:spacing w:after="0" w:line="276" w:lineRule="auto"/>
        <w:rPr>
          <w:rFonts w:ascii="Verdana" w:hAnsi="Verdana"/>
          <w:sz w:val="18"/>
          <w:szCs w:val="18"/>
        </w:rPr>
      </w:pPr>
    </w:p>
    <w:p w:rsidRPr="00A216B7" w:rsidR="00CE5172" w:rsidP="00A216B7" w:rsidRDefault="00966FEE" w14:paraId="2F1FBD99" w14:textId="552CCE87">
      <w:pPr>
        <w:rPr>
          <w:rFonts w:ascii="Verdana" w:hAnsi="Verdana"/>
          <w:sz w:val="18"/>
          <w:szCs w:val="18"/>
        </w:rPr>
      </w:pPr>
      <w:r w:rsidRPr="00A216B7">
        <w:rPr>
          <w:rFonts w:ascii="Verdana" w:hAnsi="Verdana"/>
          <w:sz w:val="18"/>
          <w:szCs w:val="18"/>
        </w:rPr>
        <w:t>Radicalisering en extremisme vormen een bedreiging voor onze open en vrije samenleving. Er zijn zorgen dat met name jongeren online vaker én sneller radicaliseren. De online wereld ontwikkelt zich razendsnel. Juist vanwege deze snelle ontwikkelingen hebben gemeenten, professionals en ouders behoefte aan kennis over wat werkt in de vorm van advies, handreikingen en training. Centraal in de aanpak staat daarom het ondersteunen van gemeenten, professionals en ouders in hun zoektocht naar wat werkt, om vervolgens deze kennis breed beschikbaar te maken. Zo zet de aanpak in op het versterken van de kennisbasis, het versterken van vakmanschap en samenwerking en de ontwikkeling en evaluatie interventies. Uit diverse onderzoeken blijkt dat deze pijlers gedragen worden in onderzoek en in de praktijk.</w:t>
      </w:r>
      <w:r w:rsidRPr="00FC1081">
        <w:rPr>
          <w:rFonts w:ascii="Verdana" w:hAnsi="Verdana"/>
          <w:sz w:val="18"/>
          <w:szCs w:val="18"/>
          <w:vertAlign w:val="superscript"/>
        </w:rPr>
        <w:footnoteReference w:id="1"/>
      </w:r>
      <w:r w:rsidRPr="00FC1081">
        <w:rPr>
          <w:rFonts w:ascii="Verdana" w:hAnsi="Verdana"/>
          <w:sz w:val="18"/>
          <w:szCs w:val="18"/>
          <w:vertAlign w:val="superscript"/>
        </w:rPr>
        <w:t xml:space="preserve"> </w:t>
      </w:r>
    </w:p>
    <w:p w:rsidRPr="00A216B7" w:rsidR="00CE5172" w:rsidP="003C061B" w:rsidRDefault="00CE5172" w14:paraId="68444AE7" w14:textId="77777777">
      <w:pPr>
        <w:spacing w:after="0" w:line="276" w:lineRule="auto"/>
        <w:rPr>
          <w:rFonts w:ascii="Verdana" w:hAnsi="Verdana"/>
          <w:sz w:val="18"/>
          <w:szCs w:val="18"/>
        </w:rPr>
      </w:pPr>
    </w:p>
    <w:p w:rsidRPr="00A216B7" w:rsidR="00CE5172" w:rsidP="003C061B" w:rsidRDefault="00CE5172" w14:paraId="611023D8" w14:textId="738B0E8B">
      <w:pPr>
        <w:spacing w:after="0" w:line="276" w:lineRule="auto"/>
        <w:rPr>
          <w:rFonts w:ascii="Verdana" w:hAnsi="Verdana"/>
          <w:sz w:val="18"/>
          <w:szCs w:val="18"/>
          <w:u w:val="single"/>
        </w:rPr>
      </w:pPr>
      <w:r w:rsidRPr="00A216B7">
        <w:rPr>
          <w:rFonts w:ascii="Verdana" w:hAnsi="Verdana"/>
          <w:sz w:val="18"/>
          <w:szCs w:val="18"/>
          <w:u w:val="single"/>
        </w:rPr>
        <w:t>Pijler 2</w:t>
      </w:r>
      <w:r w:rsidRPr="00A216B7" w:rsidR="00FC5290">
        <w:rPr>
          <w:rFonts w:ascii="Verdana" w:hAnsi="Verdana"/>
          <w:sz w:val="18"/>
          <w:szCs w:val="18"/>
          <w:u w:val="single"/>
        </w:rPr>
        <w:t xml:space="preserve">: </w:t>
      </w:r>
      <w:r w:rsidRPr="00A216B7" w:rsidR="00FC5290">
        <w:rPr>
          <w:rFonts w:ascii="Verdana" w:hAnsi="Verdana" w:cstheme="minorHAnsi"/>
          <w:sz w:val="18"/>
          <w:szCs w:val="18"/>
          <w:u w:val="single"/>
        </w:rPr>
        <w:t>Nieuwkomers aan het werk.</w:t>
      </w:r>
    </w:p>
    <w:p w:rsidRPr="00A216B7" w:rsidR="00CE5172" w:rsidP="00CE5172" w:rsidRDefault="00CE5172" w14:paraId="3ED47098" w14:textId="4FDAAC89">
      <w:pPr>
        <w:spacing w:after="0" w:line="276" w:lineRule="auto"/>
        <w:rPr>
          <w:rFonts w:ascii="Verdana" w:hAnsi="Verdana"/>
          <w:sz w:val="18"/>
          <w:szCs w:val="18"/>
        </w:rPr>
      </w:pPr>
      <w:r w:rsidRPr="00A216B7">
        <w:rPr>
          <w:rFonts w:ascii="Verdana" w:hAnsi="Verdana"/>
          <w:sz w:val="18"/>
          <w:szCs w:val="18"/>
        </w:rPr>
        <w:t xml:space="preserve">Het doel van pijler 2 is dat mensen met een migratieachtergrond een evenredige positie hebben op de arbeidsmarkt als mensen zonder migratieachtergrond. Vanuit de </w:t>
      </w:r>
      <w:r w:rsidR="000D686A">
        <w:rPr>
          <w:rFonts w:ascii="Verdana" w:hAnsi="Verdana"/>
          <w:sz w:val="18"/>
          <w:szCs w:val="18"/>
        </w:rPr>
        <w:t>A</w:t>
      </w:r>
      <w:r w:rsidRPr="00A216B7">
        <w:rPr>
          <w:rFonts w:ascii="Verdana" w:hAnsi="Verdana"/>
          <w:sz w:val="18"/>
          <w:szCs w:val="18"/>
        </w:rPr>
        <w:t xml:space="preserve">ctieagenda worden hiervoor </w:t>
      </w:r>
      <w:r w:rsidRPr="00A216B7" w:rsidR="006F4993">
        <w:rPr>
          <w:rFonts w:ascii="Verdana" w:hAnsi="Verdana"/>
          <w:sz w:val="18"/>
          <w:szCs w:val="18"/>
        </w:rPr>
        <w:t xml:space="preserve">in de periode 2025-2029 </w:t>
      </w:r>
      <w:r w:rsidRPr="00A216B7">
        <w:rPr>
          <w:rFonts w:ascii="Verdana" w:hAnsi="Verdana"/>
          <w:sz w:val="18"/>
          <w:szCs w:val="18"/>
        </w:rPr>
        <w:t>verschillende instrumenten voor ingezet</w:t>
      </w:r>
      <w:r w:rsidRPr="00A216B7" w:rsidR="00151927">
        <w:rPr>
          <w:rFonts w:ascii="Verdana" w:hAnsi="Verdana"/>
          <w:sz w:val="18"/>
          <w:szCs w:val="18"/>
        </w:rPr>
        <w:t>, aanvullend op het lopende beleid</w:t>
      </w:r>
      <w:r w:rsidRPr="00A216B7">
        <w:rPr>
          <w:rFonts w:ascii="Verdana" w:hAnsi="Verdana"/>
          <w:sz w:val="18"/>
          <w:szCs w:val="18"/>
        </w:rPr>
        <w:t xml:space="preserve">. Een vroege start op de arbeidsmarkt begint in het AZC. Daarom wordt ingezet op het vergroten van de arbeidsdeelname van asielzoekers. Naast het wegnemen van belemmeringen wordt bezien of het mogelijk is om ondersteuning te bieden bij de toeleiding naar werk van asielzoekers en statushouders die in het AZC verblijven. De focus op werk moet blijven als nieuwkomers een verblijfsvergunning hebben verkregen. Het kabinet wil daarom inzetten op een zo breed mogelijke inzet van startbanen voor statushouders. </w:t>
      </w:r>
      <w:r w:rsidR="008B2189">
        <w:rPr>
          <w:rFonts w:ascii="Verdana" w:hAnsi="Verdana"/>
          <w:sz w:val="18"/>
          <w:szCs w:val="18"/>
        </w:rPr>
        <w:t>Er is</w:t>
      </w:r>
      <w:r w:rsidRPr="00A216B7">
        <w:rPr>
          <w:rFonts w:ascii="Verdana" w:hAnsi="Verdana"/>
          <w:sz w:val="18"/>
          <w:szCs w:val="18"/>
        </w:rPr>
        <w:t xml:space="preserve"> daarom extra budget vrijgemaakt om </w:t>
      </w:r>
      <w:r w:rsidR="00FC1081">
        <w:rPr>
          <w:rFonts w:ascii="Verdana" w:hAnsi="Verdana"/>
          <w:sz w:val="18"/>
          <w:szCs w:val="18"/>
        </w:rPr>
        <w:t>– b</w:t>
      </w:r>
      <w:r w:rsidRPr="00A216B7">
        <w:rPr>
          <w:rFonts w:ascii="Verdana" w:hAnsi="Verdana"/>
          <w:sz w:val="18"/>
          <w:szCs w:val="18"/>
        </w:rPr>
        <w:t>innen</w:t>
      </w:r>
      <w:r w:rsidR="00FC1081">
        <w:rPr>
          <w:rFonts w:ascii="Verdana" w:hAnsi="Verdana"/>
          <w:sz w:val="18"/>
          <w:szCs w:val="18"/>
        </w:rPr>
        <w:t xml:space="preserve"> </w:t>
      </w:r>
      <w:r w:rsidRPr="00A216B7">
        <w:rPr>
          <w:rFonts w:ascii="Verdana" w:hAnsi="Verdana"/>
          <w:sz w:val="18"/>
          <w:szCs w:val="18"/>
        </w:rPr>
        <w:t>de bestaande regelgeving – te experimenteren met meer mogelijkheden om betaald werk en inburgering te combineren. Met de werkgeverssubsidie voor statushouders krijgen werkgevers subsidie om statushouders op de werkvloer te begeleiden wat (duurzame) instroom op de arbeidsmarkt bevorderd. Specifiek hebben we aandacht voor begeleiding van vrouwelijke statushouders omdat zij tegen specifieke belemmeringen aanlopen en we verwachten dat zij met extra begeleiding kunnen toetreden tot de arbeidsmarkt</w:t>
      </w:r>
      <w:r w:rsidR="00FC1081">
        <w:rPr>
          <w:rFonts w:ascii="Verdana" w:hAnsi="Verdana"/>
          <w:sz w:val="18"/>
          <w:szCs w:val="18"/>
        </w:rPr>
        <w:t>.</w:t>
      </w:r>
    </w:p>
    <w:p w:rsidRPr="00A216B7" w:rsidR="003C061B" w:rsidP="003C061B" w:rsidRDefault="003C061B" w14:paraId="24E30F0E" w14:textId="77777777">
      <w:pPr>
        <w:spacing w:after="0" w:line="276" w:lineRule="auto"/>
        <w:rPr>
          <w:rFonts w:ascii="Verdana" w:hAnsi="Verdana"/>
          <w:sz w:val="18"/>
          <w:szCs w:val="18"/>
        </w:rPr>
      </w:pPr>
    </w:p>
    <w:p w:rsidRPr="00A216B7" w:rsidR="00326C80" w:rsidP="003C061B" w:rsidRDefault="005C7975" w14:paraId="5DD13CAD" w14:textId="2CB4FC00">
      <w:pPr>
        <w:spacing w:after="0" w:line="276" w:lineRule="auto"/>
        <w:rPr>
          <w:rFonts w:ascii="Verdana" w:hAnsi="Verdana"/>
          <w:sz w:val="18"/>
          <w:szCs w:val="18"/>
        </w:rPr>
      </w:pPr>
      <w:r w:rsidRPr="00A216B7">
        <w:rPr>
          <w:rFonts w:ascii="Verdana" w:hAnsi="Verdana"/>
          <w:sz w:val="18"/>
          <w:szCs w:val="18"/>
        </w:rPr>
        <w:t xml:space="preserve">Daarnaast </w:t>
      </w:r>
      <w:r w:rsidR="008B2189">
        <w:rPr>
          <w:rFonts w:ascii="Verdana" w:hAnsi="Verdana"/>
          <w:sz w:val="18"/>
          <w:szCs w:val="18"/>
        </w:rPr>
        <w:t>zijn er</w:t>
      </w:r>
      <w:r w:rsidRPr="00A216B7">
        <w:rPr>
          <w:rFonts w:ascii="Verdana" w:hAnsi="Verdana"/>
          <w:sz w:val="18"/>
          <w:szCs w:val="18"/>
        </w:rPr>
        <w:t xml:space="preserve"> </w:t>
      </w:r>
      <w:r w:rsidRPr="00A216B7" w:rsidR="006F4993">
        <w:rPr>
          <w:rFonts w:ascii="Verdana" w:hAnsi="Verdana"/>
          <w:sz w:val="18"/>
          <w:szCs w:val="18"/>
        </w:rPr>
        <w:t xml:space="preserve">structurele </w:t>
      </w:r>
      <w:r w:rsidRPr="00A216B7">
        <w:rPr>
          <w:rFonts w:ascii="Verdana" w:hAnsi="Verdana"/>
          <w:sz w:val="18"/>
          <w:szCs w:val="18"/>
        </w:rPr>
        <w:t xml:space="preserve">middelen vrijgemaakt voor taalonderwijs aan de doelgroep die valt onder de taaleis uit de Participatiewet. Op deze manier </w:t>
      </w:r>
      <w:r w:rsidR="008B2189">
        <w:rPr>
          <w:rFonts w:ascii="Verdana" w:hAnsi="Verdana"/>
          <w:sz w:val="18"/>
          <w:szCs w:val="18"/>
        </w:rPr>
        <w:t>stellen we</w:t>
      </w:r>
      <w:r w:rsidRPr="00A216B7">
        <w:rPr>
          <w:rFonts w:ascii="Verdana" w:hAnsi="Verdana"/>
          <w:sz w:val="18"/>
          <w:szCs w:val="18"/>
        </w:rPr>
        <w:t xml:space="preserve"> gemeenten in staat effectief taalbeleid te voeren met de ondersteuning die daarbij hoort. Het beheersen van de Nederlandse taal is heel belangrijk om mee te kunnen doen in de samenleving en de kansen op de arbeidsmarkt te vergroten.    </w:t>
      </w:r>
    </w:p>
    <w:p w:rsidRPr="00A216B7" w:rsidR="00FC5290" w:rsidP="003C061B" w:rsidRDefault="00FC5290" w14:paraId="4C378BC3" w14:textId="77777777">
      <w:pPr>
        <w:spacing w:after="0" w:line="276" w:lineRule="auto"/>
        <w:rPr>
          <w:rFonts w:ascii="Verdana" w:hAnsi="Verdana"/>
          <w:sz w:val="18"/>
          <w:szCs w:val="18"/>
        </w:rPr>
      </w:pPr>
    </w:p>
    <w:p w:rsidRPr="00A216B7" w:rsidR="00326C80" w:rsidP="003C061B" w:rsidRDefault="00326C80" w14:paraId="2F68DFC4" w14:textId="77777777">
      <w:pPr>
        <w:spacing w:after="0" w:line="276" w:lineRule="auto"/>
        <w:rPr>
          <w:rFonts w:ascii="Verdana" w:hAnsi="Verdana"/>
          <w:b/>
          <w:bCs/>
          <w:sz w:val="18"/>
          <w:szCs w:val="18"/>
        </w:rPr>
      </w:pPr>
      <w:r w:rsidRPr="00A216B7">
        <w:rPr>
          <w:rFonts w:ascii="Verdana" w:hAnsi="Verdana"/>
          <w:b/>
          <w:bCs/>
          <w:sz w:val="18"/>
          <w:szCs w:val="18"/>
        </w:rPr>
        <w:t xml:space="preserve">Financiële gevolgen voor het Rijk </w:t>
      </w:r>
    </w:p>
    <w:p w:rsidRPr="00A216B7" w:rsidR="00326C80" w:rsidP="003C061B" w:rsidRDefault="00326C80" w14:paraId="0FB302B2" w14:textId="77777777">
      <w:pPr>
        <w:spacing w:after="0" w:line="276" w:lineRule="auto"/>
        <w:rPr>
          <w:rFonts w:ascii="Verdana" w:hAnsi="Verdana"/>
          <w:sz w:val="18"/>
          <w:szCs w:val="18"/>
        </w:rPr>
      </w:pPr>
    </w:p>
    <w:p w:rsidRPr="00A216B7" w:rsidR="00326C80" w:rsidP="003C061B" w:rsidRDefault="00326C80" w14:paraId="079231D2" w14:textId="7F8D6563">
      <w:pPr>
        <w:spacing w:after="0" w:line="276" w:lineRule="auto"/>
        <w:rPr>
          <w:rFonts w:ascii="Verdana" w:hAnsi="Verdana" w:cstheme="minorHAnsi"/>
          <w:sz w:val="18"/>
          <w:szCs w:val="18"/>
        </w:rPr>
      </w:pPr>
      <w:r w:rsidRPr="00A216B7">
        <w:rPr>
          <w:rFonts w:ascii="Verdana" w:hAnsi="Verdana" w:cstheme="minorHAnsi"/>
          <w:sz w:val="18"/>
          <w:szCs w:val="18"/>
        </w:rPr>
        <w:t xml:space="preserve">Alle plannen uit deze </w:t>
      </w:r>
      <w:r w:rsidR="000D686A">
        <w:rPr>
          <w:rFonts w:ascii="Verdana" w:hAnsi="Verdana" w:cstheme="minorHAnsi"/>
          <w:sz w:val="18"/>
          <w:szCs w:val="18"/>
        </w:rPr>
        <w:t>A</w:t>
      </w:r>
      <w:r w:rsidRPr="00A216B7">
        <w:rPr>
          <w:rFonts w:ascii="Verdana" w:hAnsi="Verdana" w:cstheme="minorHAnsi"/>
          <w:sz w:val="18"/>
          <w:szCs w:val="18"/>
        </w:rPr>
        <w:t xml:space="preserve">ctieagenda worden gefinancierd binnen de </w:t>
      </w:r>
      <w:r w:rsidRPr="008B2189">
        <w:rPr>
          <w:rFonts w:ascii="Verdana" w:hAnsi="Verdana" w:cstheme="minorHAnsi"/>
          <w:sz w:val="18"/>
          <w:szCs w:val="18"/>
        </w:rPr>
        <w:t>bestaande en</w:t>
      </w:r>
      <w:r w:rsidRPr="008B2189" w:rsidR="008B2189">
        <w:rPr>
          <w:rFonts w:ascii="Verdana" w:hAnsi="Verdana" w:cstheme="minorHAnsi"/>
          <w:sz w:val="18"/>
          <w:szCs w:val="18"/>
        </w:rPr>
        <w:t xml:space="preserve"> </w:t>
      </w:r>
      <w:r w:rsidR="008B2189">
        <w:rPr>
          <w:rFonts w:ascii="Verdana" w:hAnsi="Verdana" w:cstheme="minorHAnsi"/>
          <w:sz w:val="18"/>
          <w:szCs w:val="18"/>
        </w:rPr>
        <w:t xml:space="preserve">– </w:t>
      </w:r>
      <w:r w:rsidRPr="008B2189">
        <w:rPr>
          <w:rFonts w:ascii="Verdana" w:hAnsi="Verdana" w:cstheme="minorHAnsi"/>
          <w:sz w:val="18"/>
          <w:szCs w:val="18"/>
        </w:rPr>
        <w:t>bij</w:t>
      </w:r>
      <w:r w:rsidR="008B2189">
        <w:rPr>
          <w:rFonts w:ascii="Verdana" w:hAnsi="Verdana" w:cstheme="minorHAnsi"/>
          <w:sz w:val="18"/>
          <w:szCs w:val="18"/>
        </w:rPr>
        <w:t xml:space="preserve"> </w:t>
      </w:r>
      <w:r w:rsidRPr="008B2189" w:rsidR="008B2189">
        <w:rPr>
          <w:rFonts w:ascii="Verdana" w:hAnsi="Verdana" w:cstheme="minorHAnsi"/>
          <w:sz w:val="18"/>
          <w:szCs w:val="18"/>
        </w:rPr>
        <w:t xml:space="preserve">de </w:t>
      </w:r>
      <w:r w:rsidRPr="008B2189">
        <w:rPr>
          <w:rFonts w:ascii="Verdana" w:hAnsi="Verdana" w:cstheme="minorHAnsi"/>
          <w:sz w:val="18"/>
          <w:szCs w:val="18"/>
        </w:rPr>
        <w:t xml:space="preserve">Voorjaarsnota 2025 </w:t>
      </w:r>
      <w:r w:rsidR="008B2189">
        <w:rPr>
          <w:rFonts w:ascii="Verdana" w:hAnsi="Verdana" w:cstheme="minorHAnsi"/>
          <w:sz w:val="18"/>
          <w:szCs w:val="18"/>
        </w:rPr>
        <w:t>–</w:t>
      </w:r>
      <w:r w:rsidRPr="008B2189">
        <w:rPr>
          <w:rFonts w:ascii="Verdana" w:hAnsi="Verdana" w:cstheme="minorHAnsi"/>
          <w:sz w:val="18"/>
          <w:szCs w:val="18"/>
        </w:rPr>
        <w:t xml:space="preserve"> nieuw</w:t>
      </w:r>
      <w:r w:rsidRPr="008B2189" w:rsidR="008B2189">
        <w:rPr>
          <w:rFonts w:ascii="Verdana" w:hAnsi="Verdana" w:cstheme="minorHAnsi"/>
          <w:sz w:val="18"/>
          <w:szCs w:val="18"/>
        </w:rPr>
        <w:t>e</w:t>
      </w:r>
      <w:r w:rsidR="008B2189">
        <w:rPr>
          <w:rFonts w:ascii="Verdana" w:hAnsi="Verdana" w:cstheme="minorHAnsi"/>
          <w:sz w:val="18"/>
          <w:szCs w:val="18"/>
        </w:rPr>
        <w:t xml:space="preserve"> </w:t>
      </w:r>
      <w:r w:rsidRPr="008B2189">
        <w:rPr>
          <w:rFonts w:ascii="Verdana" w:hAnsi="Verdana" w:cstheme="minorHAnsi"/>
          <w:sz w:val="18"/>
          <w:szCs w:val="18"/>
        </w:rPr>
        <w:t>toegekende middelen.</w:t>
      </w:r>
      <w:r w:rsidRPr="00A216B7">
        <w:rPr>
          <w:rFonts w:ascii="Verdana" w:hAnsi="Verdana" w:cstheme="minorHAnsi"/>
          <w:sz w:val="18"/>
          <w:szCs w:val="18"/>
        </w:rPr>
        <w:t xml:space="preserve"> In de tabel is een overzicht opgenomen van de nieuw</w:t>
      </w:r>
      <w:r w:rsidRPr="008D7BED" w:rsidR="000D686A">
        <w:rPr>
          <w:rFonts w:ascii="Verdana" w:hAnsi="Verdana" w:cstheme="minorHAnsi"/>
          <w:sz w:val="18"/>
          <w:szCs w:val="18"/>
        </w:rPr>
        <w:t>e</w:t>
      </w:r>
      <w:r w:rsidRPr="00A216B7">
        <w:rPr>
          <w:rFonts w:ascii="Verdana" w:hAnsi="Verdana" w:cstheme="minorHAnsi"/>
          <w:sz w:val="18"/>
          <w:szCs w:val="18"/>
        </w:rPr>
        <w:t xml:space="preserve"> toegekende middelen voor de komende jaren.</w:t>
      </w:r>
    </w:p>
    <w:p w:rsidRPr="00A216B7" w:rsidR="003C061B" w:rsidP="003C061B" w:rsidRDefault="003C061B" w14:paraId="63823514" w14:textId="77777777">
      <w:pPr>
        <w:spacing w:after="0" w:line="276" w:lineRule="auto"/>
        <w:rPr>
          <w:rFonts w:ascii="Verdana" w:hAnsi="Verdana" w:cstheme="minorHAnsi"/>
          <w:sz w:val="18"/>
          <w:szCs w:val="18"/>
        </w:rPr>
      </w:pPr>
    </w:p>
    <w:p w:rsidRPr="00A216B7" w:rsidR="00326C80" w:rsidP="003C061B" w:rsidRDefault="00326C80" w14:paraId="76BB7250" w14:textId="77777777">
      <w:pPr>
        <w:spacing w:after="0" w:line="276" w:lineRule="auto"/>
        <w:rPr>
          <w:rFonts w:ascii="Verdana" w:hAnsi="Verdana" w:cstheme="minorHAnsi"/>
          <w:b/>
          <w:bCs/>
          <w:sz w:val="18"/>
          <w:szCs w:val="18"/>
        </w:rPr>
      </w:pPr>
      <w:r w:rsidRPr="00A216B7">
        <w:rPr>
          <w:rFonts w:ascii="Verdana" w:hAnsi="Verdana" w:cstheme="minorHAnsi"/>
          <w:b/>
          <w:bCs/>
          <w:sz w:val="18"/>
          <w:szCs w:val="18"/>
        </w:rPr>
        <w:t>Tabel: nieuw toegekende middelen bij VJN (x 1 mln.)</w:t>
      </w:r>
    </w:p>
    <w:tbl>
      <w:tblPr>
        <w:tblStyle w:val="Tabelraster"/>
        <w:tblW w:w="820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ook w:val="04A0" w:firstRow="1" w:lastRow="0" w:firstColumn="1" w:lastColumn="0" w:noHBand="0" w:noVBand="1"/>
      </w:tblPr>
      <w:tblGrid>
        <w:gridCol w:w="2395"/>
        <w:gridCol w:w="682"/>
        <w:gridCol w:w="874"/>
        <w:gridCol w:w="874"/>
        <w:gridCol w:w="874"/>
        <w:gridCol w:w="874"/>
        <w:gridCol w:w="874"/>
        <w:gridCol w:w="760"/>
      </w:tblGrid>
      <w:tr w:rsidRPr="00A216B7" w:rsidR="00326C80" w:rsidTr="00F213CC" w14:paraId="3ABBFDC8" w14:textId="77777777">
        <w:tc>
          <w:tcPr>
            <w:tcW w:w="2395" w:type="dxa"/>
            <w:tcBorders>
              <w:top w:val="single" w:color="auto" w:sz="12" w:space="0"/>
              <w:bottom w:val="single" w:color="auto" w:sz="12" w:space="0"/>
              <w:right w:val="single" w:color="auto" w:sz="12" w:space="0"/>
            </w:tcBorders>
            <w:shd w:val="clear" w:color="auto" w:fill="D9D9D9" w:themeFill="background1" w:themeFillShade="D9"/>
          </w:tcPr>
          <w:p w:rsidRPr="00A216B7" w:rsidR="00326C80" w:rsidP="003C061B" w:rsidRDefault="00326C80" w14:paraId="101D60C0" w14:textId="77777777">
            <w:pPr>
              <w:spacing w:line="276" w:lineRule="auto"/>
              <w:rPr>
                <w:rFonts w:ascii="Verdana" w:hAnsi="Verdana" w:cstheme="minorHAnsi"/>
                <w:sz w:val="18"/>
                <w:szCs w:val="18"/>
              </w:rPr>
            </w:pPr>
          </w:p>
        </w:tc>
        <w:tc>
          <w:tcPr>
            <w:tcW w:w="682" w:type="dxa"/>
            <w:tcBorders>
              <w:top w:val="single" w:color="auto" w:sz="12" w:space="0"/>
              <w:left w:val="single" w:color="auto" w:sz="12" w:space="0"/>
              <w:bottom w:val="single" w:color="auto" w:sz="12" w:space="0"/>
            </w:tcBorders>
            <w:shd w:val="clear" w:color="auto" w:fill="D9D9D9" w:themeFill="background1" w:themeFillShade="D9"/>
          </w:tcPr>
          <w:p w:rsidRPr="00A216B7" w:rsidR="00326C80" w:rsidP="003C061B" w:rsidRDefault="00326C80" w14:paraId="521558A0" w14:textId="77777777">
            <w:pPr>
              <w:spacing w:line="276" w:lineRule="auto"/>
              <w:rPr>
                <w:rFonts w:ascii="Verdana" w:hAnsi="Verdana" w:cstheme="minorHAnsi"/>
                <w:sz w:val="18"/>
                <w:szCs w:val="18"/>
              </w:rPr>
            </w:pPr>
            <w:r w:rsidRPr="00A216B7">
              <w:rPr>
                <w:rFonts w:ascii="Verdana" w:hAnsi="Verdana" w:cstheme="minorHAnsi"/>
                <w:sz w:val="18"/>
                <w:szCs w:val="18"/>
              </w:rPr>
              <w:t>2025</w:t>
            </w:r>
          </w:p>
        </w:tc>
        <w:tc>
          <w:tcPr>
            <w:tcW w:w="874" w:type="dxa"/>
            <w:tcBorders>
              <w:top w:val="single" w:color="auto" w:sz="12" w:space="0"/>
              <w:bottom w:val="single" w:color="auto" w:sz="12" w:space="0"/>
            </w:tcBorders>
            <w:shd w:val="clear" w:color="auto" w:fill="D9D9D9" w:themeFill="background1" w:themeFillShade="D9"/>
          </w:tcPr>
          <w:p w:rsidRPr="00A216B7" w:rsidR="00326C80" w:rsidP="003C061B" w:rsidRDefault="00326C80" w14:paraId="17F5D8C8" w14:textId="77777777">
            <w:pPr>
              <w:spacing w:line="276" w:lineRule="auto"/>
              <w:rPr>
                <w:rFonts w:ascii="Verdana" w:hAnsi="Verdana" w:cstheme="minorHAnsi"/>
                <w:sz w:val="18"/>
                <w:szCs w:val="18"/>
              </w:rPr>
            </w:pPr>
            <w:r w:rsidRPr="00A216B7">
              <w:rPr>
                <w:rFonts w:ascii="Verdana" w:hAnsi="Verdana" w:cstheme="minorHAnsi"/>
                <w:sz w:val="18"/>
                <w:szCs w:val="18"/>
              </w:rPr>
              <w:t>2026</w:t>
            </w:r>
          </w:p>
        </w:tc>
        <w:tc>
          <w:tcPr>
            <w:tcW w:w="874" w:type="dxa"/>
            <w:tcBorders>
              <w:top w:val="single" w:color="auto" w:sz="12" w:space="0"/>
              <w:bottom w:val="single" w:color="auto" w:sz="12" w:space="0"/>
            </w:tcBorders>
            <w:shd w:val="clear" w:color="auto" w:fill="D9D9D9" w:themeFill="background1" w:themeFillShade="D9"/>
          </w:tcPr>
          <w:p w:rsidRPr="00A216B7" w:rsidR="00326C80" w:rsidP="003C061B" w:rsidRDefault="00326C80" w14:paraId="4D8A1E49" w14:textId="77777777">
            <w:pPr>
              <w:spacing w:line="276" w:lineRule="auto"/>
              <w:rPr>
                <w:rFonts w:ascii="Verdana" w:hAnsi="Verdana" w:cstheme="minorHAnsi"/>
                <w:sz w:val="18"/>
                <w:szCs w:val="18"/>
              </w:rPr>
            </w:pPr>
            <w:r w:rsidRPr="00A216B7">
              <w:rPr>
                <w:rFonts w:ascii="Verdana" w:hAnsi="Verdana" w:cstheme="minorHAnsi"/>
                <w:sz w:val="18"/>
                <w:szCs w:val="18"/>
              </w:rPr>
              <w:t>2027</w:t>
            </w:r>
          </w:p>
        </w:tc>
        <w:tc>
          <w:tcPr>
            <w:tcW w:w="874" w:type="dxa"/>
            <w:tcBorders>
              <w:top w:val="single" w:color="auto" w:sz="12" w:space="0"/>
              <w:bottom w:val="single" w:color="auto" w:sz="12" w:space="0"/>
            </w:tcBorders>
            <w:shd w:val="clear" w:color="auto" w:fill="D9D9D9" w:themeFill="background1" w:themeFillShade="D9"/>
          </w:tcPr>
          <w:p w:rsidRPr="00A216B7" w:rsidR="00326C80" w:rsidP="003C061B" w:rsidRDefault="00326C80" w14:paraId="46B8C81C" w14:textId="77777777">
            <w:pPr>
              <w:spacing w:line="276" w:lineRule="auto"/>
              <w:rPr>
                <w:rFonts w:ascii="Verdana" w:hAnsi="Verdana" w:cstheme="minorHAnsi"/>
                <w:sz w:val="18"/>
                <w:szCs w:val="18"/>
              </w:rPr>
            </w:pPr>
            <w:r w:rsidRPr="00A216B7">
              <w:rPr>
                <w:rFonts w:ascii="Verdana" w:hAnsi="Verdana" w:cstheme="minorHAnsi"/>
                <w:sz w:val="18"/>
                <w:szCs w:val="18"/>
              </w:rPr>
              <w:t>2028</w:t>
            </w:r>
          </w:p>
        </w:tc>
        <w:tc>
          <w:tcPr>
            <w:tcW w:w="874" w:type="dxa"/>
            <w:tcBorders>
              <w:top w:val="single" w:color="auto" w:sz="12" w:space="0"/>
              <w:bottom w:val="single" w:color="auto" w:sz="12" w:space="0"/>
            </w:tcBorders>
            <w:shd w:val="clear" w:color="auto" w:fill="D9D9D9" w:themeFill="background1" w:themeFillShade="D9"/>
          </w:tcPr>
          <w:p w:rsidRPr="00A216B7" w:rsidR="00326C80" w:rsidP="003C061B" w:rsidRDefault="00326C80" w14:paraId="39E1C219" w14:textId="77777777">
            <w:pPr>
              <w:spacing w:line="276" w:lineRule="auto"/>
              <w:rPr>
                <w:rFonts w:ascii="Verdana" w:hAnsi="Verdana" w:cstheme="minorHAnsi"/>
                <w:sz w:val="18"/>
                <w:szCs w:val="18"/>
              </w:rPr>
            </w:pPr>
            <w:r w:rsidRPr="00A216B7">
              <w:rPr>
                <w:rFonts w:ascii="Verdana" w:hAnsi="Verdana" w:cstheme="minorHAnsi"/>
                <w:sz w:val="18"/>
                <w:szCs w:val="18"/>
              </w:rPr>
              <w:t>2029</w:t>
            </w:r>
          </w:p>
        </w:tc>
        <w:tc>
          <w:tcPr>
            <w:tcW w:w="874" w:type="dxa"/>
            <w:tcBorders>
              <w:top w:val="single" w:color="auto" w:sz="12" w:space="0"/>
              <w:bottom w:val="single" w:color="auto" w:sz="12" w:space="0"/>
            </w:tcBorders>
            <w:shd w:val="clear" w:color="auto" w:fill="D9D9D9" w:themeFill="background1" w:themeFillShade="D9"/>
          </w:tcPr>
          <w:p w:rsidRPr="00A216B7" w:rsidR="00326C80" w:rsidP="003C061B" w:rsidRDefault="00326C80" w14:paraId="24E01073" w14:textId="77777777">
            <w:pPr>
              <w:spacing w:line="276" w:lineRule="auto"/>
              <w:rPr>
                <w:rFonts w:ascii="Verdana" w:hAnsi="Verdana" w:cstheme="minorHAnsi"/>
                <w:sz w:val="18"/>
                <w:szCs w:val="18"/>
              </w:rPr>
            </w:pPr>
            <w:r w:rsidRPr="00A216B7">
              <w:rPr>
                <w:rFonts w:ascii="Verdana" w:hAnsi="Verdana" w:cstheme="minorHAnsi"/>
                <w:sz w:val="18"/>
                <w:szCs w:val="18"/>
              </w:rPr>
              <w:t>2030</w:t>
            </w:r>
          </w:p>
        </w:tc>
        <w:tc>
          <w:tcPr>
            <w:tcW w:w="760" w:type="dxa"/>
            <w:tcBorders>
              <w:top w:val="single" w:color="auto" w:sz="12" w:space="0"/>
              <w:bottom w:val="single" w:color="auto" w:sz="12" w:space="0"/>
            </w:tcBorders>
            <w:shd w:val="clear" w:color="auto" w:fill="D9D9D9" w:themeFill="background1" w:themeFillShade="D9"/>
          </w:tcPr>
          <w:p w:rsidRPr="00A216B7" w:rsidR="00326C80" w:rsidP="003C061B" w:rsidRDefault="00326C80" w14:paraId="42E3DDAD" w14:textId="77777777">
            <w:pPr>
              <w:spacing w:line="276" w:lineRule="auto"/>
              <w:rPr>
                <w:rFonts w:ascii="Verdana" w:hAnsi="Verdana" w:cstheme="minorHAnsi"/>
                <w:sz w:val="18"/>
                <w:szCs w:val="18"/>
              </w:rPr>
            </w:pPr>
            <w:r w:rsidRPr="00A216B7">
              <w:rPr>
                <w:rFonts w:ascii="Verdana" w:hAnsi="Verdana" w:cstheme="minorHAnsi"/>
                <w:sz w:val="18"/>
                <w:szCs w:val="18"/>
              </w:rPr>
              <w:t>Struc.</w:t>
            </w:r>
          </w:p>
        </w:tc>
      </w:tr>
      <w:tr w:rsidRPr="00A216B7" w:rsidR="00326C80" w:rsidTr="00F213CC" w14:paraId="68890925" w14:textId="77777777">
        <w:tc>
          <w:tcPr>
            <w:tcW w:w="2395" w:type="dxa"/>
            <w:tcBorders>
              <w:top w:val="single" w:color="auto" w:sz="12" w:space="0"/>
              <w:right w:val="single" w:color="auto" w:sz="12" w:space="0"/>
            </w:tcBorders>
          </w:tcPr>
          <w:p w:rsidRPr="00A216B7" w:rsidR="00326C80" w:rsidP="003C061B" w:rsidRDefault="00326C80" w14:paraId="5903A384" w14:textId="64880220">
            <w:pPr>
              <w:spacing w:line="276" w:lineRule="auto"/>
              <w:rPr>
                <w:rFonts w:ascii="Verdana" w:hAnsi="Verdana" w:cstheme="minorHAnsi"/>
                <w:sz w:val="18"/>
                <w:szCs w:val="18"/>
              </w:rPr>
            </w:pPr>
            <w:r w:rsidRPr="00A216B7">
              <w:rPr>
                <w:rFonts w:ascii="Verdana" w:hAnsi="Verdana" w:cstheme="minorHAnsi"/>
                <w:sz w:val="18"/>
                <w:szCs w:val="18"/>
              </w:rPr>
              <w:t>Actieagenda</w:t>
            </w:r>
          </w:p>
        </w:tc>
        <w:tc>
          <w:tcPr>
            <w:tcW w:w="682" w:type="dxa"/>
            <w:tcBorders>
              <w:top w:val="single" w:color="auto" w:sz="12" w:space="0"/>
              <w:left w:val="single" w:color="auto" w:sz="12" w:space="0"/>
            </w:tcBorders>
          </w:tcPr>
          <w:p w:rsidRPr="00A216B7" w:rsidR="00326C80" w:rsidP="003C061B" w:rsidRDefault="00326C80" w14:paraId="7BA4F231" w14:textId="77777777">
            <w:pPr>
              <w:spacing w:line="276" w:lineRule="auto"/>
              <w:jc w:val="right"/>
              <w:rPr>
                <w:rFonts w:ascii="Verdana" w:hAnsi="Verdana" w:cstheme="minorHAnsi"/>
                <w:sz w:val="18"/>
                <w:szCs w:val="18"/>
              </w:rPr>
            </w:pPr>
            <w:r w:rsidRPr="00A216B7">
              <w:rPr>
                <w:rFonts w:ascii="Verdana" w:hAnsi="Verdana" w:cstheme="minorHAnsi"/>
                <w:sz w:val="18"/>
                <w:szCs w:val="18"/>
              </w:rPr>
              <w:t>5,0</w:t>
            </w:r>
          </w:p>
        </w:tc>
        <w:tc>
          <w:tcPr>
            <w:tcW w:w="874" w:type="dxa"/>
            <w:tcBorders>
              <w:top w:val="single" w:color="auto" w:sz="12" w:space="0"/>
            </w:tcBorders>
          </w:tcPr>
          <w:p w:rsidRPr="00A216B7" w:rsidR="00326C80" w:rsidP="003C061B" w:rsidRDefault="00326C80" w14:paraId="01EC2995" w14:textId="77777777">
            <w:pPr>
              <w:spacing w:line="276" w:lineRule="auto"/>
              <w:jc w:val="right"/>
              <w:rPr>
                <w:rFonts w:ascii="Verdana" w:hAnsi="Verdana" w:cstheme="minorHAnsi"/>
                <w:sz w:val="18"/>
                <w:szCs w:val="18"/>
              </w:rPr>
            </w:pPr>
            <w:r w:rsidRPr="00A216B7">
              <w:rPr>
                <w:rFonts w:ascii="Verdana" w:hAnsi="Verdana" w:cstheme="minorHAnsi"/>
                <w:sz w:val="18"/>
                <w:szCs w:val="18"/>
              </w:rPr>
              <w:t>10,6</w:t>
            </w:r>
          </w:p>
        </w:tc>
        <w:tc>
          <w:tcPr>
            <w:tcW w:w="874" w:type="dxa"/>
            <w:tcBorders>
              <w:top w:val="single" w:color="auto" w:sz="12" w:space="0"/>
            </w:tcBorders>
          </w:tcPr>
          <w:p w:rsidRPr="00A216B7" w:rsidR="00326C80" w:rsidP="003C061B" w:rsidRDefault="00326C80" w14:paraId="5C03DC45" w14:textId="77777777">
            <w:pPr>
              <w:spacing w:line="276" w:lineRule="auto"/>
              <w:jc w:val="right"/>
              <w:rPr>
                <w:rFonts w:ascii="Verdana" w:hAnsi="Verdana" w:cstheme="minorHAnsi"/>
                <w:sz w:val="18"/>
                <w:szCs w:val="18"/>
              </w:rPr>
            </w:pPr>
            <w:r w:rsidRPr="00A216B7">
              <w:rPr>
                <w:rFonts w:ascii="Verdana" w:hAnsi="Verdana" w:cstheme="minorHAnsi"/>
                <w:sz w:val="18"/>
                <w:szCs w:val="18"/>
              </w:rPr>
              <w:t>11,9</w:t>
            </w:r>
          </w:p>
        </w:tc>
        <w:tc>
          <w:tcPr>
            <w:tcW w:w="874" w:type="dxa"/>
            <w:tcBorders>
              <w:top w:val="single" w:color="auto" w:sz="12" w:space="0"/>
            </w:tcBorders>
          </w:tcPr>
          <w:p w:rsidRPr="00A216B7" w:rsidR="00326C80" w:rsidP="003C061B" w:rsidRDefault="00326C80" w14:paraId="1B26242E" w14:textId="77777777">
            <w:pPr>
              <w:spacing w:line="276" w:lineRule="auto"/>
              <w:jc w:val="right"/>
              <w:rPr>
                <w:rFonts w:ascii="Verdana" w:hAnsi="Verdana" w:cstheme="minorHAnsi"/>
                <w:sz w:val="18"/>
                <w:szCs w:val="18"/>
              </w:rPr>
            </w:pPr>
            <w:r w:rsidRPr="00A216B7">
              <w:rPr>
                <w:rFonts w:ascii="Verdana" w:hAnsi="Verdana" w:cstheme="minorHAnsi"/>
                <w:sz w:val="18"/>
                <w:szCs w:val="18"/>
              </w:rPr>
              <w:t>11,7</w:t>
            </w:r>
          </w:p>
        </w:tc>
        <w:tc>
          <w:tcPr>
            <w:tcW w:w="874" w:type="dxa"/>
            <w:tcBorders>
              <w:top w:val="single" w:color="auto" w:sz="12" w:space="0"/>
            </w:tcBorders>
          </w:tcPr>
          <w:p w:rsidRPr="00A216B7" w:rsidR="00326C80" w:rsidP="003C061B" w:rsidRDefault="00326C80" w14:paraId="2146AC6A" w14:textId="77777777">
            <w:pPr>
              <w:spacing w:line="276" w:lineRule="auto"/>
              <w:jc w:val="right"/>
              <w:rPr>
                <w:rFonts w:ascii="Verdana" w:hAnsi="Verdana" w:cstheme="minorHAnsi"/>
                <w:sz w:val="18"/>
                <w:szCs w:val="18"/>
              </w:rPr>
            </w:pPr>
            <w:r w:rsidRPr="00A216B7">
              <w:rPr>
                <w:rFonts w:ascii="Verdana" w:hAnsi="Verdana" w:cstheme="minorHAnsi"/>
                <w:sz w:val="18"/>
                <w:szCs w:val="18"/>
              </w:rPr>
              <w:t>9,2</w:t>
            </w:r>
          </w:p>
        </w:tc>
        <w:tc>
          <w:tcPr>
            <w:tcW w:w="874" w:type="dxa"/>
            <w:tcBorders>
              <w:top w:val="single" w:color="auto" w:sz="12" w:space="0"/>
            </w:tcBorders>
          </w:tcPr>
          <w:p w:rsidRPr="00A216B7" w:rsidR="00326C80" w:rsidP="003C061B" w:rsidRDefault="00326C80" w14:paraId="2F511EB9" w14:textId="77777777">
            <w:pPr>
              <w:spacing w:line="276" w:lineRule="auto"/>
              <w:jc w:val="right"/>
              <w:rPr>
                <w:rFonts w:ascii="Verdana" w:hAnsi="Verdana" w:cstheme="minorHAnsi"/>
                <w:sz w:val="18"/>
                <w:szCs w:val="18"/>
              </w:rPr>
            </w:pPr>
          </w:p>
        </w:tc>
        <w:tc>
          <w:tcPr>
            <w:tcW w:w="760" w:type="dxa"/>
            <w:tcBorders>
              <w:top w:val="single" w:color="auto" w:sz="12" w:space="0"/>
            </w:tcBorders>
          </w:tcPr>
          <w:p w:rsidRPr="00A216B7" w:rsidR="00326C80" w:rsidP="003C061B" w:rsidRDefault="00326C80" w14:paraId="56146C3B" w14:textId="77777777">
            <w:pPr>
              <w:spacing w:line="276" w:lineRule="auto"/>
              <w:jc w:val="right"/>
              <w:rPr>
                <w:rFonts w:ascii="Verdana" w:hAnsi="Verdana" w:cstheme="minorHAnsi"/>
                <w:sz w:val="18"/>
                <w:szCs w:val="18"/>
              </w:rPr>
            </w:pPr>
            <w:r w:rsidRPr="00A216B7">
              <w:rPr>
                <w:rFonts w:ascii="Verdana" w:hAnsi="Verdana" w:cstheme="minorHAnsi"/>
                <w:sz w:val="18"/>
                <w:szCs w:val="18"/>
              </w:rPr>
              <w:t>0</w:t>
            </w:r>
          </w:p>
        </w:tc>
      </w:tr>
      <w:tr w:rsidRPr="00A216B7" w:rsidR="00326C80" w:rsidTr="00F213CC" w14:paraId="58D7A0DD" w14:textId="77777777">
        <w:tc>
          <w:tcPr>
            <w:tcW w:w="2395" w:type="dxa"/>
            <w:tcBorders>
              <w:right w:val="single" w:color="auto" w:sz="12" w:space="0"/>
            </w:tcBorders>
          </w:tcPr>
          <w:p w:rsidRPr="00A216B7" w:rsidR="00326C80" w:rsidP="003C061B" w:rsidRDefault="00326C80" w14:paraId="6C30B7FD" w14:textId="77777777">
            <w:pPr>
              <w:spacing w:line="276" w:lineRule="auto"/>
              <w:rPr>
                <w:rFonts w:ascii="Verdana" w:hAnsi="Verdana" w:cstheme="minorHAnsi"/>
                <w:sz w:val="18"/>
                <w:szCs w:val="18"/>
              </w:rPr>
            </w:pPr>
            <w:r w:rsidRPr="00A216B7">
              <w:rPr>
                <w:rFonts w:ascii="Verdana" w:hAnsi="Verdana" w:cstheme="minorHAnsi"/>
                <w:sz w:val="18"/>
                <w:szCs w:val="18"/>
              </w:rPr>
              <w:t>Startbanen (2.2)</w:t>
            </w:r>
          </w:p>
        </w:tc>
        <w:tc>
          <w:tcPr>
            <w:tcW w:w="682" w:type="dxa"/>
            <w:tcBorders>
              <w:left w:val="single" w:color="auto" w:sz="12" w:space="0"/>
            </w:tcBorders>
          </w:tcPr>
          <w:p w:rsidRPr="00A216B7" w:rsidR="00326C80" w:rsidP="003C061B" w:rsidRDefault="00326C80" w14:paraId="240F662A" w14:textId="77777777">
            <w:pPr>
              <w:spacing w:line="276" w:lineRule="auto"/>
              <w:jc w:val="right"/>
              <w:rPr>
                <w:rFonts w:ascii="Verdana" w:hAnsi="Verdana" w:cstheme="minorHAnsi"/>
                <w:sz w:val="18"/>
                <w:szCs w:val="18"/>
              </w:rPr>
            </w:pPr>
          </w:p>
        </w:tc>
        <w:tc>
          <w:tcPr>
            <w:tcW w:w="874" w:type="dxa"/>
          </w:tcPr>
          <w:p w:rsidRPr="00A216B7" w:rsidR="00326C80" w:rsidP="003C061B" w:rsidRDefault="00326C80" w14:paraId="7DCF1978" w14:textId="77777777">
            <w:pPr>
              <w:spacing w:line="276" w:lineRule="auto"/>
              <w:jc w:val="right"/>
              <w:rPr>
                <w:rFonts w:ascii="Verdana" w:hAnsi="Verdana" w:cstheme="minorHAnsi"/>
                <w:sz w:val="18"/>
                <w:szCs w:val="18"/>
              </w:rPr>
            </w:pPr>
            <w:r w:rsidRPr="00A216B7">
              <w:rPr>
                <w:rFonts w:ascii="Verdana" w:hAnsi="Verdana" w:cstheme="minorHAnsi"/>
                <w:sz w:val="18"/>
                <w:szCs w:val="18"/>
              </w:rPr>
              <w:t>1,3</w:t>
            </w:r>
          </w:p>
        </w:tc>
        <w:tc>
          <w:tcPr>
            <w:tcW w:w="874" w:type="dxa"/>
          </w:tcPr>
          <w:p w:rsidRPr="00A216B7" w:rsidR="00326C80" w:rsidP="003C061B" w:rsidRDefault="00326C80" w14:paraId="0D1103FD" w14:textId="77777777">
            <w:pPr>
              <w:spacing w:line="276" w:lineRule="auto"/>
              <w:jc w:val="right"/>
              <w:rPr>
                <w:rFonts w:ascii="Verdana" w:hAnsi="Verdana" w:cstheme="minorHAnsi"/>
                <w:sz w:val="18"/>
                <w:szCs w:val="18"/>
              </w:rPr>
            </w:pPr>
          </w:p>
        </w:tc>
        <w:tc>
          <w:tcPr>
            <w:tcW w:w="874" w:type="dxa"/>
          </w:tcPr>
          <w:p w:rsidRPr="00A216B7" w:rsidR="00326C80" w:rsidP="003C061B" w:rsidRDefault="00326C80" w14:paraId="60D2A9E5" w14:textId="77777777">
            <w:pPr>
              <w:spacing w:line="276" w:lineRule="auto"/>
              <w:jc w:val="right"/>
              <w:rPr>
                <w:rFonts w:ascii="Verdana" w:hAnsi="Verdana" w:cstheme="minorHAnsi"/>
                <w:sz w:val="18"/>
                <w:szCs w:val="18"/>
              </w:rPr>
            </w:pPr>
          </w:p>
        </w:tc>
        <w:tc>
          <w:tcPr>
            <w:tcW w:w="874" w:type="dxa"/>
          </w:tcPr>
          <w:p w:rsidRPr="00A216B7" w:rsidR="00326C80" w:rsidP="003C061B" w:rsidRDefault="00326C80" w14:paraId="0CCC9DBF" w14:textId="77777777">
            <w:pPr>
              <w:spacing w:line="276" w:lineRule="auto"/>
              <w:jc w:val="right"/>
              <w:rPr>
                <w:rFonts w:ascii="Verdana" w:hAnsi="Verdana" w:cstheme="minorHAnsi"/>
                <w:sz w:val="18"/>
                <w:szCs w:val="18"/>
              </w:rPr>
            </w:pPr>
          </w:p>
        </w:tc>
        <w:tc>
          <w:tcPr>
            <w:tcW w:w="874" w:type="dxa"/>
          </w:tcPr>
          <w:p w:rsidRPr="00A216B7" w:rsidR="00326C80" w:rsidP="003C061B" w:rsidRDefault="00326C80" w14:paraId="20CC5CEA" w14:textId="77777777">
            <w:pPr>
              <w:spacing w:line="276" w:lineRule="auto"/>
              <w:jc w:val="right"/>
              <w:rPr>
                <w:rFonts w:ascii="Verdana" w:hAnsi="Verdana" w:cstheme="minorHAnsi"/>
                <w:sz w:val="18"/>
                <w:szCs w:val="18"/>
              </w:rPr>
            </w:pPr>
          </w:p>
        </w:tc>
        <w:tc>
          <w:tcPr>
            <w:tcW w:w="760" w:type="dxa"/>
          </w:tcPr>
          <w:p w:rsidRPr="00A216B7" w:rsidR="00326C80" w:rsidP="003C061B" w:rsidRDefault="00326C80" w14:paraId="5B153D25" w14:textId="77777777">
            <w:pPr>
              <w:spacing w:line="276" w:lineRule="auto"/>
              <w:jc w:val="right"/>
              <w:rPr>
                <w:rFonts w:ascii="Verdana" w:hAnsi="Verdana" w:cstheme="minorHAnsi"/>
                <w:sz w:val="18"/>
                <w:szCs w:val="18"/>
              </w:rPr>
            </w:pPr>
            <w:r w:rsidRPr="00A216B7">
              <w:rPr>
                <w:rFonts w:ascii="Verdana" w:hAnsi="Verdana" w:cstheme="minorHAnsi"/>
                <w:sz w:val="18"/>
                <w:szCs w:val="18"/>
              </w:rPr>
              <w:t>0</w:t>
            </w:r>
          </w:p>
        </w:tc>
      </w:tr>
      <w:tr w:rsidRPr="00A216B7" w:rsidR="00326C80" w:rsidTr="00F213CC" w14:paraId="2A784424" w14:textId="77777777">
        <w:tc>
          <w:tcPr>
            <w:tcW w:w="2395" w:type="dxa"/>
            <w:tcBorders>
              <w:right w:val="single" w:color="auto" w:sz="12" w:space="0"/>
            </w:tcBorders>
          </w:tcPr>
          <w:p w:rsidRPr="00A216B7" w:rsidR="00326C80" w:rsidP="003C061B" w:rsidRDefault="00326C80" w14:paraId="634311C1" w14:textId="77777777">
            <w:pPr>
              <w:spacing w:line="276" w:lineRule="auto"/>
              <w:rPr>
                <w:rFonts w:ascii="Verdana" w:hAnsi="Verdana" w:cstheme="minorHAnsi"/>
                <w:sz w:val="18"/>
                <w:szCs w:val="18"/>
              </w:rPr>
            </w:pPr>
            <w:r w:rsidRPr="00A216B7">
              <w:rPr>
                <w:rFonts w:ascii="Verdana" w:hAnsi="Verdana" w:cstheme="minorHAnsi"/>
                <w:sz w:val="18"/>
                <w:szCs w:val="18"/>
              </w:rPr>
              <w:t>Taaleis (2.4)*</w:t>
            </w:r>
          </w:p>
        </w:tc>
        <w:tc>
          <w:tcPr>
            <w:tcW w:w="682" w:type="dxa"/>
            <w:tcBorders>
              <w:left w:val="single" w:color="auto" w:sz="12" w:space="0"/>
            </w:tcBorders>
          </w:tcPr>
          <w:p w:rsidRPr="00A216B7" w:rsidR="00326C80" w:rsidP="003C061B" w:rsidRDefault="00326C80" w14:paraId="1F0D004B" w14:textId="77777777">
            <w:pPr>
              <w:spacing w:line="276" w:lineRule="auto"/>
              <w:jc w:val="right"/>
              <w:rPr>
                <w:rFonts w:ascii="Verdana" w:hAnsi="Verdana" w:cstheme="minorHAnsi"/>
                <w:sz w:val="18"/>
                <w:szCs w:val="18"/>
              </w:rPr>
            </w:pPr>
            <w:r w:rsidRPr="00A216B7">
              <w:rPr>
                <w:rFonts w:ascii="Verdana" w:hAnsi="Verdana" w:cstheme="minorHAnsi"/>
                <w:sz w:val="18"/>
                <w:szCs w:val="18"/>
              </w:rPr>
              <w:t>0</w:t>
            </w:r>
          </w:p>
        </w:tc>
        <w:tc>
          <w:tcPr>
            <w:tcW w:w="874" w:type="dxa"/>
          </w:tcPr>
          <w:p w:rsidRPr="00A216B7" w:rsidR="00326C80" w:rsidP="003C061B" w:rsidRDefault="00326C80" w14:paraId="50D0F54B" w14:textId="77777777">
            <w:pPr>
              <w:spacing w:line="276" w:lineRule="auto"/>
              <w:jc w:val="right"/>
              <w:rPr>
                <w:rFonts w:ascii="Verdana" w:hAnsi="Verdana" w:cstheme="minorHAnsi"/>
                <w:sz w:val="18"/>
                <w:szCs w:val="18"/>
              </w:rPr>
            </w:pPr>
            <w:r w:rsidRPr="00A216B7">
              <w:rPr>
                <w:rFonts w:ascii="Verdana" w:hAnsi="Verdana" w:cstheme="minorHAnsi"/>
                <w:sz w:val="18"/>
                <w:szCs w:val="18"/>
              </w:rPr>
              <w:t>0</w:t>
            </w:r>
          </w:p>
        </w:tc>
        <w:tc>
          <w:tcPr>
            <w:tcW w:w="874" w:type="dxa"/>
          </w:tcPr>
          <w:p w:rsidRPr="00A216B7" w:rsidR="00326C80" w:rsidP="003C061B" w:rsidRDefault="00326C80" w14:paraId="7B5F12FD" w14:textId="77777777">
            <w:pPr>
              <w:spacing w:line="276" w:lineRule="auto"/>
              <w:jc w:val="right"/>
              <w:rPr>
                <w:rFonts w:ascii="Verdana" w:hAnsi="Verdana" w:cstheme="minorHAnsi"/>
                <w:sz w:val="18"/>
                <w:szCs w:val="18"/>
              </w:rPr>
            </w:pPr>
            <w:r w:rsidRPr="00A216B7">
              <w:rPr>
                <w:rFonts w:ascii="Verdana" w:hAnsi="Verdana" w:cstheme="minorHAnsi"/>
                <w:sz w:val="18"/>
                <w:szCs w:val="18"/>
              </w:rPr>
              <w:t>3,7</w:t>
            </w:r>
          </w:p>
        </w:tc>
        <w:tc>
          <w:tcPr>
            <w:tcW w:w="874" w:type="dxa"/>
          </w:tcPr>
          <w:p w:rsidRPr="00A216B7" w:rsidR="00326C80" w:rsidP="003C061B" w:rsidRDefault="00326C80" w14:paraId="09685E76" w14:textId="77777777">
            <w:pPr>
              <w:spacing w:line="276" w:lineRule="auto"/>
              <w:jc w:val="right"/>
              <w:rPr>
                <w:rFonts w:ascii="Verdana" w:hAnsi="Verdana" w:cstheme="minorHAnsi"/>
                <w:sz w:val="18"/>
                <w:szCs w:val="18"/>
              </w:rPr>
            </w:pPr>
            <w:r w:rsidRPr="00A216B7">
              <w:rPr>
                <w:rFonts w:ascii="Verdana" w:hAnsi="Verdana" w:cstheme="minorHAnsi"/>
                <w:sz w:val="18"/>
                <w:szCs w:val="18"/>
              </w:rPr>
              <w:t>10,6</w:t>
            </w:r>
          </w:p>
        </w:tc>
        <w:tc>
          <w:tcPr>
            <w:tcW w:w="874" w:type="dxa"/>
          </w:tcPr>
          <w:p w:rsidRPr="00A216B7" w:rsidR="00326C80" w:rsidP="003C061B" w:rsidRDefault="00326C80" w14:paraId="03FC93BC" w14:textId="77777777">
            <w:pPr>
              <w:spacing w:line="276" w:lineRule="auto"/>
              <w:jc w:val="right"/>
              <w:rPr>
                <w:rFonts w:ascii="Verdana" w:hAnsi="Verdana" w:cstheme="minorHAnsi"/>
                <w:sz w:val="18"/>
                <w:szCs w:val="18"/>
              </w:rPr>
            </w:pPr>
            <w:r w:rsidRPr="00A216B7">
              <w:rPr>
                <w:rFonts w:ascii="Verdana" w:hAnsi="Verdana" w:cstheme="minorHAnsi"/>
                <w:sz w:val="18"/>
                <w:szCs w:val="18"/>
              </w:rPr>
              <w:t>17,4</w:t>
            </w:r>
          </w:p>
        </w:tc>
        <w:tc>
          <w:tcPr>
            <w:tcW w:w="874" w:type="dxa"/>
          </w:tcPr>
          <w:p w:rsidRPr="00A216B7" w:rsidR="00326C80" w:rsidP="003C061B" w:rsidRDefault="00326C80" w14:paraId="0BBC55FD" w14:textId="77777777">
            <w:pPr>
              <w:spacing w:line="276" w:lineRule="auto"/>
              <w:jc w:val="right"/>
              <w:rPr>
                <w:rFonts w:ascii="Verdana" w:hAnsi="Verdana" w:cstheme="minorHAnsi"/>
                <w:sz w:val="18"/>
                <w:szCs w:val="18"/>
              </w:rPr>
            </w:pPr>
            <w:r w:rsidRPr="00A216B7">
              <w:rPr>
                <w:rFonts w:ascii="Verdana" w:hAnsi="Verdana" w:cstheme="minorHAnsi"/>
                <w:sz w:val="18"/>
                <w:szCs w:val="18"/>
              </w:rPr>
              <w:t>22</w:t>
            </w:r>
          </w:p>
        </w:tc>
        <w:tc>
          <w:tcPr>
            <w:tcW w:w="760" w:type="dxa"/>
          </w:tcPr>
          <w:p w:rsidRPr="00A216B7" w:rsidR="00326C80" w:rsidP="003C061B" w:rsidRDefault="00326C80" w14:paraId="533B7159" w14:textId="77777777">
            <w:pPr>
              <w:spacing w:line="276" w:lineRule="auto"/>
              <w:jc w:val="right"/>
              <w:rPr>
                <w:rFonts w:ascii="Verdana" w:hAnsi="Verdana" w:cstheme="minorHAnsi"/>
                <w:sz w:val="18"/>
                <w:szCs w:val="18"/>
              </w:rPr>
            </w:pPr>
            <w:r w:rsidRPr="00A216B7">
              <w:rPr>
                <w:rFonts w:ascii="Verdana" w:hAnsi="Verdana" w:cstheme="minorHAnsi"/>
                <w:sz w:val="18"/>
                <w:szCs w:val="18"/>
              </w:rPr>
              <w:t>17,4</w:t>
            </w:r>
          </w:p>
        </w:tc>
      </w:tr>
      <w:tr w:rsidRPr="00A216B7" w:rsidR="00326C80" w:rsidTr="00F213CC" w14:paraId="1D5E8210" w14:textId="77777777">
        <w:tc>
          <w:tcPr>
            <w:tcW w:w="2395" w:type="dxa"/>
            <w:tcBorders>
              <w:bottom w:val="single" w:color="auto" w:sz="12" w:space="0"/>
              <w:right w:val="single" w:color="auto" w:sz="12" w:space="0"/>
            </w:tcBorders>
          </w:tcPr>
          <w:p w:rsidRPr="00A216B7" w:rsidR="00326C80" w:rsidP="003C061B" w:rsidRDefault="00326C80" w14:paraId="62DAE6A1" w14:textId="77777777">
            <w:pPr>
              <w:spacing w:line="276" w:lineRule="auto"/>
              <w:rPr>
                <w:rFonts w:ascii="Verdana" w:hAnsi="Verdana" w:cstheme="minorHAnsi"/>
                <w:sz w:val="18"/>
                <w:szCs w:val="18"/>
              </w:rPr>
            </w:pPr>
            <w:r w:rsidRPr="00A216B7">
              <w:rPr>
                <w:rFonts w:ascii="Verdana" w:hAnsi="Verdana" w:cstheme="minorHAnsi"/>
                <w:sz w:val="18"/>
                <w:szCs w:val="18"/>
              </w:rPr>
              <w:t>Totaal</w:t>
            </w:r>
          </w:p>
        </w:tc>
        <w:tc>
          <w:tcPr>
            <w:tcW w:w="682" w:type="dxa"/>
            <w:tcBorders>
              <w:left w:val="single" w:color="auto" w:sz="12" w:space="0"/>
              <w:bottom w:val="single" w:color="auto" w:sz="12" w:space="0"/>
            </w:tcBorders>
          </w:tcPr>
          <w:p w:rsidRPr="00A216B7" w:rsidR="00326C80" w:rsidP="003C061B" w:rsidRDefault="00326C80" w14:paraId="02CE8842" w14:textId="77777777">
            <w:pPr>
              <w:spacing w:line="276" w:lineRule="auto"/>
              <w:jc w:val="right"/>
              <w:rPr>
                <w:rFonts w:ascii="Verdana" w:hAnsi="Verdana" w:cstheme="minorHAnsi"/>
                <w:sz w:val="18"/>
                <w:szCs w:val="18"/>
              </w:rPr>
            </w:pPr>
            <w:r w:rsidRPr="00A216B7">
              <w:rPr>
                <w:rFonts w:ascii="Verdana" w:hAnsi="Verdana" w:cstheme="minorHAnsi"/>
                <w:sz w:val="18"/>
                <w:szCs w:val="18"/>
              </w:rPr>
              <w:t>5</w:t>
            </w:r>
          </w:p>
        </w:tc>
        <w:tc>
          <w:tcPr>
            <w:tcW w:w="874" w:type="dxa"/>
            <w:tcBorders>
              <w:bottom w:val="single" w:color="auto" w:sz="12" w:space="0"/>
            </w:tcBorders>
          </w:tcPr>
          <w:p w:rsidRPr="00A216B7" w:rsidR="00326C80" w:rsidP="003C061B" w:rsidRDefault="00326C80" w14:paraId="484DF051" w14:textId="77777777">
            <w:pPr>
              <w:spacing w:line="276" w:lineRule="auto"/>
              <w:jc w:val="right"/>
              <w:rPr>
                <w:rFonts w:ascii="Verdana" w:hAnsi="Verdana" w:cstheme="minorHAnsi"/>
                <w:sz w:val="18"/>
                <w:szCs w:val="18"/>
              </w:rPr>
            </w:pPr>
            <w:r w:rsidRPr="00A216B7">
              <w:rPr>
                <w:rFonts w:ascii="Verdana" w:hAnsi="Verdana" w:cstheme="minorHAnsi"/>
                <w:sz w:val="18"/>
                <w:szCs w:val="18"/>
              </w:rPr>
              <w:t>11,6</w:t>
            </w:r>
          </w:p>
        </w:tc>
        <w:tc>
          <w:tcPr>
            <w:tcW w:w="874" w:type="dxa"/>
            <w:tcBorders>
              <w:bottom w:val="single" w:color="auto" w:sz="12" w:space="0"/>
            </w:tcBorders>
          </w:tcPr>
          <w:p w:rsidRPr="00A216B7" w:rsidR="00326C80" w:rsidP="003C061B" w:rsidRDefault="00326C80" w14:paraId="710930F0" w14:textId="77777777">
            <w:pPr>
              <w:spacing w:line="276" w:lineRule="auto"/>
              <w:jc w:val="right"/>
              <w:rPr>
                <w:rFonts w:ascii="Verdana" w:hAnsi="Verdana" w:cstheme="minorHAnsi"/>
                <w:sz w:val="18"/>
                <w:szCs w:val="18"/>
              </w:rPr>
            </w:pPr>
            <w:r w:rsidRPr="00A216B7">
              <w:rPr>
                <w:rFonts w:ascii="Verdana" w:hAnsi="Verdana" w:cstheme="minorHAnsi"/>
                <w:sz w:val="18"/>
                <w:szCs w:val="18"/>
              </w:rPr>
              <w:t>15,6</w:t>
            </w:r>
          </w:p>
        </w:tc>
        <w:tc>
          <w:tcPr>
            <w:tcW w:w="874" w:type="dxa"/>
            <w:tcBorders>
              <w:bottom w:val="single" w:color="auto" w:sz="12" w:space="0"/>
            </w:tcBorders>
          </w:tcPr>
          <w:p w:rsidRPr="00A216B7" w:rsidR="00326C80" w:rsidP="003C061B" w:rsidRDefault="00326C80" w14:paraId="08A74C0B" w14:textId="77777777">
            <w:pPr>
              <w:spacing w:line="276" w:lineRule="auto"/>
              <w:jc w:val="right"/>
              <w:rPr>
                <w:rFonts w:ascii="Verdana" w:hAnsi="Verdana" w:cstheme="minorHAnsi"/>
                <w:sz w:val="18"/>
                <w:szCs w:val="18"/>
              </w:rPr>
            </w:pPr>
            <w:r w:rsidRPr="00A216B7">
              <w:rPr>
                <w:rFonts w:ascii="Verdana" w:hAnsi="Verdana" w:cstheme="minorHAnsi"/>
                <w:sz w:val="18"/>
                <w:szCs w:val="18"/>
              </w:rPr>
              <w:t>22,3</w:t>
            </w:r>
          </w:p>
        </w:tc>
        <w:tc>
          <w:tcPr>
            <w:tcW w:w="874" w:type="dxa"/>
            <w:tcBorders>
              <w:bottom w:val="single" w:color="auto" w:sz="12" w:space="0"/>
            </w:tcBorders>
          </w:tcPr>
          <w:p w:rsidRPr="00A216B7" w:rsidR="00326C80" w:rsidP="003C061B" w:rsidRDefault="00326C80" w14:paraId="151D085B" w14:textId="77777777">
            <w:pPr>
              <w:spacing w:line="276" w:lineRule="auto"/>
              <w:jc w:val="right"/>
              <w:rPr>
                <w:rFonts w:ascii="Verdana" w:hAnsi="Verdana" w:cstheme="minorHAnsi"/>
                <w:sz w:val="18"/>
                <w:szCs w:val="18"/>
              </w:rPr>
            </w:pPr>
            <w:r w:rsidRPr="00A216B7">
              <w:rPr>
                <w:rFonts w:ascii="Verdana" w:hAnsi="Verdana" w:cstheme="minorHAnsi"/>
                <w:sz w:val="18"/>
                <w:szCs w:val="18"/>
              </w:rPr>
              <w:t>26,6</w:t>
            </w:r>
          </w:p>
        </w:tc>
        <w:tc>
          <w:tcPr>
            <w:tcW w:w="874" w:type="dxa"/>
            <w:tcBorders>
              <w:bottom w:val="single" w:color="auto" w:sz="12" w:space="0"/>
            </w:tcBorders>
          </w:tcPr>
          <w:p w:rsidRPr="00A216B7" w:rsidR="00326C80" w:rsidP="003C061B" w:rsidRDefault="00326C80" w14:paraId="15D6540B" w14:textId="77777777">
            <w:pPr>
              <w:spacing w:line="276" w:lineRule="auto"/>
              <w:jc w:val="right"/>
              <w:rPr>
                <w:rFonts w:ascii="Verdana" w:hAnsi="Verdana" w:cstheme="minorHAnsi"/>
                <w:sz w:val="18"/>
                <w:szCs w:val="18"/>
              </w:rPr>
            </w:pPr>
            <w:r w:rsidRPr="00A216B7">
              <w:rPr>
                <w:rFonts w:ascii="Verdana" w:hAnsi="Verdana" w:cstheme="minorHAnsi"/>
                <w:sz w:val="18"/>
                <w:szCs w:val="18"/>
              </w:rPr>
              <w:t>22</w:t>
            </w:r>
          </w:p>
        </w:tc>
        <w:tc>
          <w:tcPr>
            <w:tcW w:w="760" w:type="dxa"/>
            <w:tcBorders>
              <w:bottom w:val="single" w:color="auto" w:sz="12" w:space="0"/>
            </w:tcBorders>
          </w:tcPr>
          <w:p w:rsidRPr="00A216B7" w:rsidR="00326C80" w:rsidP="003C061B" w:rsidRDefault="00326C80" w14:paraId="5A62DA53" w14:textId="77777777">
            <w:pPr>
              <w:spacing w:line="276" w:lineRule="auto"/>
              <w:jc w:val="right"/>
              <w:rPr>
                <w:rFonts w:ascii="Verdana" w:hAnsi="Verdana" w:cstheme="minorHAnsi"/>
                <w:sz w:val="18"/>
                <w:szCs w:val="18"/>
              </w:rPr>
            </w:pPr>
            <w:r w:rsidRPr="00A216B7">
              <w:rPr>
                <w:rFonts w:ascii="Verdana" w:hAnsi="Verdana" w:cstheme="minorHAnsi"/>
                <w:sz w:val="18"/>
                <w:szCs w:val="18"/>
              </w:rPr>
              <w:t>17,4</w:t>
            </w:r>
          </w:p>
        </w:tc>
      </w:tr>
    </w:tbl>
    <w:p w:rsidRPr="00A216B7" w:rsidR="00326C80" w:rsidP="003C061B" w:rsidRDefault="00326C80" w14:paraId="4DB06678" w14:textId="1CD1C375">
      <w:pPr>
        <w:spacing w:after="0" w:line="276" w:lineRule="auto"/>
        <w:rPr>
          <w:rFonts w:ascii="Verdana" w:hAnsi="Verdana" w:cstheme="minorHAnsi"/>
          <w:i/>
          <w:iCs/>
          <w:sz w:val="18"/>
          <w:szCs w:val="18"/>
        </w:rPr>
      </w:pPr>
      <w:r w:rsidRPr="00A216B7">
        <w:rPr>
          <w:rFonts w:ascii="Verdana" w:hAnsi="Verdana" w:cstheme="minorHAnsi"/>
          <w:sz w:val="18"/>
          <w:szCs w:val="18"/>
        </w:rPr>
        <w:t>*</w:t>
      </w:r>
      <w:r w:rsidRPr="00A216B7">
        <w:rPr>
          <w:rFonts w:ascii="Verdana" w:hAnsi="Verdana" w:cstheme="minorHAnsi"/>
          <w:i/>
          <w:iCs/>
          <w:sz w:val="18"/>
          <w:szCs w:val="18"/>
        </w:rPr>
        <w:t>De middelen voor de taaleis worden structureel in 2040. Tussen 2030 en 2039 is er €22 mln</w:t>
      </w:r>
      <w:r w:rsidR="002436D7">
        <w:rPr>
          <w:rFonts w:ascii="Verdana" w:hAnsi="Verdana" w:cstheme="minorHAnsi"/>
          <w:i/>
          <w:iCs/>
          <w:sz w:val="18"/>
          <w:szCs w:val="18"/>
        </w:rPr>
        <w:t>.</w:t>
      </w:r>
      <w:r w:rsidRPr="00A216B7">
        <w:rPr>
          <w:rFonts w:ascii="Verdana" w:hAnsi="Verdana" w:cstheme="minorHAnsi"/>
          <w:i/>
          <w:iCs/>
          <w:sz w:val="18"/>
          <w:szCs w:val="18"/>
        </w:rPr>
        <w:t xml:space="preserve"> per jaar beschikbaar voor de taaleis.</w:t>
      </w:r>
    </w:p>
    <w:p w:rsidRPr="00A216B7" w:rsidR="00326C80" w:rsidP="003C061B" w:rsidRDefault="00326C80" w14:paraId="48C3BE7A" w14:textId="77777777">
      <w:pPr>
        <w:spacing w:after="0" w:line="276" w:lineRule="auto"/>
        <w:rPr>
          <w:rFonts w:ascii="Verdana" w:hAnsi="Verdana"/>
          <w:sz w:val="18"/>
          <w:szCs w:val="18"/>
        </w:rPr>
      </w:pPr>
    </w:p>
    <w:p w:rsidRPr="00A216B7" w:rsidR="00326C80" w:rsidP="003C061B" w:rsidRDefault="00326C80" w14:paraId="40ADB385" w14:textId="186F2983">
      <w:pPr>
        <w:spacing w:after="0" w:line="276" w:lineRule="auto"/>
        <w:rPr>
          <w:rFonts w:ascii="Verdana" w:hAnsi="Verdana"/>
          <w:sz w:val="18"/>
          <w:szCs w:val="18"/>
        </w:rPr>
      </w:pPr>
      <w:r w:rsidRPr="00A216B7">
        <w:rPr>
          <w:rFonts w:ascii="Verdana" w:hAnsi="Verdana"/>
          <w:sz w:val="18"/>
          <w:szCs w:val="18"/>
        </w:rPr>
        <w:tab/>
      </w:r>
    </w:p>
    <w:p w:rsidRPr="00A216B7" w:rsidR="00326C80" w:rsidP="003C061B" w:rsidRDefault="00326C80" w14:paraId="62CCC4F7" w14:textId="77777777">
      <w:pPr>
        <w:spacing w:after="0" w:line="276" w:lineRule="auto"/>
        <w:rPr>
          <w:rFonts w:ascii="Verdana" w:hAnsi="Verdana"/>
          <w:b/>
          <w:bCs/>
          <w:sz w:val="18"/>
          <w:szCs w:val="18"/>
        </w:rPr>
      </w:pPr>
      <w:r w:rsidRPr="00A216B7">
        <w:rPr>
          <w:rFonts w:ascii="Verdana" w:hAnsi="Verdana"/>
          <w:b/>
          <w:bCs/>
          <w:sz w:val="18"/>
          <w:szCs w:val="18"/>
        </w:rPr>
        <w:t xml:space="preserve">Financiële gevolgen voor maatschappelijke sectoren </w:t>
      </w:r>
    </w:p>
    <w:p w:rsidRPr="00A216B7" w:rsidR="00326C80" w:rsidP="003C061B" w:rsidRDefault="00326C80" w14:paraId="1DE27294" w14:textId="77777777">
      <w:pPr>
        <w:spacing w:after="0" w:line="276" w:lineRule="auto"/>
        <w:rPr>
          <w:rFonts w:ascii="Verdana" w:hAnsi="Verdana"/>
          <w:sz w:val="18"/>
          <w:szCs w:val="18"/>
        </w:rPr>
      </w:pPr>
    </w:p>
    <w:p w:rsidRPr="00A216B7" w:rsidR="00326C80" w:rsidP="003C061B" w:rsidRDefault="00BB7373" w14:paraId="0BEE0D0D" w14:textId="3A86151A">
      <w:pPr>
        <w:spacing w:after="0" w:line="276" w:lineRule="auto"/>
        <w:rPr>
          <w:rFonts w:ascii="Verdana" w:hAnsi="Verdana"/>
          <w:sz w:val="18"/>
          <w:szCs w:val="18"/>
        </w:rPr>
      </w:pPr>
      <w:r w:rsidRPr="00A216B7">
        <w:rPr>
          <w:rFonts w:ascii="Verdana" w:hAnsi="Verdana"/>
          <w:sz w:val="18"/>
          <w:szCs w:val="18"/>
        </w:rPr>
        <w:t xml:space="preserve">Niet van toepassing. </w:t>
      </w:r>
    </w:p>
    <w:p w:rsidRPr="00A216B7" w:rsidR="003C061B" w:rsidP="003C061B" w:rsidRDefault="003C061B" w14:paraId="53EA17C4" w14:textId="77777777">
      <w:pPr>
        <w:spacing w:after="0" w:line="276" w:lineRule="auto"/>
        <w:rPr>
          <w:rFonts w:ascii="Verdana" w:hAnsi="Verdana"/>
          <w:sz w:val="18"/>
          <w:szCs w:val="18"/>
        </w:rPr>
      </w:pPr>
    </w:p>
    <w:p w:rsidRPr="00A216B7" w:rsidR="003C061B" w:rsidP="003C061B" w:rsidRDefault="003C061B" w14:paraId="2059B0DD" w14:textId="77777777">
      <w:pPr>
        <w:spacing w:after="0" w:line="276" w:lineRule="auto"/>
        <w:rPr>
          <w:rFonts w:ascii="Verdana" w:hAnsi="Verdana"/>
          <w:sz w:val="18"/>
          <w:szCs w:val="18"/>
        </w:rPr>
      </w:pPr>
    </w:p>
    <w:p w:rsidRPr="00A216B7" w:rsidR="00326C80" w:rsidP="003C061B" w:rsidRDefault="00326C80" w14:paraId="2371EBCF" w14:textId="0DB29EE2">
      <w:pPr>
        <w:spacing w:after="0" w:line="276" w:lineRule="auto"/>
        <w:rPr>
          <w:rFonts w:ascii="Verdana" w:hAnsi="Verdana"/>
          <w:sz w:val="18"/>
          <w:szCs w:val="18"/>
        </w:rPr>
      </w:pPr>
      <w:r w:rsidRPr="00A216B7">
        <w:rPr>
          <w:rFonts w:ascii="Verdana" w:hAnsi="Verdana"/>
          <w:b/>
          <w:bCs/>
          <w:sz w:val="18"/>
          <w:szCs w:val="18"/>
        </w:rPr>
        <w:t xml:space="preserve">Nagestreefde doeltreffendheid </w:t>
      </w:r>
    </w:p>
    <w:p w:rsidRPr="00A216B7" w:rsidR="00326C80" w:rsidP="003C061B" w:rsidRDefault="00326C80" w14:paraId="3580C2A7" w14:textId="77777777">
      <w:pPr>
        <w:spacing w:after="0" w:line="276" w:lineRule="auto"/>
        <w:rPr>
          <w:rFonts w:ascii="Verdana" w:hAnsi="Verdana"/>
          <w:sz w:val="18"/>
          <w:szCs w:val="18"/>
        </w:rPr>
      </w:pPr>
    </w:p>
    <w:p w:rsidRPr="00A216B7" w:rsidR="00CE5172" w:rsidP="00CE5172" w:rsidRDefault="00CE5172" w14:paraId="7D00E7B4" w14:textId="6E7772EF">
      <w:pPr>
        <w:spacing w:after="0" w:line="276" w:lineRule="auto"/>
        <w:rPr>
          <w:rFonts w:ascii="Verdana" w:hAnsi="Verdana"/>
          <w:sz w:val="18"/>
          <w:szCs w:val="18"/>
        </w:rPr>
      </w:pPr>
      <w:r w:rsidRPr="00A216B7">
        <w:rPr>
          <w:rFonts w:ascii="Verdana" w:hAnsi="Verdana"/>
          <w:sz w:val="18"/>
          <w:szCs w:val="18"/>
        </w:rPr>
        <w:t>De periodieke rapportage integratie en maatschappelijke samenhang alsook onderzoeksanalyses en beleidsaanbevelingen van de WRR, KIS en verschillende andere monitors en onderzoeken van onder meer CBS, SCP en WRR</w:t>
      </w:r>
      <w:r w:rsidRPr="00A216B7">
        <w:rPr>
          <w:rStyle w:val="Voetnootmarkering"/>
          <w:rFonts w:ascii="Verdana" w:hAnsi="Verdana"/>
          <w:sz w:val="18"/>
          <w:szCs w:val="18"/>
        </w:rPr>
        <w:footnoteReference w:id="2"/>
      </w:r>
      <w:r w:rsidRPr="00A216B7">
        <w:rPr>
          <w:rFonts w:ascii="Verdana" w:hAnsi="Verdana"/>
          <w:sz w:val="18"/>
          <w:szCs w:val="18"/>
        </w:rPr>
        <w:t xml:space="preserve"> liggen ten grondslag aan het integratie- en samenlev</w:t>
      </w:r>
      <w:r w:rsidR="000D686A">
        <w:rPr>
          <w:rFonts w:ascii="Verdana" w:hAnsi="Verdana"/>
          <w:sz w:val="18"/>
          <w:szCs w:val="18"/>
        </w:rPr>
        <w:t>ings</w:t>
      </w:r>
      <w:r w:rsidRPr="00A216B7">
        <w:rPr>
          <w:rFonts w:ascii="Verdana" w:hAnsi="Verdana"/>
          <w:sz w:val="18"/>
          <w:szCs w:val="18"/>
        </w:rPr>
        <w:t>beleid van het kabinet en daarmee ook de Actieagenda. In de genoemde periodieke rapportage constateerden de evaluatoren onder meer dat het toen gevoerde beleid goed onderbouwd was en het plausibel was dat het doeltreffend was maar dat het beleid voornamelijk kleinschalig van aard was en</w:t>
      </w:r>
      <w:r w:rsidRPr="00A216B7">
        <w:rPr>
          <w:rFonts w:ascii="Verdana" w:hAnsi="Verdana"/>
          <w:sz w:val="18"/>
          <w:szCs w:val="18"/>
        </w:rPr>
        <w:br/>
        <w:t xml:space="preserve">dat er weinig middelen beschikbaar waren om de doelen van het beleid ook daadwerkelijk te realiseren. Met de inzet uit de Actieagenda, die deels intensiveringen van dat doeltreffend geachte beleid betreffen en deels nieuwe wetenschappelijk onderbouwde beleidsinzet, wordt tegemoetgekomen aan deze kanttekening van de evaluatoren, en kan worden verwacht dat de doelen behaald zullen worden. </w:t>
      </w:r>
    </w:p>
    <w:p w:rsidRPr="00A216B7" w:rsidR="003C061B" w:rsidP="003C061B" w:rsidRDefault="003C061B" w14:paraId="2E939C1C" w14:textId="77777777">
      <w:pPr>
        <w:spacing w:after="0" w:line="276" w:lineRule="auto"/>
        <w:rPr>
          <w:rFonts w:ascii="Verdana" w:hAnsi="Verdana"/>
          <w:sz w:val="18"/>
          <w:szCs w:val="18"/>
        </w:rPr>
      </w:pPr>
    </w:p>
    <w:p w:rsidRPr="00A216B7" w:rsidR="00326C80" w:rsidP="003C061B" w:rsidRDefault="00326C80" w14:paraId="67573A34" w14:textId="77777777">
      <w:pPr>
        <w:spacing w:after="0" w:line="276" w:lineRule="auto"/>
        <w:rPr>
          <w:rFonts w:ascii="Verdana" w:hAnsi="Verdana"/>
          <w:sz w:val="18"/>
          <w:szCs w:val="18"/>
        </w:rPr>
      </w:pPr>
    </w:p>
    <w:p w:rsidRPr="00A216B7" w:rsidR="00326C80" w:rsidP="003C061B" w:rsidRDefault="00326C80" w14:paraId="3BF591C3" w14:textId="1C399008">
      <w:pPr>
        <w:spacing w:after="0" w:line="276" w:lineRule="auto"/>
        <w:rPr>
          <w:rFonts w:ascii="Verdana" w:hAnsi="Verdana"/>
          <w:b/>
          <w:bCs/>
          <w:sz w:val="18"/>
          <w:szCs w:val="18"/>
        </w:rPr>
      </w:pPr>
      <w:r w:rsidRPr="00A216B7">
        <w:rPr>
          <w:rFonts w:ascii="Verdana" w:hAnsi="Verdana"/>
          <w:b/>
          <w:bCs/>
          <w:sz w:val="18"/>
          <w:szCs w:val="18"/>
        </w:rPr>
        <w:t xml:space="preserve">Nagestreefde doelmatigheid </w:t>
      </w:r>
    </w:p>
    <w:p w:rsidRPr="00A216B7" w:rsidR="00326C80" w:rsidP="003C061B" w:rsidRDefault="00326C80" w14:paraId="56E5AE25" w14:textId="17C24ABF">
      <w:pPr>
        <w:spacing w:after="0" w:line="276" w:lineRule="auto"/>
        <w:rPr>
          <w:rFonts w:ascii="Verdana" w:hAnsi="Verdana"/>
          <w:b/>
          <w:bCs/>
          <w:sz w:val="18"/>
          <w:szCs w:val="18"/>
        </w:rPr>
      </w:pPr>
      <w:r w:rsidRPr="00A216B7">
        <w:rPr>
          <w:rFonts w:ascii="Verdana" w:hAnsi="Verdana"/>
          <w:b/>
          <w:bCs/>
          <w:sz w:val="18"/>
          <w:szCs w:val="18"/>
        </w:rPr>
        <w:tab/>
      </w:r>
    </w:p>
    <w:p w:rsidRPr="00A216B7" w:rsidR="00850B1C" w:rsidP="003059CC" w:rsidRDefault="00850B1C" w14:paraId="2BD95FA9" w14:textId="324C9E1A">
      <w:pPr>
        <w:spacing w:after="0" w:line="276" w:lineRule="auto"/>
        <w:rPr>
          <w:rFonts w:ascii="Verdana" w:hAnsi="Verdana"/>
          <w:sz w:val="18"/>
          <w:szCs w:val="18"/>
        </w:rPr>
      </w:pPr>
      <w:r w:rsidRPr="00A216B7">
        <w:rPr>
          <w:rFonts w:ascii="Verdana" w:hAnsi="Verdana"/>
          <w:sz w:val="18"/>
          <w:szCs w:val="18"/>
        </w:rPr>
        <w:t>Met de voorgestelde maatregelen geven we vorm aan beleid en interventies gericht op bepaalde kwetsbare individuen en groepen alsook de samenleving als geheel. We beogen impact te maken door opgavegericht en evidence</w:t>
      </w:r>
      <w:r w:rsidR="003E40B5">
        <w:rPr>
          <w:rFonts w:ascii="Verdana" w:hAnsi="Verdana"/>
          <w:sz w:val="18"/>
          <w:szCs w:val="18"/>
        </w:rPr>
        <w:t xml:space="preserve"> </w:t>
      </w:r>
      <w:r w:rsidRPr="00A216B7">
        <w:rPr>
          <w:rFonts w:ascii="Verdana" w:hAnsi="Verdana"/>
          <w:sz w:val="18"/>
          <w:szCs w:val="18"/>
        </w:rPr>
        <w:t xml:space="preserve">based te werken en zo effectieve interventies en werkzame mechanismen te stimuleren. </w:t>
      </w:r>
      <w:r w:rsidRPr="00A216B7" w:rsidR="00C853BB">
        <w:rPr>
          <w:rFonts w:ascii="Verdana" w:hAnsi="Verdana"/>
          <w:sz w:val="18"/>
          <w:szCs w:val="18"/>
        </w:rPr>
        <w:t>Daarbij vormen de in de vorige paragraaf genoemde beleidsonderzoeken een belangrijke hoeksteen.</w:t>
      </w:r>
    </w:p>
    <w:p w:rsidRPr="00A216B7" w:rsidR="00326C80" w:rsidP="003C061B" w:rsidRDefault="00326C80" w14:paraId="5199B23E" w14:textId="4D379F60">
      <w:pPr>
        <w:spacing w:after="0" w:line="276" w:lineRule="auto"/>
        <w:rPr>
          <w:rFonts w:ascii="Verdana" w:hAnsi="Verdana"/>
          <w:sz w:val="18"/>
          <w:szCs w:val="18"/>
        </w:rPr>
      </w:pPr>
    </w:p>
    <w:p w:rsidRPr="00A216B7" w:rsidR="004A468B" w:rsidP="00850B1C" w:rsidRDefault="004A468B" w14:paraId="1B1EA0AC" w14:textId="05540F27">
      <w:pPr>
        <w:spacing w:after="0" w:line="240" w:lineRule="auto"/>
        <w:rPr>
          <w:rFonts w:ascii="Verdana" w:hAnsi="Verdana"/>
          <w:sz w:val="18"/>
          <w:szCs w:val="18"/>
        </w:rPr>
      </w:pPr>
    </w:p>
    <w:p w:rsidR="003E40B5" w:rsidRDefault="003E40B5" w14:paraId="5E1E6A23" w14:textId="77777777">
      <w:pPr>
        <w:rPr>
          <w:rFonts w:ascii="Verdana" w:hAnsi="Verdana"/>
          <w:b/>
          <w:bCs/>
          <w:sz w:val="18"/>
          <w:szCs w:val="18"/>
        </w:rPr>
      </w:pPr>
      <w:r>
        <w:rPr>
          <w:rFonts w:ascii="Verdana" w:hAnsi="Verdana"/>
          <w:b/>
          <w:bCs/>
          <w:sz w:val="18"/>
          <w:szCs w:val="18"/>
        </w:rPr>
        <w:br w:type="page"/>
      </w:r>
    </w:p>
    <w:p w:rsidRPr="00A216B7" w:rsidR="00035053" w:rsidP="00035053" w:rsidRDefault="00035053" w14:paraId="7751CC05" w14:textId="405A2A88">
      <w:pPr>
        <w:spacing w:after="0" w:line="276" w:lineRule="auto"/>
        <w:rPr>
          <w:rFonts w:ascii="Verdana" w:hAnsi="Verdana"/>
          <w:b/>
          <w:bCs/>
          <w:sz w:val="18"/>
          <w:szCs w:val="18"/>
        </w:rPr>
      </w:pPr>
      <w:r w:rsidRPr="00A216B7">
        <w:rPr>
          <w:rFonts w:ascii="Verdana" w:hAnsi="Verdana"/>
          <w:b/>
          <w:bCs/>
          <w:sz w:val="18"/>
          <w:szCs w:val="18"/>
        </w:rPr>
        <w:lastRenderedPageBreak/>
        <w:t xml:space="preserve">Evaluatieparagraaf </w:t>
      </w:r>
      <w:r w:rsidRPr="00A216B7">
        <w:rPr>
          <w:rFonts w:ascii="Verdana" w:hAnsi="Verdana"/>
          <w:b/>
          <w:bCs/>
          <w:sz w:val="18"/>
          <w:szCs w:val="18"/>
        </w:rPr>
        <w:tab/>
      </w:r>
    </w:p>
    <w:p w:rsidRPr="00A216B7" w:rsidR="00035053" w:rsidP="00035053" w:rsidRDefault="00035053" w14:paraId="180CD474" w14:textId="77777777">
      <w:pPr>
        <w:spacing w:after="0" w:line="276" w:lineRule="auto"/>
        <w:rPr>
          <w:rFonts w:ascii="Verdana" w:hAnsi="Verdana"/>
          <w:sz w:val="18"/>
          <w:szCs w:val="18"/>
        </w:rPr>
      </w:pPr>
    </w:p>
    <w:p w:rsidRPr="00A216B7" w:rsidR="00035053" w:rsidP="00035053" w:rsidRDefault="00035053" w14:paraId="3F3F2AB3" w14:textId="2582390C">
      <w:pPr>
        <w:spacing w:after="0" w:line="276" w:lineRule="auto"/>
        <w:rPr>
          <w:rFonts w:ascii="Verdana" w:hAnsi="Verdana"/>
          <w:sz w:val="18"/>
          <w:szCs w:val="18"/>
        </w:rPr>
      </w:pPr>
      <w:r w:rsidRPr="00A216B7">
        <w:rPr>
          <w:rFonts w:ascii="Verdana" w:hAnsi="Verdana"/>
          <w:sz w:val="18"/>
          <w:szCs w:val="18"/>
        </w:rPr>
        <w:t xml:space="preserve">De komende periode wordt hard gewerkt aan de verdere uitwerking van de </w:t>
      </w:r>
      <w:r w:rsidR="000D686A">
        <w:rPr>
          <w:rFonts w:ascii="Verdana" w:hAnsi="Verdana"/>
          <w:sz w:val="18"/>
          <w:szCs w:val="18"/>
        </w:rPr>
        <w:t>A</w:t>
      </w:r>
      <w:r w:rsidRPr="00A216B7">
        <w:rPr>
          <w:rFonts w:ascii="Verdana" w:hAnsi="Verdana"/>
          <w:sz w:val="18"/>
          <w:szCs w:val="18"/>
        </w:rPr>
        <w:t xml:space="preserve">ctieagenda. Daarbij zal ook worden bezien – per thema – op welke manier we de impact van onze inzet in beeld kunnen brengen en het beleid gaan evalueren. </w:t>
      </w:r>
      <w:r w:rsidRPr="00A216B7" w:rsidR="00A22A42">
        <w:rPr>
          <w:rFonts w:ascii="Verdana" w:hAnsi="Verdana"/>
          <w:sz w:val="18"/>
          <w:szCs w:val="18"/>
        </w:rPr>
        <w:t>Op basis van de pilots en evaluaties zal nader bepaald worden</w:t>
      </w:r>
      <w:r w:rsidRPr="00A216B7" w:rsidR="00634A75">
        <w:rPr>
          <w:rFonts w:ascii="Verdana" w:hAnsi="Verdana"/>
          <w:sz w:val="18"/>
          <w:szCs w:val="18"/>
        </w:rPr>
        <w:t xml:space="preserve"> of en</w:t>
      </w:r>
      <w:r w:rsidRPr="00A216B7" w:rsidR="00A22A42">
        <w:rPr>
          <w:rFonts w:ascii="Verdana" w:hAnsi="Verdana"/>
          <w:sz w:val="18"/>
          <w:szCs w:val="18"/>
        </w:rPr>
        <w:t xml:space="preserve"> waar structurele inzet nodig is. </w:t>
      </w:r>
      <w:r w:rsidRPr="00A216B7">
        <w:rPr>
          <w:rFonts w:ascii="Verdana" w:hAnsi="Verdana"/>
          <w:sz w:val="18"/>
          <w:szCs w:val="18"/>
        </w:rPr>
        <w:t>Daarnaast wordt verkend op welke wijze breder onderzoek naar waardenoriëntaties over de open en vrije samenleving onder de gehele bevolking het beste vormgegeven kan worden. Op basis van door het SCP verzamelde data, zal aanvullend onderzoek worden uitgevoerd.</w:t>
      </w:r>
    </w:p>
    <w:p w:rsidRPr="00A216B7" w:rsidR="00035053" w:rsidP="00035053" w:rsidRDefault="00035053" w14:paraId="7555F695" w14:textId="77777777">
      <w:pPr>
        <w:spacing w:after="0" w:line="276" w:lineRule="auto"/>
        <w:rPr>
          <w:rFonts w:ascii="Verdana" w:hAnsi="Verdana"/>
          <w:sz w:val="18"/>
          <w:szCs w:val="18"/>
        </w:rPr>
      </w:pPr>
    </w:p>
    <w:p w:rsidRPr="00A216B7" w:rsidR="004A468B" w:rsidP="003C061B" w:rsidRDefault="004A468B" w14:paraId="4C4F5938" w14:textId="77777777">
      <w:pPr>
        <w:spacing w:after="0" w:line="276" w:lineRule="auto"/>
        <w:rPr>
          <w:rFonts w:ascii="Verdana" w:hAnsi="Verdana"/>
          <w:sz w:val="18"/>
          <w:szCs w:val="18"/>
        </w:rPr>
      </w:pPr>
    </w:p>
    <w:sectPr w:rsidRPr="00A216B7" w:rsidR="004A46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44B1" w14:textId="77777777" w:rsidR="00647B7C" w:rsidRDefault="00647B7C" w:rsidP="00CE5172">
      <w:pPr>
        <w:spacing w:after="0" w:line="240" w:lineRule="auto"/>
      </w:pPr>
      <w:r>
        <w:separator/>
      </w:r>
    </w:p>
  </w:endnote>
  <w:endnote w:type="continuationSeparator" w:id="0">
    <w:p w14:paraId="6BEAD1E1" w14:textId="77777777" w:rsidR="00647B7C" w:rsidRDefault="00647B7C" w:rsidP="00CE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2E5F" w14:textId="77777777" w:rsidR="00A25E08" w:rsidRDefault="00A25E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DB5E" w14:textId="77777777" w:rsidR="00A25E08" w:rsidRDefault="00A25E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ED9E" w14:textId="77777777" w:rsidR="00A25E08" w:rsidRDefault="00A25E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3291" w14:textId="77777777" w:rsidR="00647B7C" w:rsidRDefault="00647B7C" w:rsidP="00CE5172">
      <w:pPr>
        <w:spacing w:after="0" w:line="240" w:lineRule="auto"/>
      </w:pPr>
      <w:r>
        <w:separator/>
      </w:r>
    </w:p>
  </w:footnote>
  <w:footnote w:type="continuationSeparator" w:id="0">
    <w:p w14:paraId="0BC6D253" w14:textId="77777777" w:rsidR="00647B7C" w:rsidRDefault="00647B7C" w:rsidP="00CE5172">
      <w:pPr>
        <w:spacing w:after="0" w:line="240" w:lineRule="auto"/>
      </w:pPr>
      <w:r>
        <w:continuationSeparator/>
      </w:r>
    </w:p>
  </w:footnote>
  <w:footnote w:id="1">
    <w:p w14:paraId="27E3D99D" w14:textId="77777777" w:rsidR="00966FEE" w:rsidRPr="003E40B5" w:rsidRDefault="00966FEE" w:rsidP="00966FEE">
      <w:pPr>
        <w:pStyle w:val="Voetnoottekst"/>
        <w:rPr>
          <w:i/>
          <w:iCs/>
          <w:sz w:val="16"/>
          <w:szCs w:val="16"/>
        </w:rPr>
      </w:pPr>
      <w:r w:rsidRPr="003E40B5">
        <w:rPr>
          <w:rStyle w:val="Voetnootmarkering"/>
          <w:i/>
          <w:iCs/>
          <w:sz w:val="16"/>
          <w:szCs w:val="16"/>
        </w:rPr>
        <w:footnoteRef/>
      </w:r>
      <w:r w:rsidRPr="003E40B5">
        <w:rPr>
          <w:i/>
          <w:iCs/>
          <w:sz w:val="16"/>
          <w:szCs w:val="16"/>
        </w:rPr>
        <w:t xml:space="preserve"> Expertise-unit Sociale Stabiliteit (ESS) &amp; Nationaal Coördinator Terrorismebestrijding en Veiligheid (NCTV). (2020). Wat werkt bij preventie van radicalisering? </w:t>
      </w:r>
      <w:hyperlink r:id="rId1" w:tgtFrame="_blank" w:history="1">
        <w:r w:rsidRPr="003E40B5">
          <w:rPr>
            <w:rStyle w:val="Hyperlink"/>
            <w:i/>
            <w:iCs/>
            <w:sz w:val="16"/>
            <w:szCs w:val="16"/>
          </w:rPr>
          <w:t>https://www.socialestabiliteit.nl/binaries/sociale-stabiliteit/documenten/rapporten/2021/11/16/rapport-wat-werkt-bij-preventie-van-radicalisering/72919_SZW_NCTV_Rapport+Wat+werkt+bij+preventie+van+radicalisering_V3.pdf</w:t>
        </w:r>
      </w:hyperlink>
    </w:p>
    <w:p w14:paraId="6B201C79" w14:textId="77777777" w:rsidR="00966FEE" w:rsidRPr="003E40B5" w:rsidRDefault="00966FEE" w:rsidP="00966FEE">
      <w:pPr>
        <w:pStyle w:val="Voetnoottekst"/>
        <w:rPr>
          <w:i/>
          <w:iCs/>
          <w:sz w:val="16"/>
          <w:szCs w:val="16"/>
        </w:rPr>
      </w:pPr>
      <w:r w:rsidRPr="003E40B5">
        <w:rPr>
          <w:i/>
          <w:iCs/>
          <w:sz w:val="16"/>
          <w:szCs w:val="16"/>
        </w:rPr>
        <w:t xml:space="preserve">Wetenschappelijk Onderzoek- en Documentatiecentrum (WODC). (2022, 15 december). Evaluaties lokale aanpak radicalisering en extremisme staan nog in de kinderschoenen. </w:t>
      </w:r>
      <w:hyperlink r:id="rId2" w:tgtFrame="_blank" w:history="1">
        <w:r w:rsidRPr="003E40B5">
          <w:rPr>
            <w:rStyle w:val="Hyperlink"/>
            <w:i/>
            <w:iCs/>
            <w:sz w:val="16"/>
            <w:szCs w:val="16"/>
          </w:rPr>
          <w:t>https://www.wodc.nl/actueel/nieuws/2022/12/15/evaluaties-lokale-aanpak-radicalisering-en-extremisme-staan-nog-in-de-kinderschoenen</w:t>
        </w:r>
      </w:hyperlink>
    </w:p>
    <w:p w14:paraId="49F12FE3" w14:textId="77777777" w:rsidR="00966FEE" w:rsidRPr="003E40B5" w:rsidRDefault="00966FEE" w:rsidP="00966FEE">
      <w:pPr>
        <w:pStyle w:val="Voetnoottekst"/>
        <w:rPr>
          <w:i/>
          <w:iCs/>
          <w:sz w:val="16"/>
          <w:szCs w:val="16"/>
        </w:rPr>
      </w:pPr>
      <w:r w:rsidRPr="003E40B5">
        <w:rPr>
          <w:i/>
          <w:iCs/>
          <w:sz w:val="16"/>
          <w:szCs w:val="16"/>
        </w:rPr>
        <w:t xml:space="preserve">WODC. (2025). Radicalisering en psychosociale problematiek: Beter begrijpen, beter ingrijpen. </w:t>
      </w:r>
      <w:hyperlink r:id="rId3" w:tgtFrame="_blank" w:history="1">
        <w:r w:rsidRPr="003E40B5">
          <w:rPr>
            <w:rStyle w:val="Hyperlink"/>
            <w:i/>
            <w:iCs/>
            <w:sz w:val="16"/>
            <w:szCs w:val="16"/>
          </w:rPr>
          <w:t>https://open.overheid.nl/documenten/cf10af0f-034b-4c62-ba22-48c8232afbc4/file</w:t>
        </w:r>
      </w:hyperlink>
    </w:p>
    <w:p w14:paraId="44C700E4" w14:textId="77777777" w:rsidR="00966FEE" w:rsidRPr="003E40B5" w:rsidRDefault="00966FEE" w:rsidP="00966FEE">
      <w:pPr>
        <w:pStyle w:val="Voetnoottekst"/>
        <w:rPr>
          <w:i/>
          <w:iCs/>
          <w:sz w:val="16"/>
          <w:szCs w:val="16"/>
        </w:rPr>
      </w:pPr>
      <w:r w:rsidRPr="003E40B5">
        <w:rPr>
          <w:i/>
          <w:iCs/>
          <w:sz w:val="16"/>
          <w:szCs w:val="16"/>
        </w:rPr>
        <w:t xml:space="preserve">WODC &amp; Universiteit van Amsterdam. (2025, 3 juli). Tegengaan van radicalisering vergt maatwerk op individueel niveau en bij samenwerking tussen ketenpartners. </w:t>
      </w:r>
      <w:hyperlink r:id="rId4" w:tgtFrame="_blank" w:history="1">
        <w:r w:rsidRPr="003E40B5">
          <w:rPr>
            <w:rStyle w:val="Hyperlink"/>
            <w:i/>
            <w:iCs/>
            <w:sz w:val="16"/>
            <w:szCs w:val="16"/>
          </w:rPr>
          <w:t>https://www.wodc.nl/actueel/nieuws/2025/07/03/tegengaan-van-radicalisering-vergt-maatwerk-op-individueel-niveau-en-bij-samenwerking-tussen-ketenpartners</w:t>
        </w:r>
      </w:hyperlink>
    </w:p>
    <w:p w14:paraId="2179F41C" w14:textId="77777777" w:rsidR="00966FEE" w:rsidRPr="003E40B5" w:rsidRDefault="00966FEE" w:rsidP="00966FEE">
      <w:pPr>
        <w:pStyle w:val="Voetnoottekst"/>
        <w:rPr>
          <w:i/>
          <w:iCs/>
          <w:sz w:val="16"/>
          <w:szCs w:val="16"/>
          <w:lang w:val="fr-FR"/>
        </w:rPr>
      </w:pPr>
      <w:r w:rsidRPr="003E40B5">
        <w:rPr>
          <w:i/>
          <w:iCs/>
          <w:sz w:val="16"/>
          <w:szCs w:val="16"/>
        </w:rPr>
        <w:t xml:space="preserve">WODC. (2022). Naar een evidence-based aanpak van radicalisering en extremisme. </w:t>
      </w:r>
      <w:hyperlink r:id="rId5" w:tgtFrame="_blank" w:history="1">
        <w:r w:rsidRPr="003E40B5">
          <w:rPr>
            <w:rStyle w:val="Hyperlink"/>
            <w:i/>
            <w:iCs/>
            <w:sz w:val="16"/>
            <w:szCs w:val="16"/>
            <w:lang w:val="fr-FR"/>
          </w:rPr>
          <w:t>https://repository.wodc.nl/handle/20.500.12832/3232</w:t>
        </w:r>
      </w:hyperlink>
    </w:p>
    <w:p w14:paraId="53E00C4C" w14:textId="680AC0A5" w:rsidR="00966FEE" w:rsidRPr="003E40B5" w:rsidRDefault="00966FEE" w:rsidP="00966FEE">
      <w:pPr>
        <w:pStyle w:val="Voetnoottekst"/>
        <w:rPr>
          <w:i/>
          <w:iCs/>
          <w:sz w:val="16"/>
          <w:szCs w:val="16"/>
        </w:rPr>
      </w:pPr>
      <w:r w:rsidRPr="003E40B5">
        <w:rPr>
          <w:i/>
          <w:iCs/>
          <w:sz w:val="16"/>
          <w:szCs w:val="16"/>
          <w:lang w:val="fr-FR"/>
        </w:rPr>
        <w:t xml:space="preserve">Expertise-unit Sociale Stabiliteit (ESS). </w:t>
      </w:r>
      <w:r w:rsidRPr="003E40B5">
        <w:rPr>
          <w:i/>
          <w:iCs/>
          <w:sz w:val="16"/>
          <w:szCs w:val="16"/>
        </w:rPr>
        <w:t xml:space="preserve">(2021, 16 november). Preventie van radicalisering? Ontdek wat werkt! </w:t>
      </w:r>
      <w:hyperlink r:id="rId6" w:tgtFrame="_blank" w:history="1">
        <w:r w:rsidRPr="003E40B5">
          <w:rPr>
            <w:rStyle w:val="Hyperlink"/>
            <w:i/>
            <w:iCs/>
            <w:sz w:val="16"/>
            <w:szCs w:val="16"/>
          </w:rPr>
          <w:t>https://www.socialestabiliteit.nl/actueel/nieuws/2021/11/16/preventie-van-radicalisering-ontdek-wat-werkt</w:t>
        </w:r>
      </w:hyperlink>
    </w:p>
  </w:footnote>
  <w:footnote w:id="2">
    <w:p w14:paraId="0FBD1A1B" w14:textId="77777777" w:rsidR="00CE5172" w:rsidRPr="003E40B5" w:rsidRDefault="00CE5172" w:rsidP="00CE5172">
      <w:pPr>
        <w:spacing w:after="0" w:line="276" w:lineRule="auto"/>
        <w:rPr>
          <w:sz w:val="16"/>
          <w:szCs w:val="16"/>
        </w:rPr>
      </w:pPr>
      <w:r w:rsidRPr="003E40B5">
        <w:rPr>
          <w:rStyle w:val="Voetnootmarkering"/>
          <w:sz w:val="16"/>
          <w:szCs w:val="16"/>
        </w:rPr>
        <w:footnoteRef/>
      </w:r>
      <w:r w:rsidRPr="003E40B5">
        <w:rPr>
          <w:sz w:val="16"/>
          <w:szCs w:val="16"/>
        </w:rPr>
        <w:t xml:space="preserve"> Zoals onder meer de Surveys Integratie Migranten en de nieuwste editie daarvan in 2026-2027 (die Samenleven in Nederland heet), de rapportages Integratie en Samenleven en de Kernindicatoren Integratie en de registergegevens en surveys onder statushouders (het Longitudinaal Onderzoek Cohort Stathouders – LOCS) en onder Oekraïners (het longitudinaal Onderzoek Cohort Oekraïense Vluchtelingen – LOCOV) .</w:t>
      </w:r>
    </w:p>
    <w:p w14:paraId="649F3900" w14:textId="77777777" w:rsidR="00CE5172" w:rsidRPr="003E40B5" w:rsidRDefault="00CE5172" w:rsidP="00CE5172">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AF27" w14:textId="77777777" w:rsidR="00A25E08" w:rsidRDefault="00A25E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2931" w14:textId="77777777" w:rsidR="00A25E08" w:rsidRDefault="00A25E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A09F" w14:textId="77777777" w:rsidR="00A25E08" w:rsidRDefault="00A25E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6D9"/>
    <w:multiLevelType w:val="hybridMultilevel"/>
    <w:tmpl w:val="BAB40552"/>
    <w:lvl w:ilvl="0" w:tplc="54A49FB6">
      <w:numFmt w:val="bullet"/>
      <w:lvlText w:val="-"/>
      <w:lvlJc w:val="left"/>
      <w:pPr>
        <w:ind w:left="76" w:hanging="360"/>
      </w:pPr>
      <w:rPr>
        <w:rFonts w:ascii="Lucida Handwriting" w:eastAsiaTheme="minorHAnsi" w:hAnsi="Lucida Handwriting" w:cstheme="minorBidi" w:hint="default"/>
      </w:rPr>
    </w:lvl>
    <w:lvl w:ilvl="1" w:tplc="04130003">
      <w:start w:val="1"/>
      <w:numFmt w:val="bullet"/>
      <w:lvlText w:val="o"/>
      <w:lvlJc w:val="left"/>
      <w:pPr>
        <w:ind w:left="796" w:hanging="360"/>
      </w:pPr>
      <w:rPr>
        <w:rFonts w:ascii="Courier New" w:hAnsi="Courier New" w:cs="Courier New" w:hint="default"/>
      </w:rPr>
    </w:lvl>
    <w:lvl w:ilvl="2" w:tplc="04130005">
      <w:start w:val="1"/>
      <w:numFmt w:val="bullet"/>
      <w:lvlText w:val=""/>
      <w:lvlJc w:val="left"/>
      <w:pPr>
        <w:ind w:left="1516" w:hanging="360"/>
      </w:pPr>
      <w:rPr>
        <w:rFonts w:ascii="Wingdings" w:hAnsi="Wingdings" w:hint="default"/>
      </w:rPr>
    </w:lvl>
    <w:lvl w:ilvl="3" w:tplc="04130001">
      <w:start w:val="1"/>
      <w:numFmt w:val="bullet"/>
      <w:lvlText w:val=""/>
      <w:lvlJc w:val="left"/>
      <w:pPr>
        <w:ind w:left="2236" w:hanging="360"/>
      </w:pPr>
      <w:rPr>
        <w:rFonts w:ascii="Symbol" w:hAnsi="Symbol" w:hint="default"/>
      </w:rPr>
    </w:lvl>
    <w:lvl w:ilvl="4" w:tplc="04130003">
      <w:start w:val="1"/>
      <w:numFmt w:val="bullet"/>
      <w:lvlText w:val="o"/>
      <w:lvlJc w:val="left"/>
      <w:pPr>
        <w:ind w:left="2956" w:hanging="360"/>
      </w:pPr>
      <w:rPr>
        <w:rFonts w:ascii="Courier New" w:hAnsi="Courier New" w:cs="Courier New" w:hint="default"/>
      </w:rPr>
    </w:lvl>
    <w:lvl w:ilvl="5" w:tplc="04130005">
      <w:start w:val="1"/>
      <w:numFmt w:val="bullet"/>
      <w:lvlText w:val=""/>
      <w:lvlJc w:val="left"/>
      <w:pPr>
        <w:ind w:left="3676" w:hanging="360"/>
      </w:pPr>
      <w:rPr>
        <w:rFonts w:ascii="Wingdings" w:hAnsi="Wingdings" w:hint="default"/>
      </w:rPr>
    </w:lvl>
    <w:lvl w:ilvl="6" w:tplc="04130001">
      <w:start w:val="1"/>
      <w:numFmt w:val="bullet"/>
      <w:lvlText w:val=""/>
      <w:lvlJc w:val="left"/>
      <w:pPr>
        <w:ind w:left="4396" w:hanging="360"/>
      </w:pPr>
      <w:rPr>
        <w:rFonts w:ascii="Symbol" w:hAnsi="Symbol" w:hint="default"/>
      </w:rPr>
    </w:lvl>
    <w:lvl w:ilvl="7" w:tplc="04130003">
      <w:start w:val="1"/>
      <w:numFmt w:val="bullet"/>
      <w:lvlText w:val="o"/>
      <w:lvlJc w:val="left"/>
      <w:pPr>
        <w:ind w:left="5116" w:hanging="360"/>
      </w:pPr>
      <w:rPr>
        <w:rFonts w:ascii="Courier New" w:hAnsi="Courier New" w:cs="Courier New" w:hint="default"/>
      </w:rPr>
    </w:lvl>
    <w:lvl w:ilvl="8" w:tplc="04130005">
      <w:start w:val="1"/>
      <w:numFmt w:val="bullet"/>
      <w:lvlText w:val=""/>
      <w:lvlJc w:val="left"/>
      <w:pPr>
        <w:ind w:left="5836" w:hanging="360"/>
      </w:pPr>
      <w:rPr>
        <w:rFonts w:ascii="Wingdings" w:hAnsi="Wingdings" w:hint="default"/>
      </w:rPr>
    </w:lvl>
  </w:abstractNum>
  <w:abstractNum w:abstractNumId="1" w15:restartNumberingAfterBreak="0">
    <w:nsid w:val="17AA7BB7"/>
    <w:multiLevelType w:val="hybridMultilevel"/>
    <w:tmpl w:val="FDE0FE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B8E3034"/>
    <w:multiLevelType w:val="hybridMultilevel"/>
    <w:tmpl w:val="DEE48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6D4E94"/>
    <w:multiLevelType w:val="hybridMultilevel"/>
    <w:tmpl w:val="9D762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53494C"/>
    <w:multiLevelType w:val="hybridMultilevel"/>
    <w:tmpl w:val="61244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687582"/>
    <w:multiLevelType w:val="multilevel"/>
    <w:tmpl w:val="AFE6A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0313542">
    <w:abstractNumId w:val="3"/>
  </w:num>
  <w:num w:numId="2" w16cid:durableId="1155297744">
    <w:abstractNumId w:val="1"/>
  </w:num>
  <w:num w:numId="3" w16cid:durableId="1656303402">
    <w:abstractNumId w:val="2"/>
  </w:num>
  <w:num w:numId="4" w16cid:durableId="2113428104">
    <w:abstractNumId w:val="4"/>
  </w:num>
  <w:num w:numId="5" w16cid:durableId="1590237323">
    <w:abstractNumId w:val="0"/>
  </w:num>
  <w:num w:numId="6" w16cid:durableId="1218054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8F"/>
    <w:rsid w:val="00035053"/>
    <w:rsid w:val="000537F4"/>
    <w:rsid w:val="00093F49"/>
    <w:rsid w:val="00096425"/>
    <w:rsid w:val="000C6DC5"/>
    <w:rsid w:val="000D686A"/>
    <w:rsid w:val="000F5CF1"/>
    <w:rsid w:val="0010409D"/>
    <w:rsid w:val="0014379D"/>
    <w:rsid w:val="00151927"/>
    <w:rsid w:val="001605C4"/>
    <w:rsid w:val="00200788"/>
    <w:rsid w:val="002436D7"/>
    <w:rsid w:val="00243BC4"/>
    <w:rsid w:val="002A3F4B"/>
    <w:rsid w:val="002A7759"/>
    <w:rsid w:val="002E2BC0"/>
    <w:rsid w:val="002E61F0"/>
    <w:rsid w:val="003059CC"/>
    <w:rsid w:val="00326C80"/>
    <w:rsid w:val="003C061B"/>
    <w:rsid w:val="003C455D"/>
    <w:rsid w:val="003E40B5"/>
    <w:rsid w:val="004956A9"/>
    <w:rsid w:val="004A468B"/>
    <w:rsid w:val="004B5C21"/>
    <w:rsid w:val="00513366"/>
    <w:rsid w:val="005C7975"/>
    <w:rsid w:val="00603E65"/>
    <w:rsid w:val="006309AA"/>
    <w:rsid w:val="00634A75"/>
    <w:rsid w:val="00636C9C"/>
    <w:rsid w:val="00647B7C"/>
    <w:rsid w:val="006515EE"/>
    <w:rsid w:val="006523DB"/>
    <w:rsid w:val="0067228F"/>
    <w:rsid w:val="00673FBD"/>
    <w:rsid w:val="006760D8"/>
    <w:rsid w:val="006828F1"/>
    <w:rsid w:val="006A6890"/>
    <w:rsid w:val="006F4993"/>
    <w:rsid w:val="0072347B"/>
    <w:rsid w:val="00784056"/>
    <w:rsid w:val="007A3F82"/>
    <w:rsid w:val="007D6058"/>
    <w:rsid w:val="008229A4"/>
    <w:rsid w:val="008424AF"/>
    <w:rsid w:val="00850B1C"/>
    <w:rsid w:val="008B2189"/>
    <w:rsid w:val="008D4AA9"/>
    <w:rsid w:val="008D7BED"/>
    <w:rsid w:val="008F37AB"/>
    <w:rsid w:val="00947AFF"/>
    <w:rsid w:val="00966FEE"/>
    <w:rsid w:val="00990B55"/>
    <w:rsid w:val="009B1766"/>
    <w:rsid w:val="009C5C4B"/>
    <w:rsid w:val="00A216B7"/>
    <w:rsid w:val="00A22A42"/>
    <w:rsid w:val="00A25E08"/>
    <w:rsid w:val="00A46CD5"/>
    <w:rsid w:val="00AA4AD5"/>
    <w:rsid w:val="00AF7C02"/>
    <w:rsid w:val="00B40CF3"/>
    <w:rsid w:val="00BB2C3C"/>
    <w:rsid w:val="00BB7373"/>
    <w:rsid w:val="00BC2F22"/>
    <w:rsid w:val="00BF3BD0"/>
    <w:rsid w:val="00C853BB"/>
    <w:rsid w:val="00CA2C7D"/>
    <w:rsid w:val="00CB3C8B"/>
    <w:rsid w:val="00CE5172"/>
    <w:rsid w:val="00CF72D2"/>
    <w:rsid w:val="00E47ABE"/>
    <w:rsid w:val="00E74141"/>
    <w:rsid w:val="00E812D4"/>
    <w:rsid w:val="00E86220"/>
    <w:rsid w:val="00EC289D"/>
    <w:rsid w:val="00EF6019"/>
    <w:rsid w:val="00F7040C"/>
    <w:rsid w:val="00F97993"/>
    <w:rsid w:val="00FC1081"/>
    <w:rsid w:val="00FC5290"/>
    <w:rsid w:val="00FE1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289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2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2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22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22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22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22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22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22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22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2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2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2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2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2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2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2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2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28F"/>
    <w:rPr>
      <w:rFonts w:eastAsiaTheme="majorEastAsia" w:cstheme="majorBidi"/>
      <w:color w:val="272727" w:themeColor="text1" w:themeTint="D8"/>
    </w:rPr>
  </w:style>
  <w:style w:type="paragraph" w:styleId="Titel">
    <w:name w:val="Title"/>
    <w:basedOn w:val="Standaard"/>
    <w:next w:val="Standaard"/>
    <w:link w:val="TitelChar"/>
    <w:uiPriority w:val="10"/>
    <w:qFormat/>
    <w:rsid w:val="00672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22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2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22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2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228F"/>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67228F"/>
    <w:pPr>
      <w:ind w:left="720"/>
      <w:contextualSpacing/>
    </w:pPr>
  </w:style>
  <w:style w:type="character" w:styleId="Intensievebenadrukking">
    <w:name w:val="Intense Emphasis"/>
    <w:basedOn w:val="Standaardalinea-lettertype"/>
    <w:uiPriority w:val="21"/>
    <w:qFormat/>
    <w:rsid w:val="0067228F"/>
    <w:rPr>
      <w:i/>
      <w:iCs/>
      <w:color w:val="0F4761" w:themeColor="accent1" w:themeShade="BF"/>
    </w:rPr>
  </w:style>
  <w:style w:type="paragraph" w:styleId="Duidelijkcitaat">
    <w:name w:val="Intense Quote"/>
    <w:basedOn w:val="Standaard"/>
    <w:next w:val="Standaard"/>
    <w:link w:val="DuidelijkcitaatChar"/>
    <w:uiPriority w:val="30"/>
    <w:qFormat/>
    <w:rsid w:val="00672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228F"/>
    <w:rPr>
      <w:i/>
      <w:iCs/>
      <w:color w:val="0F4761" w:themeColor="accent1" w:themeShade="BF"/>
    </w:rPr>
  </w:style>
  <w:style w:type="character" w:styleId="Intensieveverwijzing">
    <w:name w:val="Intense Reference"/>
    <w:basedOn w:val="Standaardalinea-lettertype"/>
    <w:uiPriority w:val="32"/>
    <w:qFormat/>
    <w:rsid w:val="0067228F"/>
    <w:rPr>
      <w:b/>
      <w:bCs/>
      <w:smallCaps/>
      <w:color w:val="0F4761" w:themeColor="accent1" w:themeShade="BF"/>
      <w:spacing w:val="5"/>
    </w:rPr>
  </w:style>
  <w:style w:type="table" w:styleId="Tabelraster">
    <w:name w:val="Table Grid"/>
    <w:basedOn w:val="Standaardtabel"/>
    <w:uiPriority w:val="39"/>
    <w:rsid w:val="00326C80"/>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7D6058"/>
  </w:style>
  <w:style w:type="character" w:styleId="Verwijzingopmerking">
    <w:name w:val="annotation reference"/>
    <w:basedOn w:val="Standaardalinea-lettertype"/>
    <w:uiPriority w:val="99"/>
    <w:semiHidden/>
    <w:unhideWhenUsed/>
    <w:rsid w:val="006828F1"/>
    <w:rPr>
      <w:sz w:val="16"/>
      <w:szCs w:val="16"/>
    </w:rPr>
  </w:style>
  <w:style w:type="paragraph" w:styleId="Tekstopmerking">
    <w:name w:val="annotation text"/>
    <w:basedOn w:val="Standaard"/>
    <w:link w:val="TekstopmerkingChar"/>
    <w:uiPriority w:val="99"/>
    <w:unhideWhenUsed/>
    <w:rsid w:val="006828F1"/>
    <w:pPr>
      <w:spacing w:line="240" w:lineRule="auto"/>
    </w:pPr>
    <w:rPr>
      <w:sz w:val="20"/>
      <w:szCs w:val="20"/>
    </w:rPr>
  </w:style>
  <w:style w:type="character" w:customStyle="1" w:styleId="TekstopmerkingChar">
    <w:name w:val="Tekst opmerking Char"/>
    <w:basedOn w:val="Standaardalinea-lettertype"/>
    <w:link w:val="Tekstopmerking"/>
    <w:uiPriority w:val="99"/>
    <w:rsid w:val="006828F1"/>
    <w:rPr>
      <w:sz w:val="20"/>
      <w:szCs w:val="20"/>
    </w:rPr>
  </w:style>
  <w:style w:type="paragraph" w:styleId="Onderwerpvanopmerking">
    <w:name w:val="annotation subject"/>
    <w:basedOn w:val="Tekstopmerking"/>
    <w:next w:val="Tekstopmerking"/>
    <w:link w:val="OnderwerpvanopmerkingChar"/>
    <w:uiPriority w:val="99"/>
    <w:semiHidden/>
    <w:unhideWhenUsed/>
    <w:rsid w:val="006828F1"/>
    <w:rPr>
      <w:b/>
      <w:bCs/>
    </w:rPr>
  </w:style>
  <w:style w:type="character" w:customStyle="1" w:styleId="OnderwerpvanopmerkingChar">
    <w:name w:val="Onderwerp van opmerking Char"/>
    <w:basedOn w:val="TekstopmerkingChar"/>
    <w:link w:val="Onderwerpvanopmerking"/>
    <w:uiPriority w:val="99"/>
    <w:semiHidden/>
    <w:rsid w:val="006828F1"/>
    <w:rPr>
      <w:b/>
      <w:bCs/>
      <w:sz w:val="20"/>
      <w:szCs w:val="20"/>
    </w:rPr>
  </w:style>
  <w:style w:type="paragraph" w:styleId="Revisie">
    <w:name w:val="Revision"/>
    <w:hidden/>
    <w:uiPriority w:val="99"/>
    <w:semiHidden/>
    <w:rsid w:val="002A3F4B"/>
    <w:pPr>
      <w:spacing w:after="0" w:line="240" w:lineRule="auto"/>
    </w:pPr>
  </w:style>
  <w:style w:type="paragraph" w:styleId="Voetnoottekst">
    <w:name w:val="footnote text"/>
    <w:basedOn w:val="Standaard"/>
    <w:link w:val="VoetnoottekstChar"/>
    <w:uiPriority w:val="99"/>
    <w:semiHidden/>
    <w:unhideWhenUsed/>
    <w:rsid w:val="00CE517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5172"/>
    <w:rPr>
      <w:sz w:val="20"/>
      <w:szCs w:val="20"/>
    </w:rPr>
  </w:style>
  <w:style w:type="character" w:styleId="Voetnootmarkering">
    <w:name w:val="footnote reference"/>
    <w:basedOn w:val="Standaardalinea-lettertype"/>
    <w:uiPriority w:val="99"/>
    <w:semiHidden/>
    <w:unhideWhenUsed/>
    <w:rsid w:val="00CE5172"/>
    <w:rPr>
      <w:vertAlign w:val="superscript"/>
    </w:rPr>
  </w:style>
  <w:style w:type="character" w:styleId="Hyperlink">
    <w:name w:val="Hyperlink"/>
    <w:basedOn w:val="Standaardalinea-lettertype"/>
    <w:uiPriority w:val="99"/>
    <w:unhideWhenUsed/>
    <w:rsid w:val="00CE5172"/>
    <w:rPr>
      <w:color w:val="467886" w:themeColor="hyperlink"/>
      <w:u w:val="single"/>
    </w:rPr>
  </w:style>
  <w:style w:type="character" w:styleId="Onopgelostemelding">
    <w:name w:val="Unresolved Mention"/>
    <w:basedOn w:val="Standaardalinea-lettertype"/>
    <w:uiPriority w:val="99"/>
    <w:semiHidden/>
    <w:unhideWhenUsed/>
    <w:rsid w:val="00CE5172"/>
    <w:rPr>
      <w:color w:val="605E5C"/>
      <w:shd w:val="clear" w:color="auto" w:fill="E1DFDD"/>
    </w:rPr>
  </w:style>
  <w:style w:type="paragraph" w:styleId="Koptekst">
    <w:name w:val="header"/>
    <w:basedOn w:val="Standaard"/>
    <w:link w:val="KoptekstChar"/>
    <w:uiPriority w:val="99"/>
    <w:unhideWhenUsed/>
    <w:rsid w:val="00A25E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5E08"/>
  </w:style>
  <w:style w:type="paragraph" w:styleId="Voettekst">
    <w:name w:val="footer"/>
    <w:basedOn w:val="Standaard"/>
    <w:link w:val="VoettekstChar"/>
    <w:uiPriority w:val="99"/>
    <w:unhideWhenUsed/>
    <w:rsid w:val="00A25E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0489">
      <w:bodyDiv w:val="1"/>
      <w:marLeft w:val="0"/>
      <w:marRight w:val="0"/>
      <w:marTop w:val="0"/>
      <w:marBottom w:val="0"/>
      <w:divBdr>
        <w:top w:val="none" w:sz="0" w:space="0" w:color="auto"/>
        <w:left w:val="none" w:sz="0" w:space="0" w:color="auto"/>
        <w:bottom w:val="none" w:sz="0" w:space="0" w:color="auto"/>
        <w:right w:val="none" w:sz="0" w:space="0" w:color="auto"/>
      </w:divBdr>
    </w:div>
    <w:div w:id="475726481">
      <w:bodyDiv w:val="1"/>
      <w:marLeft w:val="0"/>
      <w:marRight w:val="0"/>
      <w:marTop w:val="0"/>
      <w:marBottom w:val="0"/>
      <w:divBdr>
        <w:top w:val="none" w:sz="0" w:space="0" w:color="auto"/>
        <w:left w:val="none" w:sz="0" w:space="0" w:color="auto"/>
        <w:bottom w:val="none" w:sz="0" w:space="0" w:color="auto"/>
        <w:right w:val="none" w:sz="0" w:space="0" w:color="auto"/>
      </w:divBdr>
    </w:div>
    <w:div w:id="685835778">
      <w:bodyDiv w:val="1"/>
      <w:marLeft w:val="0"/>
      <w:marRight w:val="0"/>
      <w:marTop w:val="0"/>
      <w:marBottom w:val="0"/>
      <w:divBdr>
        <w:top w:val="none" w:sz="0" w:space="0" w:color="auto"/>
        <w:left w:val="none" w:sz="0" w:space="0" w:color="auto"/>
        <w:bottom w:val="none" w:sz="0" w:space="0" w:color="auto"/>
        <w:right w:val="none" w:sz="0" w:space="0" w:color="auto"/>
      </w:divBdr>
    </w:div>
    <w:div w:id="913510594">
      <w:bodyDiv w:val="1"/>
      <w:marLeft w:val="0"/>
      <w:marRight w:val="0"/>
      <w:marTop w:val="0"/>
      <w:marBottom w:val="0"/>
      <w:divBdr>
        <w:top w:val="none" w:sz="0" w:space="0" w:color="auto"/>
        <w:left w:val="none" w:sz="0" w:space="0" w:color="auto"/>
        <w:bottom w:val="none" w:sz="0" w:space="0" w:color="auto"/>
        <w:right w:val="none" w:sz="0" w:space="0" w:color="auto"/>
      </w:divBdr>
    </w:div>
    <w:div w:id="1245991765">
      <w:bodyDiv w:val="1"/>
      <w:marLeft w:val="0"/>
      <w:marRight w:val="0"/>
      <w:marTop w:val="0"/>
      <w:marBottom w:val="0"/>
      <w:divBdr>
        <w:top w:val="none" w:sz="0" w:space="0" w:color="auto"/>
        <w:left w:val="none" w:sz="0" w:space="0" w:color="auto"/>
        <w:bottom w:val="none" w:sz="0" w:space="0" w:color="auto"/>
        <w:right w:val="none" w:sz="0" w:space="0" w:color="auto"/>
      </w:divBdr>
    </w:div>
    <w:div w:id="1560246983">
      <w:bodyDiv w:val="1"/>
      <w:marLeft w:val="0"/>
      <w:marRight w:val="0"/>
      <w:marTop w:val="0"/>
      <w:marBottom w:val="0"/>
      <w:divBdr>
        <w:top w:val="none" w:sz="0" w:space="0" w:color="auto"/>
        <w:left w:val="none" w:sz="0" w:space="0" w:color="auto"/>
        <w:bottom w:val="none" w:sz="0" w:space="0" w:color="auto"/>
        <w:right w:val="none" w:sz="0" w:space="0" w:color="auto"/>
      </w:divBdr>
    </w:div>
    <w:div w:id="18515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cf10af0f-034b-4c62-ba22-48c8232afbc4/file" TargetMode="External"/><Relationship Id="rId2" Type="http://schemas.openxmlformats.org/officeDocument/2006/relationships/hyperlink" Target="https://www.wodc.nl/actueel/nieuws/2022/12/15/evaluaties-lokale-aanpak-radicalisering-en-extremisme-staan-nog-in-de-kinderschoenen" TargetMode="External"/><Relationship Id="rId1" Type="http://schemas.openxmlformats.org/officeDocument/2006/relationships/hyperlink" Target="https://www.socialestabiliteit.nl/binaries/sociale-stabiliteit/documenten/rapporten/2021/11/16/rapport-wat-werkt-bij-preventie-van-radicalisering/72919_SZW_NCTV_Rapport+Wat+werkt+bij+preventie+van+radicalisering_V3.pdf" TargetMode="External"/><Relationship Id="rId6" Type="http://schemas.openxmlformats.org/officeDocument/2006/relationships/hyperlink" Target="https://www.socialestabiliteit.nl/actueel/nieuws/2021/11/16/preventie-van-radicalisering-ontdek-wat-werkt" TargetMode="External"/><Relationship Id="rId5" Type="http://schemas.openxmlformats.org/officeDocument/2006/relationships/hyperlink" Target="https://repository.wodc.nl/handle/20.500.12832/3232" TargetMode="External"/><Relationship Id="rId4" Type="http://schemas.openxmlformats.org/officeDocument/2006/relationships/hyperlink" Target="https://www.wodc.nl/actueel/nieuws/2025/07/03/tegengaan-van-radicalisering-vergt-maatwerk-op-individueel-niveau-en-bij-samenwerking-tussen-ketenpartn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1434</ap:Words>
  <ap:Characters>7891</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2025-11-19T13:35:00.0000000Z</dcterms:created>
  <dcterms:modified xsi:type="dcterms:W3CDTF">2025-11-19T13:35:00.0000000Z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2025-10-23T11:23:22Z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9c4b096e-e1de-471d-85ef-ac6dea6133e6</vt:lpwstr>
  </property>
  <property fmtid="{D5CDD505-2E9C-101B-9397-08002B2CF9AE}" pid="8" name="MSIP_Label_f5339f15-c483-4670-87f9-f365ba551dce_ContentBits">
    <vt:lpwstr>0</vt:lpwstr>
  </property>
</Properties>
</file>