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2026A" w:rsidR="00686E88" w:rsidP="00686E88" w:rsidRDefault="00686E88" w14:paraId="18B16A09" w14:textId="77777777">
      <w:pPr>
        <w:rPr>
          <w:rFonts w:ascii="Verdana" w:hAnsi="Verdana"/>
          <w:b/>
          <w:bCs/>
          <w:sz w:val="20"/>
          <w:szCs w:val="20"/>
        </w:rPr>
      </w:pPr>
      <w:bookmarkStart w:name="_GoBack" w:id="0"/>
      <w:bookmarkEnd w:id="0"/>
      <w:r w:rsidRPr="0082026A">
        <w:rPr>
          <w:rFonts w:ascii="Verdana" w:hAnsi="Verdana"/>
          <w:b/>
          <w:bCs/>
          <w:sz w:val="20"/>
          <w:szCs w:val="20"/>
        </w:rPr>
        <w:t>Kamerstukken 36 800-XII (Begroting Infrastructuur en Waterstaat 2026)</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33"/>
        <w:gridCol w:w="31"/>
        <w:gridCol w:w="8308"/>
      </w:tblGrid>
      <w:tr w:rsidRPr="0082026A" w:rsidR="00686E88" w:rsidTr="00CE20D1" w14:paraId="2A45DB9B" w14:textId="77777777">
        <w:tc>
          <w:tcPr>
            <w:tcW w:w="851" w:type="dxa"/>
            <w:gridSpan w:val="2"/>
          </w:tcPr>
          <w:p w:rsidRPr="0082026A" w:rsidR="00686E88" w:rsidP="00CE20D1" w:rsidRDefault="00686E88" w14:paraId="693DAA51" w14:textId="77777777">
            <w:pPr>
              <w:rPr>
                <w:rFonts w:ascii="Verdana" w:hAnsi="Verdana"/>
                <w:sz w:val="18"/>
                <w:szCs w:val="18"/>
              </w:rPr>
            </w:pPr>
            <w:r w:rsidRPr="0082026A">
              <w:rPr>
                <w:rFonts w:ascii="Verdana" w:hAnsi="Verdana"/>
                <w:sz w:val="18"/>
                <w:szCs w:val="18"/>
              </w:rPr>
              <w:t>Vraag</w:t>
            </w:r>
          </w:p>
        </w:tc>
        <w:tc>
          <w:tcPr>
            <w:tcW w:w="8221" w:type="dxa"/>
          </w:tcPr>
          <w:p w:rsidRPr="0082026A" w:rsidR="00686E88" w:rsidP="00CE20D1" w:rsidRDefault="00686E88" w14:paraId="7DBBD777" w14:textId="77777777">
            <w:pPr>
              <w:rPr>
                <w:rFonts w:ascii="Verdana" w:hAnsi="Verdana"/>
                <w:sz w:val="18"/>
                <w:szCs w:val="18"/>
              </w:rPr>
            </w:pPr>
          </w:p>
        </w:tc>
      </w:tr>
      <w:tr w:rsidRPr="0082026A" w:rsidR="00686E88" w:rsidTr="00CE20D1" w14:paraId="0645F74B" w14:textId="77777777">
        <w:tc>
          <w:tcPr>
            <w:tcW w:w="0" w:type="auto"/>
          </w:tcPr>
          <w:p w:rsidRPr="0082026A" w:rsidR="00686E88" w:rsidP="00CE20D1" w:rsidRDefault="00686E88" w14:paraId="55068806" w14:textId="77777777">
            <w:pPr>
              <w:rPr>
                <w:rFonts w:ascii="Verdana" w:hAnsi="Verdana"/>
                <w:sz w:val="18"/>
                <w:szCs w:val="18"/>
              </w:rPr>
            </w:pPr>
            <w:r w:rsidRPr="0082026A">
              <w:rPr>
                <w:rFonts w:ascii="Verdana" w:hAnsi="Verdana"/>
                <w:sz w:val="18"/>
                <w:szCs w:val="18"/>
              </w:rPr>
              <w:t>1</w:t>
            </w:r>
          </w:p>
        </w:tc>
        <w:tc>
          <w:tcPr>
            <w:tcW w:w="0" w:type="auto"/>
            <w:gridSpan w:val="2"/>
          </w:tcPr>
          <w:p w:rsidRPr="0082026A" w:rsidR="00686E88" w:rsidP="00CE20D1" w:rsidRDefault="00686E88" w14:paraId="769D294A" w14:textId="77777777">
            <w:pPr>
              <w:rPr>
                <w:rFonts w:ascii="Verdana" w:hAnsi="Verdana"/>
                <w:sz w:val="18"/>
                <w:szCs w:val="18"/>
              </w:rPr>
            </w:pPr>
            <w:r w:rsidRPr="0082026A">
              <w:rPr>
                <w:rFonts w:ascii="Verdana" w:hAnsi="Verdana"/>
                <w:b/>
                <w:sz w:val="18"/>
                <w:szCs w:val="18"/>
              </w:rPr>
              <w:t>Vraag:</w:t>
            </w:r>
            <w:r w:rsidRPr="0082026A">
              <w:rPr>
                <w:rFonts w:ascii="Verdana" w:hAnsi="Verdana"/>
                <w:sz w:val="18"/>
                <w:szCs w:val="18"/>
              </w:rPr>
              <w:br/>
              <w:t>Kunt u een concreet overzicht geven van de uitwerking van de 22 procent bezuiniging op apparaatslasten vanuit het regeerprogramma? Graag in een tabel waarin is aangegeven op welke organisaties of organisatieonderdelen deze bezuiniging neerslaat, en per organisatieonderdeel hoeveel externe inhuur teruggedrongen wordt, hoeveel fte verdwijnen en welk type functies het daar betreft.</w:t>
            </w:r>
            <w:r w:rsidRPr="0082026A">
              <w:rPr>
                <w:rFonts w:ascii="Verdana" w:hAnsi="Verdana"/>
                <w:sz w:val="18"/>
                <w:szCs w:val="18"/>
              </w:rPr>
              <w:br/>
            </w:r>
            <w:r w:rsidRPr="0082026A">
              <w:rPr>
                <w:rFonts w:ascii="Verdana" w:hAnsi="Verdana"/>
                <w:sz w:val="18"/>
                <w:szCs w:val="18"/>
              </w:rPr>
              <w:br/>
            </w:r>
            <w:r w:rsidRPr="0082026A">
              <w:rPr>
                <w:rFonts w:ascii="Verdana" w:hAnsi="Verdana"/>
                <w:b/>
                <w:sz w:val="18"/>
                <w:szCs w:val="18"/>
              </w:rPr>
              <w:t>Antwoord:</w:t>
            </w:r>
            <w:r w:rsidRPr="0082026A">
              <w:rPr>
                <w:rFonts w:ascii="Verdana" w:hAnsi="Verdana"/>
                <w:sz w:val="18"/>
                <w:szCs w:val="18"/>
              </w:rPr>
              <w:br/>
              <w:t xml:space="preserve">De apparaatstaakstelling bedraagt € 22,8 miljoen in 2025 en loopt op tot € 90,3 miljoen structureel vanaf 2029. De focus bij de verdeling van de taakstelling lag op het maken van heldere keuzes; het behouden van een balans tussen beleid, uitvoering, inspectie, kennis, staf en bedrijfsvoering; en het bijdragen aan de visie waar IenW voor staat. Hierbij is het uitgangspunt dat alle onderdelen bijdragen in het kader van solidariteit, maar dat de uitvoering zoveel mogelijk wordt ontzien. Deze besluitvorming resulteert in een bezuiniging op het apparaat van het kerndepartement van 9,7% vanaf 2029 en op het apparaatsbudget van de overige organisatieonderdelen wordt stapsgewijs 0,5% per jaar bezuinigd, oplopend tot 2,5% structureel in 2029. Deze verwerking van de taakstelling genereert een opbrengst die gelijk staat aan de financiële opgave die voor IenW voortvloeit uit het </w:t>
            </w:r>
            <w:r>
              <w:rPr>
                <w:rFonts w:ascii="Verdana" w:hAnsi="Verdana"/>
                <w:sz w:val="18"/>
                <w:szCs w:val="18"/>
              </w:rPr>
              <w:t>Hoofdlijnenakkoord (</w:t>
            </w:r>
            <w:r w:rsidRPr="0082026A">
              <w:rPr>
                <w:rFonts w:ascii="Verdana" w:hAnsi="Verdana"/>
                <w:sz w:val="18"/>
                <w:szCs w:val="18"/>
              </w:rPr>
              <w:t>HLA</w:t>
            </w:r>
            <w:r>
              <w:rPr>
                <w:rFonts w:ascii="Verdana" w:hAnsi="Verdana"/>
                <w:sz w:val="18"/>
                <w:szCs w:val="18"/>
              </w:rPr>
              <w:t>)</w:t>
            </w:r>
            <w:r w:rsidRPr="0082026A">
              <w:rPr>
                <w:rFonts w:ascii="Verdana" w:hAnsi="Verdana"/>
                <w:sz w:val="18"/>
                <w:szCs w:val="18"/>
              </w:rPr>
              <w:t>.</w:t>
            </w:r>
            <w:r w:rsidRPr="0082026A">
              <w:rPr>
                <w:rFonts w:ascii="Verdana" w:hAnsi="Verdana"/>
                <w:sz w:val="18"/>
                <w:szCs w:val="18"/>
              </w:rPr>
              <w:br/>
            </w:r>
            <w:r w:rsidRPr="0082026A">
              <w:rPr>
                <w:rFonts w:ascii="Verdana" w:hAnsi="Verdana"/>
                <w:sz w:val="18"/>
                <w:szCs w:val="18"/>
              </w:rPr>
              <w:br/>
              <w:t>In tabel</w:t>
            </w:r>
            <w:r>
              <w:rPr>
                <w:rFonts w:ascii="Verdana" w:hAnsi="Verdana"/>
                <w:sz w:val="18"/>
                <w:szCs w:val="18"/>
              </w:rPr>
              <w:t xml:space="preserve"> 1 (bijlage)</w:t>
            </w:r>
            <w:r w:rsidRPr="0082026A">
              <w:rPr>
                <w:rFonts w:ascii="Verdana" w:hAnsi="Verdana"/>
                <w:sz w:val="18"/>
                <w:szCs w:val="18"/>
              </w:rPr>
              <w:t xml:space="preserve"> is aangegeven hoe de bezuiniging op apparaatslasten vanuit het regeerprogramma voor Hoofdstuk XII neerslaat op de organisatie.</w:t>
            </w:r>
            <w:r w:rsidRPr="0082026A">
              <w:rPr>
                <w:rFonts w:ascii="Verdana" w:hAnsi="Verdana"/>
                <w:sz w:val="18"/>
                <w:szCs w:val="18"/>
              </w:rPr>
              <w:br/>
            </w:r>
          </w:p>
        </w:tc>
      </w:tr>
      <w:tr w:rsidRPr="0082026A" w:rsidR="00686E88" w:rsidTr="00CE20D1" w14:paraId="0BD0B4F2" w14:textId="77777777">
        <w:tc>
          <w:tcPr>
            <w:tcW w:w="0" w:type="auto"/>
          </w:tcPr>
          <w:p w:rsidRPr="0082026A" w:rsidR="00686E88" w:rsidP="00CE20D1" w:rsidRDefault="00686E88" w14:paraId="452CB204" w14:textId="77777777">
            <w:pPr>
              <w:rPr>
                <w:rFonts w:ascii="Verdana" w:hAnsi="Verdana"/>
                <w:sz w:val="18"/>
                <w:szCs w:val="18"/>
              </w:rPr>
            </w:pPr>
            <w:r w:rsidRPr="0082026A">
              <w:rPr>
                <w:rFonts w:ascii="Verdana" w:hAnsi="Verdana"/>
                <w:sz w:val="18"/>
                <w:szCs w:val="18"/>
              </w:rPr>
              <w:t>2</w:t>
            </w:r>
          </w:p>
        </w:tc>
        <w:tc>
          <w:tcPr>
            <w:tcW w:w="0" w:type="auto"/>
            <w:gridSpan w:val="2"/>
          </w:tcPr>
          <w:p w:rsidRPr="0082026A" w:rsidR="00686E88" w:rsidP="00CE20D1" w:rsidRDefault="00686E88" w14:paraId="5EB61F04" w14:textId="77777777">
            <w:pPr>
              <w:rPr>
                <w:rFonts w:ascii="Verdana" w:hAnsi="Verdana"/>
                <w:sz w:val="18"/>
                <w:szCs w:val="18"/>
              </w:rPr>
            </w:pPr>
            <w:r w:rsidRPr="0082026A">
              <w:rPr>
                <w:rFonts w:ascii="Verdana" w:hAnsi="Verdana"/>
                <w:b/>
                <w:sz w:val="18"/>
                <w:szCs w:val="18"/>
              </w:rPr>
              <w:t>Vraag:</w:t>
            </w:r>
            <w:r w:rsidRPr="0082026A">
              <w:rPr>
                <w:rFonts w:ascii="Verdana" w:hAnsi="Verdana"/>
                <w:sz w:val="18"/>
                <w:szCs w:val="18"/>
              </w:rPr>
              <w:br/>
              <w:t>Lopen er gesprekken met de NS om de prijsstijging van treinkaarten in 2026 te voorkomen? Hoeveel zou het kosten om de prijsstijging te voorkomen?</w:t>
            </w:r>
            <w:r w:rsidRPr="0082026A">
              <w:rPr>
                <w:rFonts w:ascii="Verdana" w:hAnsi="Verdana"/>
                <w:sz w:val="18"/>
                <w:szCs w:val="18"/>
              </w:rPr>
              <w:br/>
            </w:r>
            <w:r w:rsidRPr="0082026A">
              <w:rPr>
                <w:rFonts w:ascii="Verdana" w:hAnsi="Verdana"/>
                <w:sz w:val="18"/>
                <w:szCs w:val="18"/>
              </w:rPr>
              <w:br/>
            </w:r>
            <w:r w:rsidRPr="0082026A">
              <w:rPr>
                <w:rFonts w:ascii="Verdana" w:hAnsi="Verdana"/>
                <w:b/>
                <w:sz w:val="18"/>
                <w:szCs w:val="18"/>
              </w:rPr>
              <w:t>Antwoord:</w:t>
            </w:r>
            <w:r w:rsidRPr="0082026A">
              <w:rPr>
                <w:rFonts w:ascii="Verdana" w:hAnsi="Verdana"/>
                <w:sz w:val="18"/>
                <w:szCs w:val="18"/>
              </w:rPr>
              <w:br/>
              <w:t>Eerder dit jaar hebben er gesprekken met NS plaatsgevonden over de tariefontwikkeling in de komende jaren. De Kamer is op 16 juli jl. over de uitkomsten geïnformeerd (Kamerstuk</w:t>
            </w:r>
            <w:r>
              <w:rPr>
                <w:rFonts w:ascii="Verdana" w:hAnsi="Verdana"/>
                <w:sz w:val="18"/>
                <w:szCs w:val="18"/>
              </w:rPr>
              <w:t>ken</w:t>
            </w:r>
            <w:r w:rsidRPr="0082026A">
              <w:rPr>
                <w:rFonts w:ascii="Verdana" w:hAnsi="Verdana"/>
                <w:sz w:val="18"/>
                <w:szCs w:val="18"/>
              </w:rPr>
              <w:t xml:space="preserve"> 29 984, nr. 1260).  Waar eerst in 2026 een stijging van de NS-tarieven van ca. 12% werd voorzien, is het gelukt om dit terug te brengen tot </w:t>
            </w:r>
            <w:r>
              <w:rPr>
                <w:rFonts w:ascii="Verdana" w:hAnsi="Verdana"/>
                <w:sz w:val="18"/>
                <w:szCs w:val="18"/>
              </w:rPr>
              <w:t>circa</w:t>
            </w:r>
            <w:r w:rsidRPr="0082026A">
              <w:rPr>
                <w:rFonts w:ascii="Verdana" w:hAnsi="Verdana"/>
                <w:sz w:val="18"/>
                <w:szCs w:val="18"/>
              </w:rPr>
              <w:t xml:space="preserve"> 6% tot 9%. NS maakt het tariefbesluit voor 2026 in november bekend. </w:t>
            </w:r>
            <w:r w:rsidRPr="0082026A">
              <w:rPr>
                <w:rFonts w:ascii="Verdana" w:hAnsi="Verdana"/>
                <w:sz w:val="18"/>
                <w:szCs w:val="18"/>
              </w:rPr>
              <w:br/>
            </w:r>
            <w:r w:rsidRPr="0082026A">
              <w:rPr>
                <w:rFonts w:ascii="Verdana" w:hAnsi="Verdana"/>
                <w:sz w:val="18"/>
                <w:szCs w:val="18"/>
              </w:rPr>
              <w:br/>
              <w:t xml:space="preserve">Om de verwachte tariefstijging in 2026 volledig tot nul terug te brengen, inclusief de reguliere tariefstijging op basis van inflatie, kost dat </w:t>
            </w:r>
            <w:r>
              <w:rPr>
                <w:rFonts w:ascii="Verdana" w:hAnsi="Verdana"/>
                <w:sz w:val="18"/>
                <w:szCs w:val="18"/>
              </w:rPr>
              <w:t>ongeveer</w:t>
            </w:r>
            <w:r w:rsidRPr="0082026A">
              <w:rPr>
                <w:rFonts w:ascii="Verdana" w:hAnsi="Verdana"/>
                <w:sz w:val="18"/>
                <w:szCs w:val="18"/>
              </w:rPr>
              <w:t xml:space="preserve"> € 85 miljoen (bij 6%) tot € 130 miljoen (bij 9%) per jaar (prijspeil 2025). Het blijvend afwenden van prijsstijgingen kan alleen met structurele middelen. Als incidentele middelen worden ingezet, wordt de tariefstijging niet voorkomen, maar wordt deze met een jaar opgeschoven. In het jaar daarop </w:t>
            </w:r>
            <w:r>
              <w:rPr>
                <w:rFonts w:ascii="Verdana" w:hAnsi="Verdana"/>
                <w:sz w:val="18"/>
                <w:szCs w:val="18"/>
              </w:rPr>
              <w:t>moet</w:t>
            </w:r>
            <w:r w:rsidRPr="0082026A">
              <w:rPr>
                <w:rFonts w:ascii="Verdana" w:hAnsi="Verdana"/>
                <w:sz w:val="18"/>
                <w:szCs w:val="18"/>
              </w:rPr>
              <w:t xml:space="preserve"> de doorgeschoven tariefstijging</w:t>
            </w:r>
            <w:r>
              <w:rPr>
                <w:rFonts w:ascii="Verdana" w:hAnsi="Verdana"/>
                <w:sz w:val="18"/>
                <w:szCs w:val="18"/>
              </w:rPr>
              <w:t xml:space="preserve"> dan opgeteld worden bij</w:t>
            </w:r>
            <w:r w:rsidRPr="0082026A">
              <w:rPr>
                <w:rFonts w:ascii="Verdana" w:hAnsi="Verdana"/>
                <w:sz w:val="18"/>
                <w:szCs w:val="18"/>
              </w:rPr>
              <w:t xml:space="preserve"> de tariefstijging op dat moment.</w:t>
            </w:r>
            <w:r w:rsidRPr="0082026A">
              <w:rPr>
                <w:rFonts w:ascii="Verdana" w:hAnsi="Verdana"/>
                <w:sz w:val="18"/>
                <w:szCs w:val="18"/>
              </w:rPr>
              <w:br/>
            </w:r>
          </w:p>
        </w:tc>
      </w:tr>
      <w:tr w:rsidRPr="0082026A" w:rsidR="00686E88" w:rsidTr="00CE20D1" w14:paraId="281EBF6B" w14:textId="77777777">
        <w:tc>
          <w:tcPr>
            <w:tcW w:w="0" w:type="auto"/>
          </w:tcPr>
          <w:p w:rsidRPr="0082026A" w:rsidR="00686E88" w:rsidP="00CE20D1" w:rsidRDefault="00686E88" w14:paraId="60BA6F3E" w14:textId="77777777">
            <w:pPr>
              <w:rPr>
                <w:rFonts w:ascii="Verdana" w:hAnsi="Verdana"/>
                <w:sz w:val="18"/>
                <w:szCs w:val="18"/>
              </w:rPr>
            </w:pPr>
            <w:r w:rsidRPr="0082026A">
              <w:rPr>
                <w:rFonts w:ascii="Verdana" w:hAnsi="Verdana"/>
                <w:sz w:val="18"/>
                <w:szCs w:val="18"/>
              </w:rPr>
              <w:t>3</w:t>
            </w:r>
          </w:p>
        </w:tc>
        <w:tc>
          <w:tcPr>
            <w:tcW w:w="0" w:type="auto"/>
            <w:gridSpan w:val="2"/>
          </w:tcPr>
          <w:p w:rsidRPr="0082026A" w:rsidR="00686E88" w:rsidP="00CE20D1" w:rsidRDefault="00686E88" w14:paraId="6B4A9ABA" w14:textId="77777777">
            <w:pPr>
              <w:rPr>
                <w:rFonts w:ascii="Verdana" w:hAnsi="Verdana"/>
                <w:sz w:val="18"/>
                <w:szCs w:val="18"/>
              </w:rPr>
            </w:pPr>
            <w:r w:rsidRPr="0082026A">
              <w:rPr>
                <w:rFonts w:ascii="Verdana" w:hAnsi="Verdana"/>
                <w:b/>
                <w:sz w:val="18"/>
                <w:szCs w:val="18"/>
              </w:rPr>
              <w:t>Vraag:</w:t>
            </w:r>
            <w:r w:rsidRPr="0082026A">
              <w:rPr>
                <w:rFonts w:ascii="Verdana" w:hAnsi="Verdana"/>
                <w:sz w:val="18"/>
                <w:szCs w:val="18"/>
              </w:rPr>
              <w:br/>
              <w:t>Hoeveel zou het kosten om de btw op openbaar vervoer op nihil te stellen?</w:t>
            </w:r>
            <w:r w:rsidRPr="0082026A">
              <w:rPr>
                <w:rFonts w:ascii="Verdana" w:hAnsi="Verdana"/>
                <w:sz w:val="18"/>
                <w:szCs w:val="18"/>
              </w:rPr>
              <w:br/>
            </w:r>
            <w:r w:rsidRPr="0082026A">
              <w:rPr>
                <w:rFonts w:ascii="Verdana" w:hAnsi="Verdana"/>
                <w:sz w:val="18"/>
                <w:szCs w:val="18"/>
              </w:rPr>
              <w:br/>
            </w:r>
            <w:r w:rsidRPr="0082026A">
              <w:rPr>
                <w:rFonts w:ascii="Verdana" w:hAnsi="Verdana"/>
                <w:b/>
                <w:sz w:val="18"/>
                <w:szCs w:val="18"/>
              </w:rPr>
              <w:t>Antwoord:</w:t>
            </w:r>
            <w:r w:rsidRPr="0082026A">
              <w:rPr>
                <w:rFonts w:ascii="Verdana" w:hAnsi="Verdana"/>
                <w:sz w:val="18"/>
                <w:szCs w:val="18"/>
              </w:rPr>
              <w:br/>
              <w:t>Deze kosten worden ingeschat op circa € 350 miljoen per jaar.</w:t>
            </w:r>
            <w:r w:rsidRPr="0082026A">
              <w:rPr>
                <w:rFonts w:ascii="Verdana" w:hAnsi="Verdana"/>
                <w:sz w:val="18"/>
                <w:szCs w:val="18"/>
              </w:rPr>
              <w:br/>
            </w:r>
          </w:p>
        </w:tc>
      </w:tr>
      <w:tr w:rsidRPr="0082026A" w:rsidR="00686E88" w:rsidTr="00CE20D1" w14:paraId="15601693" w14:textId="77777777">
        <w:tc>
          <w:tcPr>
            <w:tcW w:w="0" w:type="auto"/>
          </w:tcPr>
          <w:p w:rsidRPr="0082026A" w:rsidR="00686E88" w:rsidP="00CE20D1" w:rsidRDefault="00686E88" w14:paraId="3EA22A70" w14:textId="77777777">
            <w:pPr>
              <w:rPr>
                <w:rFonts w:ascii="Verdana" w:hAnsi="Verdana"/>
                <w:sz w:val="18"/>
                <w:szCs w:val="18"/>
              </w:rPr>
            </w:pPr>
            <w:r w:rsidRPr="0082026A">
              <w:rPr>
                <w:rFonts w:ascii="Verdana" w:hAnsi="Verdana"/>
                <w:sz w:val="18"/>
                <w:szCs w:val="18"/>
              </w:rPr>
              <w:t>4</w:t>
            </w:r>
          </w:p>
        </w:tc>
        <w:tc>
          <w:tcPr>
            <w:tcW w:w="0" w:type="auto"/>
            <w:gridSpan w:val="2"/>
          </w:tcPr>
          <w:p w:rsidRPr="0082026A" w:rsidR="00686E88" w:rsidP="00CE20D1" w:rsidRDefault="00686E88" w14:paraId="6E42D7DC" w14:textId="77777777">
            <w:pPr>
              <w:rPr>
                <w:rFonts w:ascii="Verdana" w:hAnsi="Verdana"/>
                <w:sz w:val="18"/>
                <w:szCs w:val="18"/>
              </w:rPr>
            </w:pPr>
            <w:r w:rsidRPr="0082026A">
              <w:rPr>
                <w:rFonts w:ascii="Verdana" w:hAnsi="Verdana"/>
                <w:b/>
                <w:sz w:val="18"/>
                <w:szCs w:val="18"/>
              </w:rPr>
              <w:t>Vraag:</w:t>
            </w:r>
            <w:r w:rsidRPr="0082026A">
              <w:rPr>
                <w:rFonts w:ascii="Verdana" w:hAnsi="Verdana"/>
                <w:sz w:val="18"/>
                <w:szCs w:val="18"/>
              </w:rPr>
              <w:br/>
              <w:t>Hoeveel zou het kosten om de prijzen in het openbaar vervoer met 10 procent te verlagen?</w:t>
            </w:r>
            <w:r w:rsidRPr="0082026A">
              <w:rPr>
                <w:rFonts w:ascii="Verdana" w:hAnsi="Verdana"/>
                <w:sz w:val="18"/>
                <w:szCs w:val="18"/>
              </w:rPr>
              <w:br/>
            </w:r>
            <w:r w:rsidRPr="0082026A">
              <w:rPr>
                <w:rFonts w:ascii="Verdana" w:hAnsi="Verdana"/>
                <w:sz w:val="18"/>
                <w:szCs w:val="18"/>
              </w:rPr>
              <w:br/>
            </w:r>
            <w:r w:rsidRPr="0082026A">
              <w:rPr>
                <w:rFonts w:ascii="Verdana" w:hAnsi="Verdana"/>
                <w:b/>
                <w:sz w:val="18"/>
                <w:szCs w:val="18"/>
              </w:rPr>
              <w:t>Antwoord:</w:t>
            </w:r>
            <w:r w:rsidRPr="0082026A">
              <w:rPr>
                <w:rFonts w:ascii="Verdana" w:hAnsi="Verdana"/>
                <w:sz w:val="18"/>
                <w:szCs w:val="18"/>
              </w:rPr>
              <w:br/>
              <w:t>Op basis van het globale beeld zoals geschetst in het antwoord op vraag 7, wordt dit ingeschat op circa € 360 miljoen per jaar (10% van de reizigersinkomsten). Hierbij is nog geen rekening gehouden met gedragseffecten.</w:t>
            </w:r>
            <w:r w:rsidRPr="0082026A">
              <w:rPr>
                <w:rFonts w:ascii="Verdana" w:hAnsi="Verdana"/>
                <w:sz w:val="18"/>
                <w:szCs w:val="18"/>
              </w:rPr>
              <w:br/>
            </w:r>
          </w:p>
        </w:tc>
      </w:tr>
      <w:tr w:rsidRPr="0082026A" w:rsidR="00686E88" w:rsidTr="00CE20D1" w14:paraId="195B6E72" w14:textId="77777777">
        <w:tc>
          <w:tcPr>
            <w:tcW w:w="0" w:type="auto"/>
          </w:tcPr>
          <w:p w:rsidRPr="0082026A" w:rsidR="00686E88" w:rsidP="00CE20D1" w:rsidRDefault="00686E88" w14:paraId="224EBE6D" w14:textId="77777777">
            <w:pPr>
              <w:rPr>
                <w:rFonts w:ascii="Verdana" w:hAnsi="Verdana"/>
                <w:sz w:val="18"/>
                <w:szCs w:val="18"/>
              </w:rPr>
            </w:pPr>
            <w:r w:rsidRPr="0082026A">
              <w:rPr>
                <w:rFonts w:ascii="Verdana" w:hAnsi="Verdana"/>
                <w:sz w:val="18"/>
                <w:szCs w:val="18"/>
              </w:rPr>
              <w:t>5</w:t>
            </w:r>
          </w:p>
        </w:tc>
        <w:tc>
          <w:tcPr>
            <w:tcW w:w="0" w:type="auto"/>
            <w:gridSpan w:val="2"/>
          </w:tcPr>
          <w:p w:rsidRPr="0082026A" w:rsidR="00686E88" w:rsidP="00CE20D1" w:rsidRDefault="00686E88" w14:paraId="41EC17D7" w14:textId="77777777">
            <w:pPr>
              <w:rPr>
                <w:rFonts w:ascii="Verdana" w:hAnsi="Verdana"/>
                <w:sz w:val="18"/>
                <w:szCs w:val="18"/>
              </w:rPr>
            </w:pPr>
            <w:r w:rsidRPr="0082026A">
              <w:rPr>
                <w:rFonts w:ascii="Verdana" w:hAnsi="Verdana"/>
                <w:b/>
                <w:sz w:val="18"/>
                <w:szCs w:val="18"/>
              </w:rPr>
              <w:t>Vraag:</w:t>
            </w:r>
            <w:r w:rsidRPr="0082026A">
              <w:rPr>
                <w:rFonts w:ascii="Verdana" w:hAnsi="Verdana"/>
                <w:sz w:val="18"/>
                <w:szCs w:val="18"/>
              </w:rPr>
              <w:br/>
              <w:t>Hoeveel zou het kosten om de prijzen in het openbaar vervoer met 25 procent te verlagen?</w:t>
            </w:r>
            <w:r w:rsidRPr="0082026A">
              <w:rPr>
                <w:rFonts w:ascii="Verdana" w:hAnsi="Verdana"/>
                <w:sz w:val="18"/>
                <w:szCs w:val="18"/>
              </w:rPr>
              <w:br/>
            </w:r>
            <w:r w:rsidRPr="0082026A">
              <w:rPr>
                <w:rFonts w:ascii="Verdana" w:hAnsi="Verdana"/>
                <w:sz w:val="18"/>
                <w:szCs w:val="18"/>
              </w:rPr>
              <w:lastRenderedPageBreak/>
              <w:br/>
            </w:r>
            <w:r w:rsidRPr="0082026A">
              <w:rPr>
                <w:rFonts w:ascii="Verdana" w:hAnsi="Verdana"/>
                <w:b/>
                <w:sz w:val="18"/>
                <w:szCs w:val="18"/>
              </w:rPr>
              <w:t>Antwoord:</w:t>
            </w:r>
            <w:r w:rsidRPr="0082026A">
              <w:rPr>
                <w:rFonts w:ascii="Verdana" w:hAnsi="Verdana"/>
                <w:sz w:val="18"/>
                <w:szCs w:val="18"/>
              </w:rPr>
              <w:br/>
              <w:t>Op basis van het globale beeld zoals geschetst in het antwoord op vraag 7, wordt dit ingeschat op circa € 0,9 miljard per jaar (25% van de reizigersinkomsten). Hierbij is nog geen rekening gehouden met gedragseffecten.</w:t>
            </w:r>
            <w:r w:rsidRPr="0082026A">
              <w:rPr>
                <w:rFonts w:ascii="Verdana" w:hAnsi="Verdana"/>
                <w:sz w:val="18"/>
                <w:szCs w:val="18"/>
              </w:rPr>
              <w:br/>
            </w:r>
          </w:p>
        </w:tc>
      </w:tr>
      <w:tr w:rsidRPr="0082026A" w:rsidR="00686E88" w:rsidTr="00CE20D1" w14:paraId="277FB062" w14:textId="77777777">
        <w:tc>
          <w:tcPr>
            <w:tcW w:w="0" w:type="auto"/>
          </w:tcPr>
          <w:p w:rsidRPr="0082026A" w:rsidR="00686E88" w:rsidP="00CE20D1" w:rsidRDefault="00686E88" w14:paraId="63A8CEFF" w14:textId="77777777">
            <w:pPr>
              <w:rPr>
                <w:rFonts w:ascii="Verdana" w:hAnsi="Verdana"/>
                <w:sz w:val="18"/>
                <w:szCs w:val="18"/>
              </w:rPr>
            </w:pPr>
            <w:r w:rsidRPr="0082026A">
              <w:rPr>
                <w:rFonts w:ascii="Verdana" w:hAnsi="Verdana"/>
                <w:sz w:val="18"/>
                <w:szCs w:val="18"/>
              </w:rPr>
              <w:lastRenderedPageBreak/>
              <w:t>6</w:t>
            </w:r>
          </w:p>
        </w:tc>
        <w:tc>
          <w:tcPr>
            <w:tcW w:w="0" w:type="auto"/>
            <w:gridSpan w:val="2"/>
          </w:tcPr>
          <w:p w:rsidRPr="0082026A" w:rsidR="00686E88" w:rsidP="00CE20D1" w:rsidRDefault="00686E88" w14:paraId="5E1A06B2" w14:textId="77777777">
            <w:pPr>
              <w:rPr>
                <w:rFonts w:ascii="Verdana" w:hAnsi="Verdana"/>
                <w:sz w:val="18"/>
                <w:szCs w:val="18"/>
              </w:rPr>
            </w:pPr>
            <w:r w:rsidRPr="0082026A">
              <w:rPr>
                <w:rFonts w:ascii="Verdana" w:hAnsi="Verdana"/>
                <w:b/>
                <w:sz w:val="18"/>
                <w:szCs w:val="18"/>
              </w:rPr>
              <w:t>Vraag:</w:t>
            </w:r>
            <w:r w:rsidRPr="0082026A">
              <w:rPr>
                <w:rFonts w:ascii="Verdana" w:hAnsi="Verdana"/>
                <w:sz w:val="18"/>
                <w:szCs w:val="18"/>
              </w:rPr>
              <w:br/>
              <w:t>Hoeveel zou het kosten om de prijzen in het openbaar vervoer met 50 procent te verlagen?</w:t>
            </w:r>
            <w:r w:rsidRPr="0082026A">
              <w:rPr>
                <w:rFonts w:ascii="Verdana" w:hAnsi="Verdana"/>
                <w:sz w:val="18"/>
                <w:szCs w:val="18"/>
              </w:rPr>
              <w:br/>
            </w:r>
            <w:r w:rsidRPr="0082026A">
              <w:rPr>
                <w:rFonts w:ascii="Verdana" w:hAnsi="Verdana"/>
                <w:sz w:val="18"/>
                <w:szCs w:val="18"/>
              </w:rPr>
              <w:br/>
            </w:r>
            <w:r w:rsidRPr="0082026A">
              <w:rPr>
                <w:rFonts w:ascii="Verdana" w:hAnsi="Verdana"/>
                <w:b/>
                <w:sz w:val="18"/>
                <w:szCs w:val="18"/>
              </w:rPr>
              <w:t>Antwoord:</w:t>
            </w:r>
            <w:r w:rsidRPr="0082026A">
              <w:rPr>
                <w:rFonts w:ascii="Verdana" w:hAnsi="Verdana"/>
                <w:sz w:val="18"/>
                <w:szCs w:val="18"/>
              </w:rPr>
              <w:br/>
              <w:t>Op basis van het globale beeld zoals geschetst in het antwoord op vraag 7, wordt dit ingeschat op circa € 1,8 miljard per jaar (halvering reizigersinkomsten). Hierbij is nog geen rekening gehouden met gedragseffecten.</w:t>
            </w:r>
            <w:r w:rsidRPr="0082026A">
              <w:rPr>
                <w:rFonts w:ascii="Verdana" w:hAnsi="Verdana"/>
                <w:sz w:val="18"/>
                <w:szCs w:val="18"/>
              </w:rPr>
              <w:br/>
            </w:r>
          </w:p>
        </w:tc>
      </w:tr>
      <w:tr w:rsidRPr="0082026A" w:rsidR="00686E88" w:rsidTr="00CE20D1" w14:paraId="19DA6C94" w14:textId="77777777">
        <w:tc>
          <w:tcPr>
            <w:tcW w:w="0" w:type="auto"/>
          </w:tcPr>
          <w:p w:rsidRPr="0082026A" w:rsidR="00686E88" w:rsidP="00CE20D1" w:rsidRDefault="00686E88" w14:paraId="689E71A5" w14:textId="77777777">
            <w:pPr>
              <w:rPr>
                <w:rFonts w:ascii="Verdana" w:hAnsi="Verdana"/>
                <w:sz w:val="18"/>
                <w:szCs w:val="18"/>
              </w:rPr>
            </w:pPr>
            <w:r w:rsidRPr="0082026A">
              <w:rPr>
                <w:rFonts w:ascii="Verdana" w:hAnsi="Verdana"/>
                <w:sz w:val="18"/>
                <w:szCs w:val="18"/>
              </w:rPr>
              <w:t>7</w:t>
            </w:r>
          </w:p>
        </w:tc>
        <w:tc>
          <w:tcPr>
            <w:tcW w:w="0" w:type="auto"/>
            <w:gridSpan w:val="2"/>
          </w:tcPr>
          <w:p w:rsidR="00686E88" w:rsidP="00CE20D1" w:rsidRDefault="00686E88" w14:paraId="217AC32D" w14:textId="77777777">
            <w:pPr>
              <w:rPr>
                <w:rFonts w:ascii="Verdana" w:hAnsi="Verdana"/>
                <w:sz w:val="18"/>
                <w:szCs w:val="18"/>
              </w:rPr>
            </w:pPr>
            <w:r w:rsidRPr="0082026A">
              <w:rPr>
                <w:rFonts w:ascii="Verdana" w:hAnsi="Verdana"/>
                <w:b/>
                <w:sz w:val="18"/>
                <w:szCs w:val="18"/>
              </w:rPr>
              <w:t>Vraag:</w:t>
            </w:r>
            <w:r w:rsidRPr="0082026A">
              <w:rPr>
                <w:rFonts w:ascii="Verdana" w:hAnsi="Verdana"/>
                <w:sz w:val="18"/>
                <w:szCs w:val="18"/>
              </w:rPr>
              <w:br/>
              <w:t>Hoeveel zou het kosten om het openbaar vervoer gratis te maken?</w:t>
            </w:r>
            <w:r w:rsidRPr="0082026A">
              <w:rPr>
                <w:rFonts w:ascii="Verdana" w:hAnsi="Verdana"/>
                <w:sz w:val="18"/>
                <w:szCs w:val="18"/>
              </w:rPr>
              <w:br/>
            </w:r>
            <w:r w:rsidRPr="0082026A">
              <w:rPr>
                <w:rFonts w:ascii="Verdana" w:hAnsi="Verdana"/>
                <w:sz w:val="18"/>
                <w:szCs w:val="18"/>
              </w:rPr>
              <w:br/>
            </w:r>
            <w:r w:rsidRPr="0082026A">
              <w:rPr>
                <w:rFonts w:ascii="Verdana" w:hAnsi="Verdana"/>
                <w:b/>
                <w:sz w:val="18"/>
                <w:szCs w:val="18"/>
              </w:rPr>
              <w:t>Antwoord:</w:t>
            </w:r>
            <w:r w:rsidRPr="0082026A">
              <w:rPr>
                <w:rFonts w:ascii="Verdana" w:hAnsi="Verdana"/>
                <w:sz w:val="18"/>
                <w:szCs w:val="18"/>
              </w:rPr>
              <w:br/>
              <w:t xml:space="preserve">Vanwege bedrijfsgevoelige informatie kan slechts een globaal beeld worden geschetst: de totale vervoerskosten voor 2024 worden geschat op circa € 5,7 miljard per jaar. Dit bedrag wordt bekostigd door reizigersinkomsten (circa 3,6 miljard), door de OV-studentenkaart (OCW-begroting, circa € 1 miljard) en door exploitatiesubsidies (o.a. via Provinciefonds en IenW-begroting (BDU Verkeer en Vervoer), circa € 1,1 miljard). </w:t>
            </w:r>
          </w:p>
          <w:p w:rsidR="00686E88" w:rsidP="00CE20D1" w:rsidRDefault="00686E88" w14:paraId="7D9E4EF7" w14:textId="77777777">
            <w:pPr>
              <w:rPr>
                <w:rFonts w:ascii="Verdana" w:hAnsi="Verdana"/>
                <w:sz w:val="18"/>
                <w:szCs w:val="18"/>
              </w:rPr>
            </w:pPr>
          </w:p>
          <w:p w:rsidRPr="0082026A" w:rsidR="00686E88" w:rsidP="00CE20D1" w:rsidRDefault="00686E88" w14:paraId="3D484DB8" w14:textId="77777777">
            <w:pPr>
              <w:rPr>
                <w:rFonts w:ascii="Verdana" w:hAnsi="Verdana"/>
                <w:sz w:val="18"/>
                <w:szCs w:val="18"/>
              </w:rPr>
            </w:pPr>
            <w:r w:rsidRPr="0082026A">
              <w:rPr>
                <w:rFonts w:ascii="Verdana" w:hAnsi="Verdana"/>
                <w:sz w:val="18"/>
                <w:szCs w:val="18"/>
              </w:rPr>
              <w:t>De totale kosten voor het gratis maken van het openbaar vervoer vallen naar verwachting hoger uit, omdat er in deze kostenraming geen rekening mee is gehouden dat bij gratis openbaar vervoer de vraag naar openbaar vervoer stijgt en de kosten voor (bijvoorbeeld) OV-personeel en materieel toenemen.</w:t>
            </w:r>
            <w:r w:rsidRPr="0082026A">
              <w:rPr>
                <w:rFonts w:ascii="Verdana" w:hAnsi="Verdana"/>
                <w:sz w:val="18"/>
                <w:szCs w:val="18"/>
              </w:rPr>
              <w:br/>
            </w:r>
          </w:p>
        </w:tc>
      </w:tr>
      <w:tr w:rsidRPr="0082026A" w:rsidR="00686E88" w:rsidTr="00CE20D1" w14:paraId="2E31114D" w14:textId="77777777">
        <w:tc>
          <w:tcPr>
            <w:tcW w:w="0" w:type="auto"/>
          </w:tcPr>
          <w:p w:rsidRPr="0082026A" w:rsidR="00686E88" w:rsidP="00CE20D1" w:rsidRDefault="00686E88" w14:paraId="6B843059" w14:textId="77777777">
            <w:pPr>
              <w:rPr>
                <w:rFonts w:ascii="Verdana" w:hAnsi="Verdana"/>
                <w:sz w:val="18"/>
                <w:szCs w:val="18"/>
              </w:rPr>
            </w:pPr>
            <w:r w:rsidRPr="0082026A">
              <w:rPr>
                <w:rFonts w:ascii="Verdana" w:hAnsi="Verdana"/>
                <w:sz w:val="18"/>
                <w:szCs w:val="18"/>
              </w:rPr>
              <w:t>8</w:t>
            </w:r>
          </w:p>
        </w:tc>
        <w:tc>
          <w:tcPr>
            <w:tcW w:w="0" w:type="auto"/>
            <w:gridSpan w:val="2"/>
          </w:tcPr>
          <w:p w:rsidR="00686E88" w:rsidP="00CE20D1" w:rsidRDefault="00686E88" w14:paraId="493FA438" w14:textId="77777777">
            <w:pPr>
              <w:rPr>
                <w:rFonts w:ascii="Verdana" w:hAnsi="Verdana"/>
                <w:sz w:val="18"/>
                <w:szCs w:val="18"/>
              </w:rPr>
            </w:pPr>
            <w:r w:rsidRPr="0082026A">
              <w:rPr>
                <w:rFonts w:ascii="Verdana" w:hAnsi="Verdana"/>
                <w:b/>
                <w:sz w:val="18"/>
                <w:szCs w:val="18"/>
              </w:rPr>
              <w:t>Vraag:</w:t>
            </w:r>
            <w:r w:rsidRPr="0082026A">
              <w:rPr>
                <w:rFonts w:ascii="Verdana" w:hAnsi="Verdana"/>
                <w:sz w:val="18"/>
                <w:szCs w:val="18"/>
              </w:rPr>
              <w:br/>
              <w:t>Heeft u zicht op het aantal NS-medewerkers dat vrijwillig een bodycam wil dragen? Zo ja, hoeveel zou het kosten om hoofdconducteurs met een bodycam op te leiden tot boa?</w:t>
            </w:r>
            <w:r w:rsidRPr="0082026A">
              <w:rPr>
                <w:rFonts w:ascii="Verdana" w:hAnsi="Verdana"/>
                <w:sz w:val="18"/>
                <w:szCs w:val="18"/>
              </w:rPr>
              <w:br/>
            </w:r>
            <w:r w:rsidRPr="0082026A">
              <w:rPr>
                <w:rFonts w:ascii="Verdana" w:hAnsi="Verdana"/>
                <w:sz w:val="18"/>
                <w:szCs w:val="18"/>
              </w:rPr>
              <w:br/>
            </w:r>
            <w:r w:rsidRPr="0082026A">
              <w:rPr>
                <w:rFonts w:ascii="Verdana" w:hAnsi="Verdana"/>
                <w:b/>
                <w:sz w:val="18"/>
                <w:szCs w:val="18"/>
              </w:rPr>
              <w:t>Antwoord:</w:t>
            </w:r>
            <w:r w:rsidRPr="0082026A">
              <w:rPr>
                <w:rFonts w:ascii="Verdana" w:hAnsi="Verdana"/>
                <w:sz w:val="18"/>
                <w:szCs w:val="18"/>
              </w:rPr>
              <w:br/>
              <w:t xml:space="preserve">In afstemming met NS kan aangegeven worden dat NS voornemens is alle medewerkers in het domein Hoofdconducteuren (HC) uit te rusten met een bodycam. Hoewel het exacte aantal medewerkers dat vrijwillig een bodycam wil dragen nog niet in kaart is gebracht is, is de insteek van NS om dit breed uit te rollen, omdat daarmee het grootste effect wordt bereikt. </w:t>
            </w:r>
          </w:p>
          <w:p w:rsidR="00686E88" w:rsidP="00CE20D1" w:rsidRDefault="00686E88" w14:paraId="298BC2C0" w14:textId="77777777">
            <w:pPr>
              <w:rPr>
                <w:rFonts w:ascii="Verdana" w:hAnsi="Verdana"/>
                <w:sz w:val="18"/>
                <w:szCs w:val="18"/>
              </w:rPr>
            </w:pPr>
          </w:p>
          <w:p w:rsidRPr="0082026A" w:rsidR="00686E88" w:rsidP="00CE20D1" w:rsidRDefault="00686E88" w14:paraId="71BB0162" w14:textId="77777777">
            <w:pPr>
              <w:rPr>
                <w:rFonts w:ascii="Verdana" w:hAnsi="Verdana"/>
                <w:sz w:val="18"/>
                <w:szCs w:val="18"/>
              </w:rPr>
            </w:pPr>
            <w:r w:rsidRPr="0082026A">
              <w:rPr>
                <w:rFonts w:ascii="Verdana" w:hAnsi="Verdana"/>
                <w:sz w:val="18"/>
                <w:szCs w:val="18"/>
              </w:rPr>
              <w:t>In de subsidieaanvraag van NS voor de uitbreiding van het aantal bodycams, wordt uitgegaan van 4300 bodycams, waarvoor een bedrag van 12 miljoen euro is begroot. Het is momenteel niet inzichtelijk hoeveel het zou kosten om HC’s op te leiden tot boa’s. HC’s binnen NS zijn toezichthouder. Dit wijzigt niet als gevolg van het uitrusten van HC’s met een bodycam.</w:t>
            </w:r>
            <w:r w:rsidRPr="0082026A">
              <w:rPr>
                <w:rFonts w:ascii="Verdana" w:hAnsi="Verdana"/>
                <w:sz w:val="18"/>
                <w:szCs w:val="18"/>
              </w:rPr>
              <w:br/>
            </w:r>
          </w:p>
        </w:tc>
      </w:tr>
      <w:tr w:rsidRPr="0082026A" w:rsidR="00686E88" w:rsidTr="00CE20D1" w14:paraId="7916A1AD" w14:textId="77777777">
        <w:tc>
          <w:tcPr>
            <w:tcW w:w="0" w:type="auto"/>
          </w:tcPr>
          <w:p w:rsidRPr="0082026A" w:rsidR="00686E88" w:rsidP="00CE20D1" w:rsidRDefault="00686E88" w14:paraId="2B7184D3" w14:textId="77777777">
            <w:pPr>
              <w:rPr>
                <w:rFonts w:ascii="Verdana" w:hAnsi="Verdana"/>
                <w:sz w:val="18"/>
                <w:szCs w:val="18"/>
              </w:rPr>
            </w:pPr>
            <w:r w:rsidRPr="0082026A">
              <w:rPr>
                <w:rFonts w:ascii="Verdana" w:hAnsi="Verdana"/>
                <w:sz w:val="18"/>
                <w:szCs w:val="18"/>
              </w:rPr>
              <w:t>9</w:t>
            </w:r>
          </w:p>
        </w:tc>
        <w:tc>
          <w:tcPr>
            <w:tcW w:w="0" w:type="auto"/>
            <w:gridSpan w:val="2"/>
          </w:tcPr>
          <w:p w:rsidRPr="0082026A" w:rsidR="00686E88" w:rsidP="00CE20D1" w:rsidRDefault="00686E88" w14:paraId="3D0161ED" w14:textId="77777777">
            <w:pPr>
              <w:rPr>
                <w:rFonts w:ascii="Verdana" w:hAnsi="Verdana"/>
                <w:sz w:val="18"/>
                <w:szCs w:val="18"/>
              </w:rPr>
            </w:pPr>
            <w:r w:rsidRPr="0082026A">
              <w:rPr>
                <w:rFonts w:ascii="Verdana" w:hAnsi="Verdana"/>
                <w:b/>
                <w:sz w:val="18"/>
                <w:szCs w:val="18"/>
              </w:rPr>
              <w:t>Vraag:</w:t>
            </w:r>
            <w:r w:rsidRPr="0082026A">
              <w:rPr>
                <w:rFonts w:ascii="Verdana" w:hAnsi="Verdana"/>
                <w:sz w:val="18"/>
                <w:szCs w:val="18"/>
              </w:rPr>
              <w:br/>
              <w:t>Klopt het dat in het verkeer een hoge leeftijd een groter ongevalsrisico heeft dan alcohol en drugs?</w:t>
            </w:r>
            <w:r w:rsidRPr="0082026A">
              <w:rPr>
                <w:rFonts w:ascii="Verdana" w:hAnsi="Verdana"/>
                <w:sz w:val="18"/>
                <w:szCs w:val="18"/>
              </w:rPr>
              <w:br/>
            </w:r>
            <w:r w:rsidRPr="0082026A">
              <w:rPr>
                <w:rFonts w:ascii="Verdana" w:hAnsi="Verdana"/>
                <w:sz w:val="18"/>
                <w:szCs w:val="18"/>
              </w:rPr>
              <w:br/>
            </w:r>
            <w:r w:rsidRPr="0082026A">
              <w:rPr>
                <w:rFonts w:ascii="Verdana" w:hAnsi="Verdana"/>
                <w:b/>
                <w:sz w:val="18"/>
                <w:szCs w:val="18"/>
              </w:rPr>
              <w:t>Antwoord:</w:t>
            </w:r>
            <w:r w:rsidRPr="0082026A">
              <w:rPr>
                <w:rFonts w:ascii="Verdana" w:hAnsi="Verdana"/>
                <w:sz w:val="18"/>
                <w:szCs w:val="18"/>
              </w:rPr>
              <w:br/>
            </w:r>
            <w:r>
              <w:rPr>
                <w:rFonts w:ascii="Verdana" w:hAnsi="Verdana"/>
                <w:sz w:val="18"/>
                <w:szCs w:val="18"/>
              </w:rPr>
              <w:t>Nee, e</w:t>
            </w:r>
            <w:r w:rsidRPr="0082026A">
              <w:rPr>
                <w:rFonts w:ascii="Verdana" w:hAnsi="Verdana"/>
                <w:sz w:val="18"/>
                <w:szCs w:val="18"/>
              </w:rPr>
              <w:t>r spelen twee verschillende zaken: de kans op een ongeval en de kans op overlijden. Deze zaken zijn niet met elkaar te vergelijken.</w:t>
            </w:r>
            <w:r w:rsidRPr="0082026A">
              <w:rPr>
                <w:rFonts w:ascii="Verdana" w:hAnsi="Verdana"/>
                <w:sz w:val="18"/>
                <w:szCs w:val="18"/>
              </w:rPr>
              <w:br/>
              <w:t> </w:t>
            </w:r>
            <w:r w:rsidRPr="0082026A">
              <w:rPr>
                <w:rFonts w:ascii="Verdana" w:hAnsi="Verdana"/>
                <w:sz w:val="18"/>
                <w:szCs w:val="18"/>
              </w:rPr>
              <w:br/>
              <w:t>Bij alcohol (en drugs) is er sprake van een verhoogde kans om bij een ongeval betrokken te raken, ongeacht het individu. Die kans neemt sterk toe naarmate het promillage stijgt: bij een bloedalcoholgehalte (BAG) van 0,5‰ ongeveer 1,4 keer hoger is dan bij nuchter rijden, bij 1,0‰ is het risico bijna vijf keer zo hoog, en bij een BAG van 1,5‰ is het ongevalsrisico meer dan twintig keer zo hoog als dat van een nuchtere bestuurder. </w:t>
            </w:r>
            <w:r w:rsidRPr="0082026A">
              <w:rPr>
                <w:rFonts w:ascii="Verdana" w:hAnsi="Verdana"/>
                <w:sz w:val="18"/>
                <w:szCs w:val="18"/>
              </w:rPr>
              <w:br/>
              <w:t> </w:t>
            </w:r>
            <w:r w:rsidRPr="0082026A">
              <w:rPr>
                <w:rFonts w:ascii="Verdana" w:hAnsi="Verdana"/>
                <w:sz w:val="18"/>
                <w:szCs w:val="18"/>
              </w:rPr>
              <w:br/>
              <w:t>Bij een hogere leeftijd speelt vooral de kwetsbaarheid een rol. Daardoor is bij ouderen vooral de kans op een dodelijk ongeval verhoogd. Ongevallen waarbij ouderen betrokken zijn, hebben vaker een dodelijke afloop, waarbij zij zélf overigens vaak het dodelijke slachtoffer zijn. De kans op overlijden neemt toe naarmate men ouder is. Hoe groot de kans op overlijden is, is echter ook afhankelijk van de persoon: de ene 80-jarige is fitter dan de ander.</w:t>
            </w:r>
            <w:r w:rsidRPr="0082026A">
              <w:rPr>
                <w:rFonts w:ascii="Verdana" w:hAnsi="Verdana"/>
                <w:sz w:val="18"/>
                <w:szCs w:val="18"/>
              </w:rPr>
              <w:br/>
            </w:r>
          </w:p>
        </w:tc>
      </w:tr>
      <w:tr w:rsidRPr="0082026A" w:rsidR="00686E88" w:rsidTr="00CE20D1" w14:paraId="794DF49C" w14:textId="77777777">
        <w:tc>
          <w:tcPr>
            <w:tcW w:w="0" w:type="auto"/>
          </w:tcPr>
          <w:p w:rsidRPr="0082026A" w:rsidR="00686E88" w:rsidP="00CE20D1" w:rsidRDefault="00686E88" w14:paraId="74456F38" w14:textId="77777777">
            <w:pPr>
              <w:rPr>
                <w:rFonts w:ascii="Verdana" w:hAnsi="Verdana"/>
                <w:sz w:val="18"/>
                <w:szCs w:val="18"/>
              </w:rPr>
            </w:pPr>
            <w:r w:rsidRPr="0082026A">
              <w:rPr>
                <w:rFonts w:ascii="Verdana" w:hAnsi="Verdana"/>
                <w:sz w:val="18"/>
                <w:szCs w:val="18"/>
              </w:rPr>
              <w:t>10</w:t>
            </w:r>
          </w:p>
        </w:tc>
        <w:tc>
          <w:tcPr>
            <w:tcW w:w="0" w:type="auto"/>
            <w:gridSpan w:val="2"/>
          </w:tcPr>
          <w:p w:rsidRPr="0082026A" w:rsidR="00686E88" w:rsidP="004509D2" w:rsidRDefault="00686E88" w14:paraId="26C89D79" w14:textId="2BDF706E">
            <w:pPr>
              <w:rPr>
                <w:rFonts w:ascii="Verdana" w:hAnsi="Verdana"/>
                <w:sz w:val="18"/>
                <w:szCs w:val="18"/>
              </w:rPr>
            </w:pPr>
            <w:r w:rsidRPr="0082026A">
              <w:rPr>
                <w:rFonts w:ascii="Verdana" w:hAnsi="Verdana"/>
                <w:b/>
                <w:sz w:val="18"/>
                <w:szCs w:val="18"/>
              </w:rPr>
              <w:t>Vraag:</w:t>
            </w:r>
            <w:r w:rsidRPr="0082026A">
              <w:rPr>
                <w:rFonts w:ascii="Verdana" w:hAnsi="Verdana"/>
                <w:sz w:val="18"/>
                <w:szCs w:val="18"/>
              </w:rPr>
              <w:br/>
              <w:t>Wanneer komt de circulaire-economiewet naar de Kamer?</w:t>
            </w:r>
            <w:r w:rsidRPr="0082026A">
              <w:rPr>
                <w:rFonts w:ascii="Verdana" w:hAnsi="Verdana"/>
                <w:sz w:val="18"/>
                <w:szCs w:val="18"/>
              </w:rPr>
              <w:br/>
            </w:r>
            <w:r w:rsidRPr="0082026A">
              <w:rPr>
                <w:rFonts w:ascii="Verdana" w:hAnsi="Verdana"/>
                <w:sz w:val="18"/>
                <w:szCs w:val="18"/>
              </w:rPr>
              <w:br/>
            </w:r>
            <w:r w:rsidRPr="0082026A">
              <w:rPr>
                <w:rFonts w:ascii="Verdana" w:hAnsi="Verdana"/>
                <w:b/>
                <w:sz w:val="18"/>
                <w:szCs w:val="18"/>
              </w:rPr>
              <w:t>Antwoord:</w:t>
            </w:r>
            <w:r w:rsidRPr="0082026A">
              <w:rPr>
                <w:rFonts w:ascii="Verdana" w:hAnsi="Verdana"/>
                <w:sz w:val="18"/>
                <w:szCs w:val="18"/>
              </w:rPr>
              <w:br/>
            </w:r>
            <w:r w:rsidRPr="004509D2" w:rsidR="00586205">
              <w:rPr>
                <w:rFonts w:ascii="Verdana" w:hAnsi="Verdana"/>
                <w:sz w:val="18"/>
                <w:szCs w:val="18"/>
              </w:rPr>
              <w:t>De Circulaire Economiewet, of CE-wet, gaat naar verwachting begin 2026 in internetconsultatie. De Kamer zal hierover worden geïnformeerd. Na het verwerken van de reacties op de consultatie en de input uit de toetsen wordt het wetsvoorstel na akkoord van de Ministerraad doorgeleid naar de Raad van State. Vervolgens kan de Kamerbehandeling starten. Dit zal naar verwachting eind 2026 zijn.</w:t>
            </w:r>
            <w:r w:rsidRPr="00586205" w:rsidR="00586205">
              <w:rPr>
                <w:rFonts w:ascii="Verdana" w:hAnsi="Verdana"/>
                <w:sz w:val="18"/>
                <w:szCs w:val="18"/>
              </w:rPr>
              <w:t xml:space="preserve">   </w:t>
            </w:r>
            <w:r w:rsidRPr="0082026A">
              <w:rPr>
                <w:rFonts w:ascii="Verdana" w:hAnsi="Verdana"/>
                <w:sz w:val="18"/>
                <w:szCs w:val="18"/>
              </w:rPr>
              <w:br/>
            </w:r>
          </w:p>
        </w:tc>
      </w:tr>
      <w:tr w:rsidRPr="0082026A" w:rsidR="00686E88" w:rsidTr="00CE20D1" w14:paraId="6438C787" w14:textId="77777777">
        <w:tc>
          <w:tcPr>
            <w:tcW w:w="0" w:type="auto"/>
          </w:tcPr>
          <w:p w:rsidRPr="0082026A" w:rsidR="00686E88" w:rsidP="00CE20D1" w:rsidRDefault="00686E88" w14:paraId="3EADF3B7" w14:textId="77777777">
            <w:pPr>
              <w:rPr>
                <w:rFonts w:ascii="Verdana" w:hAnsi="Verdana"/>
                <w:sz w:val="18"/>
                <w:szCs w:val="18"/>
              </w:rPr>
            </w:pPr>
            <w:r w:rsidRPr="0082026A">
              <w:rPr>
                <w:rFonts w:ascii="Verdana" w:hAnsi="Verdana"/>
                <w:sz w:val="18"/>
                <w:szCs w:val="18"/>
              </w:rPr>
              <w:t>11</w:t>
            </w:r>
          </w:p>
        </w:tc>
        <w:tc>
          <w:tcPr>
            <w:tcW w:w="0" w:type="auto"/>
            <w:gridSpan w:val="2"/>
          </w:tcPr>
          <w:p w:rsidRPr="0082026A" w:rsidR="00686E88" w:rsidP="00CE20D1" w:rsidRDefault="00686E88" w14:paraId="326B94D0" w14:textId="77777777">
            <w:pPr>
              <w:rPr>
                <w:rFonts w:ascii="Verdana" w:hAnsi="Verdana"/>
                <w:sz w:val="18"/>
                <w:szCs w:val="18"/>
              </w:rPr>
            </w:pPr>
            <w:r w:rsidRPr="0082026A">
              <w:rPr>
                <w:rFonts w:ascii="Verdana" w:hAnsi="Verdana"/>
                <w:b/>
                <w:sz w:val="18"/>
                <w:szCs w:val="18"/>
              </w:rPr>
              <w:t>Vraag:</w:t>
            </w:r>
            <w:r w:rsidRPr="0082026A">
              <w:rPr>
                <w:rFonts w:ascii="Verdana" w:hAnsi="Verdana"/>
                <w:sz w:val="18"/>
                <w:szCs w:val="18"/>
              </w:rPr>
              <w:br/>
              <w:t>Welke beleidsprogramma’s en middelen zijn gericht op het afbouwen van de lineaire economie en het opbouwen van de circulaire economie?</w:t>
            </w:r>
            <w:r w:rsidRPr="0082026A">
              <w:rPr>
                <w:rFonts w:ascii="Verdana" w:hAnsi="Verdana"/>
                <w:sz w:val="18"/>
                <w:szCs w:val="18"/>
              </w:rPr>
              <w:br/>
            </w:r>
            <w:r w:rsidRPr="0082026A">
              <w:rPr>
                <w:rFonts w:ascii="Verdana" w:hAnsi="Verdana"/>
                <w:sz w:val="18"/>
                <w:szCs w:val="18"/>
              </w:rPr>
              <w:br/>
            </w:r>
            <w:r w:rsidRPr="0082026A">
              <w:rPr>
                <w:rFonts w:ascii="Verdana" w:hAnsi="Verdana"/>
                <w:b/>
                <w:sz w:val="18"/>
                <w:szCs w:val="18"/>
              </w:rPr>
              <w:t>Antwoord:</w:t>
            </w:r>
            <w:r w:rsidRPr="0082026A">
              <w:rPr>
                <w:rFonts w:ascii="Verdana" w:hAnsi="Verdana"/>
                <w:sz w:val="18"/>
                <w:szCs w:val="18"/>
              </w:rPr>
              <w:br/>
              <w:t>Verschillende beleidsprogramma’s en instrumenten dragen bij aan de circulaire economie. Dit komt allemaal samen in het Nationaal Programma Circulaire Economie. Het onderscheid tussen het afbouwen van de lineaire economie en het opbouwen van de circulaire economie niet eenvoudig te maken, dit is namelijk een gelijktijdig effect. Als voorbeeld een norm gericht op toepassing van gerecycled materiaal in nieuwe producten: dit vergroot de markt voor gerecycled materiaal, en is zodoende helpend bij het opbouwen van de circulaire economie. De norm zorgt echter evengoed voor de afname van de vraag naar primaire materialen en zorgt dus voor afbouw van het lineaire systeem.</w:t>
            </w:r>
            <w:r w:rsidRPr="0082026A">
              <w:rPr>
                <w:rFonts w:ascii="Verdana" w:hAnsi="Verdana"/>
                <w:sz w:val="18"/>
                <w:szCs w:val="18"/>
              </w:rPr>
              <w:br/>
            </w:r>
          </w:p>
        </w:tc>
      </w:tr>
      <w:tr w:rsidRPr="0082026A" w:rsidR="00686E88" w:rsidTr="00CE20D1" w14:paraId="2A12CD8B" w14:textId="77777777">
        <w:tc>
          <w:tcPr>
            <w:tcW w:w="0" w:type="auto"/>
          </w:tcPr>
          <w:p w:rsidRPr="0082026A" w:rsidR="00686E88" w:rsidP="00CE20D1" w:rsidRDefault="00686E88" w14:paraId="714B6952" w14:textId="77777777">
            <w:pPr>
              <w:rPr>
                <w:rFonts w:ascii="Verdana" w:hAnsi="Verdana"/>
                <w:sz w:val="18"/>
                <w:szCs w:val="18"/>
              </w:rPr>
            </w:pPr>
            <w:r w:rsidRPr="0082026A">
              <w:rPr>
                <w:rFonts w:ascii="Verdana" w:hAnsi="Verdana"/>
                <w:sz w:val="18"/>
                <w:szCs w:val="18"/>
              </w:rPr>
              <w:t>12</w:t>
            </w:r>
          </w:p>
        </w:tc>
        <w:tc>
          <w:tcPr>
            <w:tcW w:w="0" w:type="auto"/>
            <w:gridSpan w:val="2"/>
          </w:tcPr>
          <w:p w:rsidRPr="0082026A" w:rsidR="00686E88" w:rsidP="00CE20D1" w:rsidRDefault="00686E88" w14:paraId="7514627A" w14:textId="77777777">
            <w:pPr>
              <w:rPr>
                <w:rFonts w:ascii="Verdana" w:hAnsi="Verdana"/>
                <w:sz w:val="18"/>
                <w:szCs w:val="18"/>
              </w:rPr>
            </w:pPr>
            <w:r w:rsidRPr="0082026A">
              <w:rPr>
                <w:rFonts w:ascii="Verdana" w:hAnsi="Verdana"/>
                <w:b/>
                <w:sz w:val="18"/>
                <w:szCs w:val="18"/>
              </w:rPr>
              <w:t>Vraag:</w:t>
            </w:r>
            <w:r w:rsidRPr="0082026A">
              <w:rPr>
                <w:rFonts w:ascii="Verdana" w:hAnsi="Verdana"/>
                <w:sz w:val="18"/>
                <w:szCs w:val="18"/>
              </w:rPr>
              <w:br/>
              <w:t>Welke beleidsmatige ontwikkelingen die genoemd worden, vormen nieuw of reeds ingezet Nederlands beleid?</w:t>
            </w:r>
            <w:r w:rsidRPr="0082026A">
              <w:rPr>
                <w:rFonts w:ascii="Verdana" w:hAnsi="Verdana"/>
                <w:sz w:val="18"/>
                <w:szCs w:val="18"/>
              </w:rPr>
              <w:br/>
            </w:r>
            <w:r w:rsidRPr="0082026A">
              <w:rPr>
                <w:rFonts w:ascii="Verdana" w:hAnsi="Verdana"/>
                <w:sz w:val="18"/>
                <w:szCs w:val="18"/>
              </w:rPr>
              <w:br/>
            </w:r>
            <w:r w:rsidRPr="0082026A">
              <w:rPr>
                <w:rFonts w:ascii="Verdana" w:hAnsi="Verdana"/>
                <w:b/>
                <w:sz w:val="18"/>
                <w:szCs w:val="18"/>
              </w:rPr>
              <w:t>Antwoord:</w:t>
            </w:r>
            <w:r w:rsidRPr="0082026A">
              <w:rPr>
                <w:rFonts w:ascii="Verdana" w:hAnsi="Verdana"/>
                <w:sz w:val="18"/>
                <w:szCs w:val="18"/>
              </w:rPr>
              <w:br/>
              <w:t xml:space="preserve">De beleidsinzet zoals opgenomen in de begroting vindt allemaal plaats in 2026. Dit is echter slechts een beperkte weergave van de veelheid aan beleid dat wordt uitgevoerd ter realisatie van de circulaire economie. Op 14 oktober is het geactualiseerde Nationaal Programma Circulaire Economie aan </w:t>
            </w:r>
            <w:r>
              <w:rPr>
                <w:rFonts w:ascii="Verdana" w:hAnsi="Verdana"/>
                <w:sz w:val="18"/>
                <w:szCs w:val="18"/>
              </w:rPr>
              <w:t>de</w:t>
            </w:r>
            <w:r w:rsidRPr="0082026A">
              <w:rPr>
                <w:rFonts w:ascii="Verdana" w:hAnsi="Verdana"/>
                <w:sz w:val="18"/>
                <w:szCs w:val="18"/>
              </w:rPr>
              <w:t xml:space="preserve"> Kamer gestuurd (Kamerstukken 32852, nr. 392). Hierin</w:t>
            </w:r>
            <w:r>
              <w:rPr>
                <w:rFonts w:ascii="Verdana" w:hAnsi="Verdana"/>
                <w:sz w:val="18"/>
                <w:szCs w:val="18"/>
              </w:rPr>
              <w:t xml:space="preserve"> -</w:t>
            </w:r>
            <w:r w:rsidRPr="0082026A">
              <w:rPr>
                <w:rFonts w:ascii="Verdana" w:hAnsi="Verdana"/>
                <w:sz w:val="18"/>
                <w:szCs w:val="18"/>
              </w:rPr>
              <w:t xml:space="preserve"> en in de achterliggende documenten</w:t>
            </w:r>
            <w:r>
              <w:rPr>
                <w:rFonts w:ascii="Verdana" w:hAnsi="Verdana"/>
                <w:sz w:val="18"/>
                <w:szCs w:val="18"/>
              </w:rPr>
              <w:t xml:space="preserve"> -</w:t>
            </w:r>
            <w:r w:rsidRPr="0082026A">
              <w:rPr>
                <w:rFonts w:ascii="Verdana" w:hAnsi="Verdana"/>
                <w:sz w:val="18"/>
                <w:szCs w:val="18"/>
              </w:rPr>
              <w:t xml:space="preserve"> wordt een compleet overzicht gegeven van de beleidsmaatregelen. </w:t>
            </w:r>
            <w:r w:rsidRPr="0082026A">
              <w:rPr>
                <w:rFonts w:ascii="Verdana" w:hAnsi="Verdana"/>
                <w:sz w:val="18"/>
                <w:szCs w:val="18"/>
              </w:rPr>
              <w:br/>
            </w:r>
          </w:p>
        </w:tc>
      </w:tr>
      <w:tr w:rsidRPr="0082026A" w:rsidR="00686E88" w:rsidTr="00CE20D1" w14:paraId="38C50956" w14:textId="77777777">
        <w:tc>
          <w:tcPr>
            <w:tcW w:w="0" w:type="auto"/>
          </w:tcPr>
          <w:p w:rsidRPr="0082026A" w:rsidR="00686E88" w:rsidP="00CE20D1" w:rsidRDefault="00686E88" w14:paraId="2E6424A4" w14:textId="77777777">
            <w:pPr>
              <w:rPr>
                <w:rFonts w:ascii="Verdana" w:hAnsi="Verdana"/>
                <w:sz w:val="18"/>
                <w:szCs w:val="18"/>
              </w:rPr>
            </w:pPr>
            <w:r w:rsidRPr="0082026A">
              <w:rPr>
                <w:rFonts w:ascii="Verdana" w:hAnsi="Verdana"/>
                <w:sz w:val="18"/>
                <w:szCs w:val="18"/>
              </w:rPr>
              <w:t>13</w:t>
            </w:r>
          </w:p>
        </w:tc>
        <w:tc>
          <w:tcPr>
            <w:tcW w:w="0" w:type="auto"/>
            <w:gridSpan w:val="2"/>
          </w:tcPr>
          <w:p w:rsidRPr="0082026A" w:rsidR="00686E88" w:rsidP="00CE20D1" w:rsidRDefault="00686E88" w14:paraId="52DE6492" w14:textId="77777777">
            <w:pPr>
              <w:rPr>
                <w:rFonts w:ascii="Verdana" w:hAnsi="Verdana"/>
                <w:sz w:val="18"/>
                <w:szCs w:val="18"/>
              </w:rPr>
            </w:pPr>
            <w:r w:rsidRPr="0082026A">
              <w:rPr>
                <w:rFonts w:ascii="Verdana" w:hAnsi="Verdana"/>
                <w:b/>
                <w:sz w:val="18"/>
                <w:szCs w:val="18"/>
              </w:rPr>
              <w:t>Vraag:</w:t>
            </w:r>
            <w:r w:rsidRPr="0082026A">
              <w:rPr>
                <w:rFonts w:ascii="Verdana" w:hAnsi="Verdana"/>
                <w:sz w:val="18"/>
                <w:szCs w:val="18"/>
              </w:rPr>
              <w:br/>
              <w:t>Welke beleidsmatige ontwikkelingen die genoemd worden, vormen nieuw of reeds ingezet Europees beleid?</w:t>
            </w:r>
            <w:r w:rsidRPr="0082026A">
              <w:rPr>
                <w:rFonts w:ascii="Verdana" w:hAnsi="Verdana"/>
                <w:sz w:val="18"/>
                <w:szCs w:val="18"/>
              </w:rPr>
              <w:br/>
            </w:r>
            <w:r w:rsidRPr="0082026A">
              <w:rPr>
                <w:rFonts w:ascii="Verdana" w:hAnsi="Verdana"/>
                <w:sz w:val="18"/>
                <w:szCs w:val="18"/>
              </w:rPr>
              <w:br/>
            </w:r>
            <w:r w:rsidRPr="0082026A">
              <w:rPr>
                <w:rFonts w:ascii="Verdana" w:hAnsi="Verdana"/>
                <w:b/>
                <w:sz w:val="18"/>
                <w:szCs w:val="18"/>
              </w:rPr>
              <w:t>Antwoord:</w:t>
            </w:r>
            <w:r w:rsidRPr="0082026A">
              <w:rPr>
                <w:rFonts w:ascii="Verdana" w:hAnsi="Verdana"/>
                <w:sz w:val="18"/>
                <w:szCs w:val="18"/>
              </w:rPr>
              <w:br/>
              <w:t>Bij de beleidsmatige ontwikkelingen onder artikel 21 (circulaire economie) wordt een aantal Europese ontwikkelingen genoemd, zoals de inzet op een gelijk Europees speelveld en inwerkingtreding van EU-wetgeving. Dit betreft allemaal reeds ingezet Europees beleid, dat ofwel van kracht wordt in 2026</w:t>
            </w:r>
            <w:r>
              <w:rPr>
                <w:rFonts w:ascii="Verdana" w:hAnsi="Verdana"/>
                <w:sz w:val="18"/>
                <w:szCs w:val="18"/>
              </w:rPr>
              <w:t>,</w:t>
            </w:r>
            <w:r w:rsidRPr="0082026A">
              <w:rPr>
                <w:rFonts w:ascii="Verdana" w:hAnsi="Verdana"/>
                <w:sz w:val="18"/>
                <w:szCs w:val="18"/>
              </w:rPr>
              <w:t xml:space="preserve"> ofwel waarvoor inzet zal plaatsvinden in 2026. De Europese inzet ten aanzien van circulaire economie is opgenomen in onder andere het Nationaal Programma Circulaire Economie (NPCE).</w:t>
            </w:r>
            <w:r w:rsidRPr="0082026A">
              <w:rPr>
                <w:rFonts w:ascii="Verdana" w:hAnsi="Verdana"/>
                <w:sz w:val="18"/>
                <w:szCs w:val="18"/>
              </w:rPr>
              <w:br/>
            </w:r>
          </w:p>
        </w:tc>
      </w:tr>
      <w:tr w:rsidRPr="0082026A" w:rsidR="00686E88" w:rsidTr="00CE20D1" w14:paraId="410A1F11" w14:textId="77777777">
        <w:tc>
          <w:tcPr>
            <w:tcW w:w="0" w:type="auto"/>
          </w:tcPr>
          <w:p w:rsidRPr="0082026A" w:rsidR="00686E88" w:rsidP="00CE20D1" w:rsidRDefault="00686E88" w14:paraId="7A03E8FA" w14:textId="77777777">
            <w:pPr>
              <w:rPr>
                <w:rFonts w:ascii="Verdana" w:hAnsi="Verdana"/>
                <w:sz w:val="18"/>
                <w:szCs w:val="18"/>
              </w:rPr>
            </w:pPr>
            <w:r w:rsidRPr="0082026A">
              <w:rPr>
                <w:rFonts w:ascii="Verdana" w:hAnsi="Verdana"/>
                <w:sz w:val="18"/>
                <w:szCs w:val="18"/>
              </w:rPr>
              <w:t>14</w:t>
            </w:r>
          </w:p>
        </w:tc>
        <w:tc>
          <w:tcPr>
            <w:tcW w:w="0" w:type="auto"/>
            <w:gridSpan w:val="2"/>
          </w:tcPr>
          <w:p w:rsidRPr="0082026A" w:rsidR="00686E88" w:rsidP="00CE20D1" w:rsidRDefault="00686E88" w14:paraId="030DBCA1" w14:textId="519DBED9">
            <w:pPr>
              <w:rPr>
                <w:rFonts w:ascii="Verdana" w:hAnsi="Verdana"/>
                <w:sz w:val="18"/>
                <w:szCs w:val="18"/>
              </w:rPr>
            </w:pPr>
            <w:r w:rsidRPr="0082026A">
              <w:rPr>
                <w:rFonts w:ascii="Verdana" w:hAnsi="Verdana"/>
                <w:b/>
                <w:sz w:val="18"/>
                <w:szCs w:val="18"/>
              </w:rPr>
              <w:t>Vraag:</w:t>
            </w:r>
            <w:r w:rsidRPr="0082026A">
              <w:rPr>
                <w:rFonts w:ascii="Verdana" w:hAnsi="Verdana"/>
                <w:sz w:val="18"/>
                <w:szCs w:val="18"/>
              </w:rPr>
              <w:br/>
              <w:t>Welke beleidsmatige ontwikkelingen dragen bij aan het stimuleren van tweedehands consumptie?</w:t>
            </w:r>
            <w:r w:rsidRPr="0082026A">
              <w:rPr>
                <w:rFonts w:ascii="Verdana" w:hAnsi="Verdana"/>
                <w:sz w:val="18"/>
                <w:szCs w:val="18"/>
              </w:rPr>
              <w:br/>
            </w:r>
            <w:r w:rsidRPr="0082026A">
              <w:rPr>
                <w:rFonts w:ascii="Verdana" w:hAnsi="Verdana"/>
                <w:sz w:val="18"/>
                <w:szCs w:val="18"/>
              </w:rPr>
              <w:br/>
            </w:r>
            <w:r w:rsidRPr="0082026A">
              <w:rPr>
                <w:rFonts w:ascii="Verdana" w:hAnsi="Verdana"/>
                <w:b/>
                <w:sz w:val="18"/>
                <w:szCs w:val="18"/>
              </w:rPr>
              <w:t>Antwoord:</w:t>
            </w:r>
            <w:r w:rsidRPr="0082026A">
              <w:rPr>
                <w:rFonts w:ascii="Verdana" w:hAnsi="Verdana"/>
                <w:sz w:val="18"/>
                <w:szCs w:val="18"/>
              </w:rPr>
              <w:br/>
              <w:t xml:space="preserve">Het NPCE stimuleert het verlengen van de levensduur van producten, waarbij tweedehands gebruik een belangrijke rol speelt </w:t>
            </w:r>
            <w:r>
              <w:rPr>
                <w:rFonts w:ascii="Verdana" w:hAnsi="Verdana"/>
                <w:sz w:val="18"/>
                <w:szCs w:val="18"/>
              </w:rPr>
              <w:t>(Kamerstukken 32 852, nr. 225)</w:t>
            </w:r>
            <w:r w:rsidRPr="0082026A">
              <w:rPr>
                <w:rFonts w:ascii="Verdana" w:hAnsi="Verdana"/>
                <w:sz w:val="18"/>
                <w:szCs w:val="18"/>
              </w:rPr>
              <w:t>. Binnen dit beleid is uitgebreide producentenverantwoordelijkheid een belangrijk instrument: producenten blijven verantwoordelijk voor inzameling, recycling en hergebruik van hun producten. Het Ministerie van IenW werkt daarnaast samen met Circulaire Ambachtscentra om hergebruik en reparatie te bevorderen</w:t>
            </w:r>
            <w:r>
              <w:rPr>
                <w:rStyle w:val="FootnoteReference"/>
                <w:rFonts w:ascii="Verdana" w:hAnsi="Verdana"/>
                <w:sz w:val="18"/>
                <w:szCs w:val="18"/>
              </w:rPr>
              <w:footnoteReference w:id="1"/>
            </w:r>
            <w:r w:rsidRPr="0082026A">
              <w:rPr>
                <w:rFonts w:ascii="Verdana" w:hAnsi="Verdana"/>
                <w:sz w:val="18"/>
                <w:szCs w:val="18"/>
              </w:rPr>
              <w:t xml:space="preserve"> en financiert via Milieu Centraal een campagne voor refurbished ICT-apparaten</w:t>
            </w:r>
            <w:r>
              <w:rPr>
                <w:rStyle w:val="FootnoteReference"/>
                <w:rFonts w:ascii="Verdana" w:hAnsi="Verdana"/>
                <w:sz w:val="18"/>
                <w:szCs w:val="18"/>
              </w:rPr>
              <w:footnoteReference w:id="2"/>
            </w:r>
            <w:r w:rsidRPr="0082026A">
              <w:rPr>
                <w:rFonts w:ascii="Verdana" w:hAnsi="Verdana"/>
                <w:sz w:val="18"/>
                <w:szCs w:val="18"/>
              </w:rPr>
              <w:t xml:space="preserve">. </w:t>
            </w:r>
            <w:r w:rsidRPr="0082026A">
              <w:rPr>
                <w:rFonts w:ascii="Verdana" w:hAnsi="Verdana"/>
                <w:sz w:val="18"/>
                <w:szCs w:val="18"/>
              </w:rPr>
              <w:br/>
            </w:r>
          </w:p>
        </w:tc>
      </w:tr>
      <w:tr w:rsidRPr="0082026A" w:rsidR="00686E88" w:rsidTr="00CE20D1" w14:paraId="4CCC894A" w14:textId="77777777">
        <w:tc>
          <w:tcPr>
            <w:tcW w:w="0" w:type="auto"/>
          </w:tcPr>
          <w:p w:rsidRPr="0082026A" w:rsidR="00686E88" w:rsidP="00CE20D1" w:rsidRDefault="00686E88" w14:paraId="3C5699F5" w14:textId="77777777">
            <w:pPr>
              <w:rPr>
                <w:rFonts w:ascii="Verdana" w:hAnsi="Verdana"/>
                <w:sz w:val="18"/>
                <w:szCs w:val="18"/>
              </w:rPr>
            </w:pPr>
            <w:r w:rsidRPr="0082026A">
              <w:rPr>
                <w:rFonts w:ascii="Verdana" w:hAnsi="Verdana"/>
                <w:sz w:val="18"/>
                <w:szCs w:val="18"/>
              </w:rPr>
              <w:t>15</w:t>
            </w:r>
          </w:p>
        </w:tc>
        <w:tc>
          <w:tcPr>
            <w:tcW w:w="0" w:type="auto"/>
            <w:gridSpan w:val="2"/>
          </w:tcPr>
          <w:p w:rsidRPr="0082026A" w:rsidR="00686E88" w:rsidP="00CE20D1" w:rsidRDefault="00686E88" w14:paraId="615D211F" w14:textId="77777777">
            <w:pPr>
              <w:rPr>
                <w:rFonts w:ascii="Verdana" w:hAnsi="Verdana"/>
                <w:sz w:val="18"/>
                <w:szCs w:val="18"/>
              </w:rPr>
            </w:pPr>
            <w:r w:rsidRPr="0082026A">
              <w:rPr>
                <w:rFonts w:ascii="Verdana" w:hAnsi="Verdana"/>
                <w:b/>
                <w:sz w:val="18"/>
                <w:szCs w:val="18"/>
              </w:rPr>
              <w:t>Vraag:</w:t>
            </w:r>
            <w:r w:rsidRPr="0082026A">
              <w:rPr>
                <w:rFonts w:ascii="Verdana" w:hAnsi="Verdana"/>
                <w:sz w:val="18"/>
                <w:szCs w:val="18"/>
              </w:rPr>
              <w:br/>
              <w:t>Welke beleidsmatige ontwikkelingen dragen bij aan het stimuleren van minder consumptie?</w:t>
            </w:r>
            <w:r w:rsidRPr="0082026A">
              <w:rPr>
                <w:rFonts w:ascii="Verdana" w:hAnsi="Verdana"/>
                <w:sz w:val="18"/>
                <w:szCs w:val="18"/>
              </w:rPr>
              <w:br/>
            </w:r>
            <w:r w:rsidRPr="0082026A">
              <w:rPr>
                <w:rFonts w:ascii="Verdana" w:hAnsi="Verdana"/>
                <w:sz w:val="18"/>
                <w:szCs w:val="18"/>
              </w:rPr>
              <w:br/>
            </w:r>
            <w:r w:rsidRPr="0082026A">
              <w:rPr>
                <w:rFonts w:ascii="Verdana" w:hAnsi="Verdana"/>
                <w:b/>
                <w:sz w:val="18"/>
                <w:szCs w:val="18"/>
              </w:rPr>
              <w:t>Antwoord:</w:t>
            </w:r>
            <w:r w:rsidRPr="0082026A">
              <w:rPr>
                <w:rFonts w:ascii="Verdana" w:hAnsi="Verdana"/>
                <w:sz w:val="18"/>
                <w:szCs w:val="18"/>
              </w:rPr>
              <w:br/>
              <w:t>Het stimuleren van efficiënt grondstofgebruik is één van de vier strategieën binnen het NPCE en vormt daarmee onderdeel van de beleidsinzet. Hierbij wordt ingezet op een duurzamere omgang met producten en materialen, bijvoorbeeld door ‘product als een dienst’, hergebruik en deelinitiatieven te bevorderen. Deze ontwikkelingen maken het voor consumenten en bedrijven makkelijker om circulair te handelen en zo de vraag naar nieuwe grondstoffen te beperken.</w:t>
            </w:r>
            <w:r w:rsidRPr="0082026A">
              <w:rPr>
                <w:rFonts w:ascii="Verdana" w:hAnsi="Verdana"/>
                <w:sz w:val="18"/>
                <w:szCs w:val="18"/>
              </w:rPr>
              <w:br/>
            </w:r>
          </w:p>
        </w:tc>
      </w:tr>
      <w:tr w:rsidRPr="0082026A" w:rsidR="00686E88" w:rsidTr="00CE20D1" w14:paraId="5D051BCB" w14:textId="77777777">
        <w:tc>
          <w:tcPr>
            <w:tcW w:w="0" w:type="auto"/>
          </w:tcPr>
          <w:p w:rsidRPr="0082026A" w:rsidR="00686E88" w:rsidP="00CE20D1" w:rsidRDefault="00686E88" w14:paraId="5DBBAC5B" w14:textId="77777777">
            <w:pPr>
              <w:rPr>
                <w:rFonts w:ascii="Verdana" w:hAnsi="Verdana"/>
                <w:sz w:val="18"/>
                <w:szCs w:val="18"/>
              </w:rPr>
            </w:pPr>
            <w:r w:rsidRPr="0082026A">
              <w:rPr>
                <w:rFonts w:ascii="Verdana" w:hAnsi="Verdana"/>
                <w:sz w:val="18"/>
                <w:szCs w:val="18"/>
              </w:rPr>
              <w:t>16</w:t>
            </w:r>
          </w:p>
        </w:tc>
        <w:tc>
          <w:tcPr>
            <w:tcW w:w="0" w:type="auto"/>
            <w:gridSpan w:val="2"/>
          </w:tcPr>
          <w:p w:rsidRPr="0082026A" w:rsidR="00686E88" w:rsidP="00CE20D1" w:rsidRDefault="00686E88" w14:paraId="03CFFC0C" w14:textId="77777777">
            <w:pPr>
              <w:rPr>
                <w:rFonts w:ascii="Verdana" w:hAnsi="Verdana"/>
                <w:sz w:val="18"/>
                <w:szCs w:val="18"/>
              </w:rPr>
            </w:pPr>
            <w:r w:rsidRPr="0082026A">
              <w:rPr>
                <w:rFonts w:ascii="Verdana" w:hAnsi="Verdana"/>
                <w:b/>
                <w:sz w:val="18"/>
                <w:szCs w:val="18"/>
              </w:rPr>
              <w:t>Vraag:</w:t>
            </w:r>
            <w:r w:rsidRPr="0082026A">
              <w:rPr>
                <w:rFonts w:ascii="Verdana" w:hAnsi="Verdana"/>
                <w:sz w:val="18"/>
                <w:szCs w:val="18"/>
              </w:rPr>
              <w:br/>
              <w:t>Wat zijn de financiële ontwikkelingen (hoeveelheid, welke subsidies, welke middelen, allocatie van de middelen) sinds 2015 op het gebied van financiering van de circulaire economie?</w:t>
            </w:r>
            <w:r w:rsidRPr="0082026A">
              <w:rPr>
                <w:rFonts w:ascii="Verdana" w:hAnsi="Verdana"/>
                <w:sz w:val="18"/>
                <w:szCs w:val="18"/>
              </w:rPr>
              <w:br/>
            </w:r>
            <w:r w:rsidRPr="0082026A">
              <w:rPr>
                <w:rFonts w:ascii="Verdana" w:hAnsi="Verdana"/>
                <w:sz w:val="18"/>
                <w:szCs w:val="18"/>
              </w:rPr>
              <w:br/>
            </w:r>
            <w:r w:rsidRPr="0082026A">
              <w:rPr>
                <w:rFonts w:ascii="Verdana" w:hAnsi="Verdana"/>
                <w:b/>
                <w:sz w:val="18"/>
                <w:szCs w:val="18"/>
              </w:rPr>
              <w:t>Antwoord:</w:t>
            </w:r>
            <w:r w:rsidRPr="0082026A">
              <w:rPr>
                <w:rFonts w:ascii="Verdana" w:hAnsi="Verdana"/>
                <w:sz w:val="18"/>
                <w:szCs w:val="18"/>
              </w:rPr>
              <w:br/>
              <w:t xml:space="preserve">In </w:t>
            </w:r>
            <w:r>
              <w:rPr>
                <w:rFonts w:ascii="Verdana" w:hAnsi="Verdana"/>
                <w:sz w:val="18"/>
                <w:szCs w:val="18"/>
              </w:rPr>
              <w:t>de bijlage is in tabel 2 het</w:t>
            </w:r>
            <w:r w:rsidRPr="0082026A">
              <w:rPr>
                <w:rFonts w:ascii="Verdana" w:hAnsi="Verdana"/>
                <w:sz w:val="18"/>
                <w:szCs w:val="18"/>
              </w:rPr>
              <w:t xml:space="preserve"> overzicht </w:t>
            </w:r>
            <w:r>
              <w:rPr>
                <w:rFonts w:ascii="Verdana" w:hAnsi="Verdana"/>
                <w:sz w:val="18"/>
                <w:szCs w:val="18"/>
              </w:rPr>
              <w:t>opgenome</w:t>
            </w:r>
            <w:r w:rsidRPr="0082026A">
              <w:rPr>
                <w:rFonts w:ascii="Verdana" w:hAnsi="Verdana"/>
                <w:sz w:val="18"/>
                <w:szCs w:val="18"/>
              </w:rPr>
              <w:t>n</w:t>
            </w:r>
            <w:r>
              <w:rPr>
                <w:rFonts w:ascii="Verdana" w:hAnsi="Verdana"/>
                <w:sz w:val="18"/>
                <w:szCs w:val="18"/>
              </w:rPr>
              <w:t xml:space="preserve"> van</w:t>
            </w:r>
            <w:r w:rsidRPr="0082026A">
              <w:rPr>
                <w:rFonts w:ascii="Verdana" w:hAnsi="Verdana"/>
                <w:sz w:val="18"/>
                <w:szCs w:val="18"/>
              </w:rPr>
              <w:t xml:space="preserve"> de financiële ontwikkelingen op het artikel 21 van het jaar 2015 tot 2030. De gespecificeerde uitgave per subsidie zijn opgenomen in de subsidiebijlage van de jaarverslagen. </w:t>
            </w:r>
            <w:r w:rsidRPr="0082026A">
              <w:rPr>
                <w:rFonts w:ascii="Verdana" w:hAnsi="Verdana"/>
                <w:sz w:val="18"/>
                <w:szCs w:val="18"/>
              </w:rPr>
              <w:br/>
            </w:r>
          </w:p>
        </w:tc>
      </w:tr>
      <w:tr w:rsidRPr="0082026A" w:rsidR="00686E88" w:rsidTr="00CE20D1" w14:paraId="206661F9" w14:textId="77777777">
        <w:tc>
          <w:tcPr>
            <w:tcW w:w="0" w:type="auto"/>
          </w:tcPr>
          <w:p w:rsidRPr="0082026A" w:rsidR="00686E88" w:rsidP="00CE20D1" w:rsidRDefault="00686E88" w14:paraId="280826DF" w14:textId="77777777">
            <w:pPr>
              <w:rPr>
                <w:rFonts w:ascii="Verdana" w:hAnsi="Verdana"/>
                <w:sz w:val="18"/>
                <w:szCs w:val="18"/>
              </w:rPr>
            </w:pPr>
            <w:r w:rsidRPr="0082026A">
              <w:rPr>
                <w:rFonts w:ascii="Verdana" w:hAnsi="Verdana"/>
                <w:sz w:val="18"/>
                <w:szCs w:val="18"/>
              </w:rPr>
              <w:t>17</w:t>
            </w:r>
          </w:p>
        </w:tc>
        <w:tc>
          <w:tcPr>
            <w:tcW w:w="0" w:type="auto"/>
            <w:gridSpan w:val="2"/>
          </w:tcPr>
          <w:p w:rsidRPr="0082026A" w:rsidR="00686E88" w:rsidP="00CE20D1" w:rsidRDefault="00686E88" w14:paraId="5BC7F09B" w14:textId="77777777">
            <w:pPr>
              <w:rPr>
                <w:rFonts w:ascii="Verdana" w:hAnsi="Verdana"/>
                <w:sz w:val="18"/>
                <w:szCs w:val="18"/>
              </w:rPr>
            </w:pPr>
            <w:r w:rsidRPr="0082026A">
              <w:rPr>
                <w:rFonts w:ascii="Verdana" w:hAnsi="Verdana"/>
                <w:b/>
                <w:sz w:val="18"/>
                <w:szCs w:val="18"/>
              </w:rPr>
              <w:t>Vraag:</w:t>
            </w:r>
            <w:r w:rsidRPr="0082026A">
              <w:rPr>
                <w:rFonts w:ascii="Verdana" w:hAnsi="Verdana"/>
                <w:sz w:val="18"/>
                <w:szCs w:val="18"/>
              </w:rPr>
              <w:br/>
              <w:t>Wat is de verhouding tussen uitgaven aan agentschappen en aan de financiering van circulariteit zelf ten opzichte van de afgelopen vijf jaar, uitgesplitst per jaar?</w:t>
            </w:r>
            <w:r w:rsidRPr="0082026A">
              <w:rPr>
                <w:rFonts w:ascii="Verdana" w:hAnsi="Verdana"/>
                <w:sz w:val="18"/>
                <w:szCs w:val="18"/>
              </w:rPr>
              <w:br/>
            </w:r>
            <w:r w:rsidRPr="0082026A">
              <w:rPr>
                <w:rFonts w:ascii="Verdana" w:hAnsi="Verdana"/>
                <w:sz w:val="18"/>
                <w:szCs w:val="18"/>
              </w:rPr>
              <w:br/>
            </w:r>
            <w:r w:rsidRPr="0082026A">
              <w:rPr>
                <w:rFonts w:ascii="Verdana" w:hAnsi="Verdana"/>
                <w:b/>
                <w:sz w:val="18"/>
                <w:szCs w:val="18"/>
              </w:rPr>
              <w:t>Antwoord:</w:t>
            </w:r>
            <w:r w:rsidRPr="0082026A">
              <w:rPr>
                <w:rFonts w:ascii="Verdana" w:hAnsi="Verdana"/>
                <w:sz w:val="18"/>
                <w:szCs w:val="18"/>
              </w:rPr>
              <w:br/>
              <w:t xml:space="preserve">In </w:t>
            </w:r>
            <w:r>
              <w:rPr>
                <w:rFonts w:ascii="Verdana" w:hAnsi="Verdana"/>
                <w:sz w:val="18"/>
                <w:szCs w:val="18"/>
              </w:rPr>
              <w:t>de bijlage is in tabel 3</w:t>
            </w:r>
            <w:r w:rsidRPr="0082026A">
              <w:rPr>
                <w:rFonts w:ascii="Verdana" w:hAnsi="Verdana"/>
                <w:sz w:val="18"/>
                <w:szCs w:val="18"/>
              </w:rPr>
              <w:t xml:space="preserve"> opgenomen welk aandeel van de middelen bestemd is voor de financiering van de agentschappen ten opzichte van het totaal. Het is belangrijk om daarbij te vermelden dat ook de bijdragen aan de agentschappen ten bate zijn van de transitie naar circulaire economie.</w:t>
            </w:r>
            <w:r w:rsidRPr="0082026A">
              <w:rPr>
                <w:rFonts w:ascii="Verdana" w:hAnsi="Verdana"/>
                <w:sz w:val="18"/>
                <w:szCs w:val="18"/>
              </w:rPr>
              <w:br/>
            </w:r>
          </w:p>
        </w:tc>
      </w:tr>
      <w:tr w:rsidRPr="0082026A" w:rsidR="00686E88" w:rsidTr="00CE20D1" w14:paraId="7160F10A" w14:textId="77777777">
        <w:tc>
          <w:tcPr>
            <w:tcW w:w="0" w:type="auto"/>
          </w:tcPr>
          <w:p w:rsidRPr="0082026A" w:rsidR="00686E88" w:rsidP="00CE20D1" w:rsidRDefault="00686E88" w14:paraId="12C94402" w14:textId="77777777">
            <w:pPr>
              <w:rPr>
                <w:rFonts w:ascii="Verdana" w:hAnsi="Verdana"/>
                <w:sz w:val="18"/>
                <w:szCs w:val="18"/>
              </w:rPr>
            </w:pPr>
            <w:r w:rsidRPr="0082026A">
              <w:rPr>
                <w:rFonts w:ascii="Verdana" w:hAnsi="Verdana"/>
                <w:sz w:val="18"/>
                <w:szCs w:val="18"/>
              </w:rPr>
              <w:t>18</w:t>
            </w:r>
          </w:p>
        </w:tc>
        <w:tc>
          <w:tcPr>
            <w:tcW w:w="0" w:type="auto"/>
            <w:gridSpan w:val="2"/>
          </w:tcPr>
          <w:p w:rsidRPr="00586205" w:rsidR="00586205" w:rsidP="00586205" w:rsidRDefault="00686E88" w14:paraId="53F3B0C4" w14:textId="1DCFFB98">
            <w:pPr>
              <w:rPr>
                <w:rFonts w:ascii="Verdana" w:hAnsi="Verdana"/>
                <w:sz w:val="18"/>
                <w:szCs w:val="18"/>
              </w:rPr>
            </w:pPr>
            <w:r w:rsidRPr="0082026A">
              <w:rPr>
                <w:rFonts w:ascii="Verdana" w:hAnsi="Verdana"/>
                <w:b/>
                <w:sz w:val="18"/>
                <w:szCs w:val="18"/>
              </w:rPr>
              <w:t>Vraag:</w:t>
            </w:r>
            <w:r w:rsidRPr="0082026A">
              <w:rPr>
                <w:rFonts w:ascii="Verdana" w:hAnsi="Verdana"/>
                <w:sz w:val="18"/>
                <w:szCs w:val="18"/>
              </w:rPr>
              <w:br/>
              <w:t>Welk bedrag zou nodig zijn om de gestelde doelen voor de circulaire economie te bereiken in 2030? En welk bedrag om de doelen van 2035 te halen?</w:t>
            </w:r>
            <w:r w:rsidRPr="0082026A">
              <w:rPr>
                <w:rFonts w:ascii="Verdana" w:hAnsi="Verdana"/>
                <w:sz w:val="18"/>
                <w:szCs w:val="18"/>
              </w:rPr>
              <w:br/>
            </w:r>
            <w:r w:rsidRPr="0082026A">
              <w:rPr>
                <w:rFonts w:ascii="Verdana" w:hAnsi="Verdana"/>
                <w:sz w:val="18"/>
                <w:szCs w:val="18"/>
              </w:rPr>
              <w:br/>
            </w:r>
            <w:r w:rsidRPr="0082026A">
              <w:rPr>
                <w:rFonts w:ascii="Verdana" w:hAnsi="Verdana"/>
                <w:b/>
                <w:sz w:val="18"/>
                <w:szCs w:val="18"/>
              </w:rPr>
              <w:t>Antwoord:</w:t>
            </w:r>
            <w:r w:rsidRPr="0082026A">
              <w:rPr>
                <w:rFonts w:ascii="Verdana" w:hAnsi="Verdana"/>
                <w:sz w:val="18"/>
                <w:szCs w:val="18"/>
              </w:rPr>
              <w:br/>
            </w:r>
            <w:r w:rsidRPr="004509D2" w:rsidR="00586205">
              <w:rPr>
                <w:rFonts w:ascii="Verdana" w:hAnsi="Verdana"/>
                <w:sz w:val="18"/>
                <w:szCs w:val="18"/>
              </w:rPr>
              <w:t>De kosten voor het realiseren van de beleidsdoelen voor 2035 hangen af van het gevoerde beleid, dat deels toekomstige kabinetsperiodes zal beslaan en afhankelijk is van het beleid in de EU. Hierdoor kan nu geen eenduidig antwoord worden gegeven op deze vraag. Door het instellen van ketentafels van de prioritaire productgroepen gaan we in gesprek met de betrokken partijen uit de keten over hoe we de doelen gezamenlijk kunnen halen.</w:t>
            </w:r>
            <w:r w:rsidRPr="00586205" w:rsidR="00586205">
              <w:rPr>
                <w:rFonts w:ascii="Verdana" w:hAnsi="Verdana"/>
                <w:sz w:val="18"/>
                <w:szCs w:val="18"/>
              </w:rPr>
              <w:t xml:space="preserve"> </w:t>
            </w:r>
          </w:p>
          <w:p w:rsidRPr="0082026A" w:rsidR="00686E88" w:rsidP="00CE20D1" w:rsidRDefault="00686E88" w14:paraId="4E42BD31" w14:textId="4211B3FA">
            <w:pPr>
              <w:rPr>
                <w:rFonts w:ascii="Verdana" w:hAnsi="Verdana"/>
                <w:sz w:val="18"/>
                <w:szCs w:val="18"/>
              </w:rPr>
            </w:pPr>
          </w:p>
        </w:tc>
      </w:tr>
      <w:tr w:rsidRPr="0082026A" w:rsidR="00686E88" w:rsidTr="00CE20D1" w14:paraId="77322D4C" w14:textId="77777777">
        <w:tc>
          <w:tcPr>
            <w:tcW w:w="0" w:type="auto"/>
          </w:tcPr>
          <w:p w:rsidRPr="0082026A" w:rsidR="00686E88" w:rsidP="00CE20D1" w:rsidRDefault="00686E88" w14:paraId="2F0C1095" w14:textId="77777777">
            <w:pPr>
              <w:rPr>
                <w:rFonts w:ascii="Verdana" w:hAnsi="Verdana"/>
                <w:sz w:val="18"/>
                <w:szCs w:val="18"/>
              </w:rPr>
            </w:pPr>
            <w:r w:rsidRPr="0082026A">
              <w:rPr>
                <w:rFonts w:ascii="Verdana" w:hAnsi="Verdana"/>
                <w:sz w:val="18"/>
                <w:szCs w:val="18"/>
              </w:rPr>
              <w:t>19</w:t>
            </w:r>
          </w:p>
        </w:tc>
        <w:tc>
          <w:tcPr>
            <w:tcW w:w="0" w:type="auto"/>
            <w:gridSpan w:val="2"/>
          </w:tcPr>
          <w:p w:rsidRPr="0082026A" w:rsidR="00686E88" w:rsidP="00CE20D1" w:rsidRDefault="00686E88" w14:paraId="7CE4F905" w14:textId="77777777">
            <w:pPr>
              <w:rPr>
                <w:rFonts w:ascii="Verdana" w:hAnsi="Verdana"/>
                <w:sz w:val="18"/>
                <w:szCs w:val="18"/>
              </w:rPr>
            </w:pPr>
            <w:r w:rsidRPr="0082026A">
              <w:rPr>
                <w:rFonts w:ascii="Verdana" w:hAnsi="Verdana"/>
                <w:b/>
                <w:sz w:val="18"/>
                <w:szCs w:val="18"/>
              </w:rPr>
              <w:t>Vraag:</w:t>
            </w:r>
            <w:r w:rsidRPr="0082026A">
              <w:rPr>
                <w:rFonts w:ascii="Verdana" w:hAnsi="Verdana"/>
                <w:sz w:val="18"/>
                <w:szCs w:val="18"/>
              </w:rPr>
              <w:br/>
              <w:t>Hoeveel investeert u nog in circulaire ambachtscentra (CA’s)?</w:t>
            </w:r>
            <w:r w:rsidRPr="0082026A">
              <w:rPr>
                <w:rFonts w:ascii="Verdana" w:hAnsi="Verdana"/>
                <w:sz w:val="18"/>
                <w:szCs w:val="18"/>
              </w:rPr>
              <w:br/>
            </w:r>
            <w:r w:rsidRPr="0082026A">
              <w:rPr>
                <w:rFonts w:ascii="Verdana" w:hAnsi="Verdana"/>
                <w:sz w:val="18"/>
                <w:szCs w:val="18"/>
              </w:rPr>
              <w:br/>
            </w:r>
            <w:r w:rsidRPr="0082026A">
              <w:rPr>
                <w:rFonts w:ascii="Verdana" w:hAnsi="Verdana"/>
                <w:b/>
                <w:sz w:val="18"/>
                <w:szCs w:val="18"/>
              </w:rPr>
              <w:t>Antwoord:</w:t>
            </w:r>
            <w:r w:rsidRPr="0082026A">
              <w:rPr>
                <w:rFonts w:ascii="Verdana" w:hAnsi="Verdana"/>
                <w:sz w:val="18"/>
                <w:szCs w:val="18"/>
              </w:rPr>
              <w:br/>
            </w:r>
            <w:r>
              <w:rPr>
                <w:rFonts w:ascii="Verdana" w:hAnsi="Verdana"/>
                <w:sz w:val="18"/>
                <w:szCs w:val="18"/>
              </w:rPr>
              <w:t>In de a</w:t>
            </w:r>
            <w:r w:rsidRPr="0082026A">
              <w:rPr>
                <w:rFonts w:ascii="Verdana" w:hAnsi="Verdana"/>
                <w:sz w:val="18"/>
                <w:szCs w:val="18"/>
              </w:rPr>
              <w:t>fgelopen jaren heeft het ministerie van IenW specifieke uitkeringen verstrekt aan gemeenten voor het realiseren van circulaire ambachtscentra. Onder andere door de forse teruggang in het budget voor circulaire economie is het niet mogelijk om deze regeling voor gemeenten voort te zetten. Er worden dus geen nieuwe specifieke uitkeringen voorzien. Wel blijft het ministerie onverminderd circulaire ambachtscentra stimuleren en ondersteunen door middel van kennis en netwerken. Hiervoor is in 2026 €270.000 aan projectgeld en 1,9 fte aan capaciteit beschikbaar gesteld bij Rijkswaterstaat.</w:t>
            </w:r>
            <w:r w:rsidRPr="0082026A">
              <w:rPr>
                <w:rFonts w:ascii="Verdana" w:hAnsi="Verdana"/>
                <w:sz w:val="18"/>
                <w:szCs w:val="18"/>
              </w:rPr>
              <w:br/>
            </w:r>
          </w:p>
        </w:tc>
      </w:tr>
      <w:tr w:rsidRPr="0082026A" w:rsidR="00686E88" w:rsidTr="00CE20D1" w14:paraId="46541B8C" w14:textId="77777777">
        <w:tc>
          <w:tcPr>
            <w:tcW w:w="0" w:type="auto"/>
          </w:tcPr>
          <w:p w:rsidRPr="0082026A" w:rsidR="00686E88" w:rsidP="00CE20D1" w:rsidRDefault="00686E88" w14:paraId="5B00BFCF" w14:textId="77777777">
            <w:pPr>
              <w:rPr>
                <w:rFonts w:ascii="Verdana" w:hAnsi="Verdana"/>
                <w:sz w:val="18"/>
                <w:szCs w:val="18"/>
              </w:rPr>
            </w:pPr>
            <w:r w:rsidRPr="0082026A">
              <w:rPr>
                <w:rFonts w:ascii="Verdana" w:hAnsi="Verdana"/>
                <w:sz w:val="18"/>
                <w:szCs w:val="18"/>
              </w:rPr>
              <w:t>20</w:t>
            </w:r>
          </w:p>
        </w:tc>
        <w:tc>
          <w:tcPr>
            <w:tcW w:w="0" w:type="auto"/>
            <w:gridSpan w:val="2"/>
          </w:tcPr>
          <w:p w:rsidR="00686E88" w:rsidP="00CE20D1" w:rsidRDefault="00686E88" w14:paraId="46CB4423" w14:textId="77777777">
            <w:pPr>
              <w:rPr>
                <w:rFonts w:ascii="Verdana" w:hAnsi="Verdana"/>
                <w:sz w:val="18"/>
                <w:szCs w:val="18"/>
              </w:rPr>
            </w:pPr>
            <w:r w:rsidRPr="0082026A">
              <w:rPr>
                <w:rFonts w:ascii="Verdana" w:hAnsi="Verdana"/>
                <w:b/>
                <w:sz w:val="18"/>
                <w:szCs w:val="18"/>
              </w:rPr>
              <w:t>Vraag:</w:t>
            </w:r>
            <w:r w:rsidRPr="0082026A">
              <w:rPr>
                <w:rFonts w:ascii="Verdana" w:hAnsi="Verdana"/>
                <w:sz w:val="18"/>
                <w:szCs w:val="18"/>
              </w:rPr>
              <w:br/>
              <w:t>Hoeveel van het budget rondom CA’s komt terecht in werkprogramma’s en op de werkvloer? Hoeveel van het budget blijft binnen ministeries en hoeveel bij Rijkswaterstaat?</w:t>
            </w:r>
            <w:r w:rsidRPr="0082026A">
              <w:rPr>
                <w:rFonts w:ascii="Verdana" w:hAnsi="Verdana"/>
                <w:sz w:val="18"/>
                <w:szCs w:val="18"/>
              </w:rPr>
              <w:br/>
            </w:r>
            <w:r w:rsidRPr="0082026A">
              <w:rPr>
                <w:rFonts w:ascii="Verdana" w:hAnsi="Verdana"/>
                <w:sz w:val="18"/>
                <w:szCs w:val="18"/>
              </w:rPr>
              <w:br/>
            </w:r>
            <w:r w:rsidRPr="0082026A">
              <w:rPr>
                <w:rFonts w:ascii="Verdana" w:hAnsi="Verdana"/>
                <w:b/>
                <w:sz w:val="18"/>
                <w:szCs w:val="18"/>
              </w:rPr>
              <w:t>Antwoord:</w:t>
            </w:r>
            <w:r w:rsidRPr="0082026A">
              <w:rPr>
                <w:rFonts w:ascii="Verdana" w:hAnsi="Verdana"/>
                <w:sz w:val="18"/>
                <w:szCs w:val="18"/>
              </w:rPr>
              <w:br/>
              <w:t xml:space="preserve">Rijkswaterstaat voert sinds 2019, in opdracht van het ministerie van IenW, het Programma Circulaire Ambachtscentra uit om gemeenten bij het ontwikkelen van circulaire ambachtscentra te ondersteunen door middel van kennis, netwerken en specifieke uitkeringen. </w:t>
            </w:r>
          </w:p>
          <w:p w:rsidR="00686E88" w:rsidP="00CE20D1" w:rsidRDefault="00686E88" w14:paraId="7F01C7AE" w14:textId="77777777">
            <w:pPr>
              <w:rPr>
                <w:rFonts w:ascii="Verdana" w:hAnsi="Verdana"/>
                <w:sz w:val="18"/>
                <w:szCs w:val="18"/>
              </w:rPr>
            </w:pPr>
            <w:r w:rsidRPr="0082026A">
              <w:rPr>
                <w:rFonts w:ascii="Verdana" w:hAnsi="Verdana"/>
                <w:sz w:val="18"/>
                <w:szCs w:val="18"/>
              </w:rPr>
              <w:t>In de periode 2019 – 2025 is €</w:t>
            </w:r>
            <w:r>
              <w:rPr>
                <w:rFonts w:ascii="Verdana" w:hAnsi="Verdana"/>
                <w:sz w:val="18"/>
                <w:szCs w:val="18"/>
              </w:rPr>
              <w:t xml:space="preserve"> </w:t>
            </w:r>
            <w:r w:rsidRPr="0082026A">
              <w:rPr>
                <w:rFonts w:ascii="Verdana" w:hAnsi="Verdana"/>
                <w:sz w:val="18"/>
                <w:szCs w:val="18"/>
              </w:rPr>
              <w:t>3,4 miljoen beschikbaar gesteld aan specifieke uitkeringen voor gemeenten. In aanvulling daarop is in dezelfde periode €</w:t>
            </w:r>
            <w:r>
              <w:rPr>
                <w:rFonts w:ascii="Verdana" w:hAnsi="Verdana"/>
                <w:sz w:val="18"/>
                <w:szCs w:val="18"/>
              </w:rPr>
              <w:t xml:space="preserve"> </w:t>
            </w:r>
            <w:r w:rsidRPr="0082026A">
              <w:rPr>
                <w:rFonts w:ascii="Verdana" w:hAnsi="Verdana"/>
                <w:sz w:val="18"/>
                <w:szCs w:val="18"/>
              </w:rPr>
              <w:t xml:space="preserve">1,4 miljoen ter beschikking gesteld aan Rijkswaterstaat voor het ontwikkelen van kennis en het bouwen en onderhouden van netwerken. </w:t>
            </w:r>
          </w:p>
          <w:p w:rsidRPr="0082026A" w:rsidR="00686E88" w:rsidP="00CE20D1" w:rsidRDefault="00686E88" w14:paraId="02565DAB" w14:textId="77777777">
            <w:pPr>
              <w:rPr>
                <w:rFonts w:ascii="Verdana" w:hAnsi="Verdana"/>
                <w:sz w:val="18"/>
                <w:szCs w:val="18"/>
              </w:rPr>
            </w:pPr>
            <w:r w:rsidRPr="0082026A">
              <w:rPr>
                <w:rFonts w:ascii="Verdana" w:hAnsi="Verdana"/>
                <w:sz w:val="18"/>
                <w:szCs w:val="18"/>
              </w:rPr>
              <w:t>Voor 2026 is €270.000 gereserveerd bij Rijkswaterstaat voor de uitvoering van het programma. Onder andere door de forse teruggang in het budget voor circulaire economie is het niet mogelijk om de specifieke uitkering voor gemeenten in 2026 voort te zetten.</w:t>
            </w:r>
            <w:r w:rsidRPr="0082026A">
              <w:rPr>
                <w:rFonts w:ascii="Verdana" w:hAnsi="Verdana"/>
                <w:sz w:val="18"/>
                <w:szCs w:val="18"/>
              </w:rPr>
              <w:br/>
            </w:r>
          </w:p>
        </w:tc>
      </w:tr>
      <w:tr w:rsidRPr="0082026A" w:rsidR="00686E88" w:rsidTr="00CE20D1" w14:paraId="7F8A680B" w14:textId="77777777">
        <w:tc>
          <w:tcPr>
            <w:tcW w:w="0" w:type="auto"/>
          </w:tcPr>
          <w:p w:rsidRPr="0082026A" w:rsidR="00686E88" w:rsidP="00CE20D1" w:rsidRDefault="00686E88" w14:paraId="23B1AD12" w14:textId="77777777">
            <w:pPr>
              <w:rPr>
                <w:rFonts w:ascii="Verdana" w:hAnsi="Verdana"/>
                <w:sz w:val="18"/>
                <w:szCs w:val="18"/>
              </w:rPr>
            </w:pPr>
            <w:r w:rsidRPr="0082026A">
              <w:rPr>
                <w:rFonts w:ascii="Verdana" w:hAnsi="Verdana"/>
                <w:sz w:val="18"/>
                <w:szCs w:val="18"/>
              </w:rPr>
              <w:t>21</w:t>
            </w:r>
          </w:p>
        </w:tc>
        <w:tc>
          <w:tcPr>
            <w:tcW w:w="0" w:type="auto"/>
            <w:gridSpan w:val="2"/>
          </w:tcPr>
          <w:p w:rsidRPr="0082026A" w:rsidR="00686E88" w:rsidP="00CE20D1" w:rsidRDefault="00686E88" w14:paraId="72494289" w14:textId="77777777">
            <w:pPr>
              <w:rPr>
                <w:rFonts w:ascii="Verdana" w:hAnsi="Verdana"/>
                <w:sz w:val="18"/>
                <w:szCs w:val="18"/>
              </w:rPr>
            </w:pPr>
            <w:r w:rsidRPr="0082026A">
              <w:rPr>
                <w:rFonts w:ascii="Verdana" w:hAnsi="Verdana"/>
                <w:b/>
                <w:sz w:val="18"/>
                <w:szCs w:val="18"/>
              </w:rPr>
              <w:t>Vraag:</w:t>
            </w:r>
            <w:r w:rsidRPr="0082026A">
              <w:rPr>
                <w:rFonts w:ascii="Verdana" w:hAnsi="Verdana"/>
                <w:sz w:val="18"/>
                <w:szCs w:val="18"/>
              </w:rPr>
              <w:br/>
              <w:t>Wat is de beleidsmatige evaluatie van het verlagen van het budget voor de circulaire economie? Welke keuzes zitten hierachter, en dragen deze bij aan het halen van de circulariteitsdoelstellingen?</w:t>
            </w:r>
            <w:r w:rsidRPr="0082026A">
              <w:rPr>
                <w:rFonts w:ascii="Verdana" w:hAnsi="Verdana"/>
                <w:sz w:val="18"/>
                <w:szCs w:val="18"/>
              </w:rPr>
              <w:br/>
            </w:r>
            <w:r w:rsidRPr="0082026A">
              <w:rPr>
                <w:rFonts w:ascii="Verdana" w:hAnsi="Verdana"/>
                <w:sz w:val="18"/>
                <w:szCs w:val="18"/>
              </w:rPr>
              <w:br/>
            </w:r>
            <w:r w:rsidRPr="0082026A">
              <w:rPr>
                <w:rFonts w:ascii="Verdana" w:hAnsi="Verdana"/>
                <w:b/>
                <w:sz w:val="18"/>
                <w:szCs w:val="18"/>
              </w:rPr>
              <w:t>Antwoord:</w:t>
            </w:r>
            <w:r w:rsidRPr="0082026A">
              <w:rPr>
                <w:rFonts w:ascii="Verdana" w:hAnsi="Verdana"/>
                <w:sz w:val="18"/>
                <w:szCs w:val="18"/>
              </w:rPr>
              <w:br/>
              <w:t>De enige reden dat de middelen in 2026 lager zijn dan in voorgaande jaren is dat een incidentele verhoging van de afgelopen jaren is afgelopen. Aan het verlagen van de budgetten liggen dan ook geen beleidsmatige overwegingen ten grondslag.</w:t>
            </w:r>
            <w:r w:rsidRPr="0082026A">
              <w:rPr>
                <w:rFonts w:ascii="Verdana" w:hAnsi="Verdana"/>
                <w:sz w:val="18"/>
                <w:szCs w:val="18"/>
              </w:rPr>
              <w:br/>
            </w:r>
          </w:p>
        </w:tc>
      </w:tr>
      <w:tr w:rsidRPr="0082026A" w:rsidR="00686E88" w:rsidTr="00CE20D1" w14:paraId="4ECC3124" w14:textId="77777777">
        <w:tc>
          <w:tcPr>
            <w:tcW w:w="0" w:type="auto"/>
          </w:tcPr>
          <w:p w:rsidRPr="0082026A" w:rsidR="00686E88" w:rsidP="00CE20D1" w:rsidRDefault="00686E88" w14:paraId="7BC66BF2" w14:textId="77777777">
            <w:pPr>
              <w:rPr>
                <w:rFonts w:ascii="Verdana" w:hAnsi="Verdana"/>
                <w:sz w:val="18"/>
                <w:szCs w:val="18"/>
              </w:rPr>
            </w:pPr>
            <w:r w:rsidRPr="0082026A">
              <w:rPr>
                <w:rFonts w:ascii="Verdana" w:hAnsi="Verdana"/>
                <w:sz w:val="18"/>
                <w:szCs w:val="18"/>
              </w:rPr>
              <w:t>22</w:t>
            </w:r>
          </w:p>
        </w:tc>
        <w:tc>
          <w:tcPr>
            <w:tcW w:w="0" w:type="auto"/>
            <w:gridSpan w:val="2"/>
          </w:tcPr>
          <w:p w:rsidRPr="0082026A" w:rsidR="00686E88" w:rsidP="00CE20D1" w:rsidRDefault="00686E88" w14:paraId="06283028" w14:textId="77777777">
            <w:pPr>
              <w:rPr>
                <w:rFonts w:ascii="Verdana" w:hAnsi="Verdana"/>
                <w:sz w:val="18"/>
                <w:szCs w:val="18"/>
              </w:rPr>
            </w:pPr>
            <w:r w:rsidRPr="0082026A">
              <w:rPr>
                <w:rFonts w:ascii="Verdana" w:hAnsi="Verdana"/>
                <w:b/>
                <w:sz w:val="18"/>
                <w:szCs w:val="18"/>
              </w:rPr>
              <w:t>Vraag:</w:t>
            </w:r>
            <w:r w:rsidRPr="0082026A">
              <w:rPr>
                <w:rFonts w:ascii="Verdana" w:hAnsi="Verdana"/>
                <w:sz w:val="18"/>
                <w:szCs w:val="18"/>
              </w:rPr>
              <w:br/>
              <w:t>Waarvoor kunnen de KF – DEI + CE-gelden (Klimaatfonds – regeling Demonstratie Energie- en Klimaatinnovatie Circulaire economie) precies ingezet worden?</w:t>
            </w:r>
            <w:r w:rsidRPr="0082026A">
              <w:rPr>
                <w:rFonts w:ascii="Verdana" w:hAnsi="Verdana"/>
                <w:sz w:val="18"/>
                <w:szCs w:val="18"/>
              </w:rPr>
              <w:br/>
            </w:r>
            <w:r w:rsidRPr="0082026A">
              <w:rPr>
                <w:rFonts w:ascii="Verdana" w:hAnsi="Verdana"/>
                <w:sz w:val="18"/>
                <w:szCs w:val="18"/>
              </w:rPr>
              <w:br/>
            </w:r>
            <w:r w:rsidRPr="0082026A">
              <w:rPr>
                <w:rFonts w:ascii="Verdana" w:hAnsi="Verdana"/>
                <w:b/>
                <w:sz w:val="18"/>
                <w:szCs w:val="18"/>
              </w:rPr>
              <w:t>Antwoord:</w:t>
            </w:r>
            <w:r w:rsidRPr="0082026A">
              <w:rPr>
                <w:rFonts w:ascii="Verdana" w:hAnsi="Verdana"/>
                <w:sz w:val="18"/>
                <w:szCs w:val="18"/>
              </w:rPr>
              <w:br/>
              <w:t>Het ministerie van IenW zet de Klimaatfondsmiddelen in voor de maatregel “continuering DEI+ CE”. Dit heeft betrekking op programma’s die innovaties rondom Circulaire Economie proberen op te schalen om zo op lange termijn CO</w:t>
            </w:r>
            <w:r w:rsidRPr="0016522A">
              <w:rPr>
                <w:rFonts w:ascii="Verdana" w:hAnsi="Verdana"/>
                <w:sz w:val="18"/>
                <w:szCs w:val="18"/>
                <w:vertAlign w:val="subscript"/>
              </w:rPr>
              <w:t>2</w:t>
            </w:r>
            <w:r w:rsidRPr="0082026A">
              <w:rPr>
                <w:rFonts w:ascii="Verdana" w:hAnsi="Verdana"/>
                <w:sz w:val="18"/>
                <w:szCs w:val="18"/>
              </w:rPr>
              <w:t>-uitstoot te verminderen. Deze middelen worden gebruikt voor subsidies en inzet van capaciteit. Zo worden ondernemers met een kapitaalbehoefte tijdens de opschalingsfase(s) van een innovatie door de</w:t>
            </w:r>
            <w:r>
              <w:rPr>
                <w:rFonts w:ascii="Verdana" w:hAnsi="Verdana"/>
                <w:sz w:val="18"/>
                <w:szCs w:val="18"/>
              </w:rPr>
              <w:t xml:space="preserve"> regeling</w:t>
            </w:r>
            <w:r w:rsidRPr="0082026A">
              <w:rPr>
                <w:rFonts w:ascii="Verdana" w:hAnsi="Verdana"/>
                <w:sz w:val="18"/>
                <w:szCs w:val="18"/>
              </w:rPr>
              <w:t xml:space="preserve"> DEI+ CE ondersteund. De</w:t>
            </w:r>
            <w:r>
              <w:rPr>
                <w:rFonts w:ascii="Verdana" w:hAnsi="Verdana"/>
                <w:sz w:val="18"/>
                <w:szCs w:val="18"/>
              </w:rPr>
              <w:t>ze regeling</w:t>
            </w:r>
            <w:r w:rsidRPr="0082026A">
              <w:rPr>
                <w:rFonts w:ascii="Verdana" w:hAnsi="Verdana"/>
                <w:sz w:val="18"/>
                <w:szCs w:val="18"/>
              </w:rPr>
              <w:t xml:space="preserve"> stelt ondernemers in staat hun innovatie toe te passen in een pilot of demonstratieproject. Gesubsidieerde projecten houden zich bijvoorbeeld bezig met het opnieuw gebruiken van reststromen en producten, en het besparen van materialen. In 2025 was €80 miljoen beschikbaar voor de DEI+ CE</w:t>
            </w:r>
            <w:r>
              <w:rPr>
                <w:rFonts w:ascii="Verdana" w:hAnsi="Verdana"/>
                <w:sz w:val="18"/>
                <w:szCs w:val="18"/>
              </w:rPr>
              <w:t xml:space="preserve"> regeling</w:t>
            </w:r>
            <w:r w:rsidRPr="0082026A">
              <w:rPr>
                <w:rFonts w:ascii="Verdana" w:hAnsi="Verdana"/>
                <w:sz w:val="18"/>
                <w:szCs w:val="18"/>
              </w:rPr>
              <w:t>. De middelen kunnen niet buiten de kaders van het Klimaatfonds ingezet worden.</w:t>
            </w:r>
            <w:r w:rsidRPr="0082026A">
              <w:rPr>
                <w:rFonts w:ascii="Verdana" w:hAnsi="Verdana"/>
                <w:sz w:val="18"/>
                <w:szCs w:val="18"/>
              </w:rPr>
              <w:br/>
            </w:r>
          </w:p>
        </w:tc>
      </w:tr>
      <w:tr w:rsidRPr="0082026A" w:rsidR="00686E88" w:rsidTr="00CE20D1" w14:paraId="42D4D0DE" w14:textId="77777777">
        <w:tc>
          <w:tcPr>
            <w:tcW w:w="0" w:type="auto"/>
          </w:tcPr>
          <w:p w:rsidRPr="0082026A" w:rsidR="00686E88" w:rsidP="00CE20D1" w:rsidRDefault="00686E88" w14:paraId="0A861E47" w14:textId="77777777">
            <w:pPr>
              <w:rPr>
                <w:rFonts w:ascii="Verdana" w:hAnsi="Verdana"/>
                <w:sz w:val="18"/>
                <w:szCs w:val="18"/>
              </w:rPr>
            </w:pPr>
            <w:r w:rsidRPr="0082026A">
              <w:rPr>
                <w:rFonts w:ascii="Verdana" w:hAnsi="Verdana"/>
                <w:sz w:val="18"/>
                <w:szCs w:val="18"/>
              </w:rPr>
              <w:t>23</w:t>
            </w:r>
          </w:p>
        </w:tc>
        <w:tc>
          <w:tcPr>
            <w:tcW w:w="0" w:type="auto"/>
            <w:gridSpan w:val="2"/>
          </w:tcPr>
          <w:p w:rsidR="00686E88" w:rsidP="00CE20D1" w:rsidRDefault="00686E88" w14:paraId="5644485B" w14:textId="77777777">
            <w:pPr>
              <w:rPr>
                <w:rFonts w:ascii="Verdana" w:hAnsi="Verdana"/>
                <w:sz w:val="18"/>
                <w:szCs w:val="18"/>
              </w:rPr>
            </w:pPr>
            <w:r w:rsidRPr="0082026A">
              <w:rPr>
                <w:rFonts w:ascii="Verdana" w:hAnsi="Verdana"/>
                <w:b/>
                <w:sz w:val="18"/>
                <w:szCs w:val="18"/>
              </w:rPr>
              <w:t>Vraag:</w:t>
            </w:r>
            <w:r w:rsidRPr="0082026A">
              <w:rPr>
                <w:rFonts w:ascii="Verdana" w:hAnsi="Verdana"/>
                <w:sz w:val="18"/>
                <w:szCs w:val="18"/>
              </w:rPr>
              <w:br/>
              <w:t>Waarvoor kunnen de KF-circulair-doen-en-gedrag-gelden precies ingezet worden?</w:t>
            </w:r>
            <w:r w:rsidRPr="0082026A">
              <w:rPr>
                <w:rFonts w:ascii="Verdana" w:hAnsi="Verdana"/>
                <w:sz w:val="18"/>
                <w:szCs w:val="18"/>
              </w:rPr>
              <w:br/>
            </w:r>
            <w:r w:rsidRPr="0082026A">
              <w:rPr>
                <w:rFonts w:ascii="Verdana" w:hAnsi="Verdana"/>
                <w:sz w:val="18"/>
                <w:szCs w:val="18"/>
              </w:rPr>
              <w:br/>
            </w:r>
            <w:r w:rsidRPr="0082026A">
              <w:rPr>
                <w:rFonts w:ascii="Verdana" w:hAnsi="Verdana"/>
                <w:b/>
                <w:sz w:val="18"/>
                <w:szCs w:val="18"/>
              </w:rPr>
              <w:t>Antwoord:</w:t>
            </w:r>
            <w:r w:rsidRPr="0082026A">
              <w:rPr>
                <w:rFonts w:ascii="Verdana" w:hAnsi="Verdana"/>
                <w:sz w:val="18"/>
                <w:szCs w:val="18"/>
              </w:rPr>
              <w:br/>
              <w:t xml:space="preserve">Het ministerie van Infrastructuur en Waterstaat zet de Klimaatfondsmiddelen in voor opdrachten, subsidies en capaciteit binnen het programma Circulair doen. De middelen worden gebruikt voor de uitvoering van de </w:t>
            </w:r>
            <w:r w:rsidRPr="0082026A">
              <w:rPr>
                <w:rFonts w:ascii="Verdana" w:hAnsi="Verdana"/>
                <w:i/>
                <w:sz w:val="18"/>
                <w:szCs w:val="18"/>
              </w:rPr>
              <w:t>onderwijs</w:t>
            </w:r>
            <w:r w:rsidRPr="0082026A">
              <w:rPr>
                <w:rFonts w:ascii="Verdana" w:hAnsi="Verdana"/>
                <w:sz w:val="18"/>
                <w:szCs w:val="18"/>
              </w:rPr>
              <w:t xml:space="preserve"> en </w:t>
            </w:r>
            <w:r w:rsidRPr="0082026A">
              <w:rPr>
                <w:rFonts w:ascii="Verdana" w:hAnsi="Verdana"/>
                <w:i/>
                <w:sz w:val="18"/>
                <w:szCs w:val="18"/>
              </w:rPr>
              <w:t>circulair gedrag</w:t>
            </w:r>
            <w:r w:rsidRPr="0082026A">
              <w:rPr>
                <w:rFonts w:ascii="Verdana" w:hAnsi="Verdana"/>
                <w:sz w:val="18"/>
                <w:szCs w:val="18"/>
              </w:rPr>
              <w:t xml:space="preserve"> maatregelen uit het NPCE</w:t>
            </w:r>
            <w:r>
              <w:rPr>
                <w:rFonts w:ascii="Verdana" w:hAnsi="Verdana"/>
                <w:sz w:val="18"/>
                <w:szCs w:val="18"/>
              </w:rPr>
              <w:t xml:space="preserve"> (Zie ook Kamerstukken 32 852, nr. 392, p. 64)</w:t>
            </w:r>
            <w:r w:rsidRPr="0082026A">
              <w:rPr>
                <w:rFonts w:ascii="Verdana" w:hAnsi="Verdana"/>
                <w:sz w:val="18"/>
                <w:szCs w:val="18"/>
              </w:rPr>
              <w:t xml:space="preserve">. </w:t>
            </w:r>
          </w:p>
          <w:p w:rsidRPr="0082026A" w:rsidR="00686E88" w:rsidP="00CE20D1" w:rsidRDefault="00686E88" w14:paraId="1498BE9A" w14:textId="77777777">
            <w:pPr>
              <w:rPr>
                <w:rFonts w:ascii="Verdana" w:hAnsi="Verdana"/>
                <w:sz w:val="18"/>
                <w:szCs w:val="18"/>
              </w:rPr>
            </w:pPr>
            <w:r w:rsidRPr="0082026A">
              <w:rPr>
                <w:rFonts w:ascii="Verdana" w:hAnsi="Verdana"/>
                <w:sz w:val="18"/>
                <w:szCs w:val="18"/>
              </w:rPr>
              <w:t>De inzet draagt bij aan het doel van het programma: mensen helpen om duurzaam en circulair te handelen door kennis en vaardigheden aan te reiken en het gewenste gedrag te stimuleren. De middelen kunnen niet buiten deze kaders ingezet worden omdat ze vanuit het K</w:t>
            </w:r>
            <w:r>
              <w:rPr>
                <w:rFonts w:ascii="Verdana" w:hAnsi="Verdana"/>
                <w:sz w:val="18"/>
                <w:szCs w:val="18"/>
              </w:rPr>
              <w:t>limaatfonds</w:t>
            </w:r>
            <w:r w:rsidRPr="0082026A">
              <w:rPr>
                <w:rFonts w:ascii="Verdana" w:hAnsi="Verdana"/>
                <w:sz w:val="18"/>
                <w:szCs w:val="18"/>
              </w:rPr>
              <w:t xml:space="preserve"> expliciet daartoe zijn bestemd.</w:t>
            </w:r>
            <w:r w:rsidRPr="0082026A">
              <w:rPr>
                <w:rFonts w:ascii="Verdana" w:hAnsi="Verdana"/>
                <w:sz w:val="18"/>
                <w:szCs w:val="18"/>
              </w:rPr>
              <w:br/>
            </w:r>
          </w:p>
        </w:tc>
      </w:tr>
      <w:tr w:rsidRPr="0082026A" w:rsidR="00686E88" w:rsidTr="00CE20D1" w14:paraId="5C8C081C" w14:textId="77777777">
        <w:tc>
          <w:tcPr>
            <w:tcW w:w="0" w:type="auto"/>
          </w:tcPr>
          <w:p w:rsidRPr="0082026A" w:rsidR="00686E88" w:rsidP="00CE20D1" w:rsidRDefault="00686E88" w14:paraId="795DB3F4" w14:textId="77777777">
            <w:pPr>
              <w:rPr>
                <w:rFonts w:ascii="Verdana" w:hAnsi="Verdana"/>
                <w:sz w:val="18"/>
                <w:szCs w:val="18"/>
              </w:rPr>
            </w:pPr>
            <w:r w:rsidRPr="0082026A">
              <w:rPr>
                <w:rFonts w:ascii="Verdana" w:hAnsi="Verdana"/>
                <w:sz w:val="18"/>
                <w:szCs w:val="18"/>
              </w:rPr>
              <w:t>24</w:t>
            </w:r>
          </w:p>
        </w:tc>
        <w:tc>
          <w:tcPr>
            <w:tcW w:w="0" w:type="auto"/>
            <w:gridSpan w:val="2"/>
          </w:tcPr>
          <w:p w:rsidRPr="0082026A" w:rsidR="00686E88" w:rsidP="00CE20D1" w:rsidRDefault="00686E88" w14:paraId="1ACD99A5" w14:textId="77777777">
            <w:pPr>
              <w:rPr>
                <w:rFonts w:ascii="Verdana" w:hAnsi="Verdana"/>
                <w:sz w:val="18"/>
                <w:szCs w:val="18"/>
              </w:rPr>
            </w:pPr>
            <w:r w:rsidRPr="0082026A">
              <w:rPr>
                <w:rFonts w:ascii="Verdana" w:hAnsi="Verdana"/>
                <w:b/>
                <w:sz w:val="18"/>
                <w:szCs w:val="18"/>
              </w:rPr>
              <w:t>Vraag:</w:t>
            </w:r>
            <w:r w:rsidRPr="0082026A">
              <w:rPr>
                <w:rFonts w:ascii="Verdana" w:hAnsi="Verdana"/>
                <w:sz w:val="18"/>
                <w:szCs w:val="18"/>
              </w:rPr>
              <w:br/>
              <w:t>In welke mate is NEN betrokken bij het versimpelen van de CENELEC/WEEELABEX-reparatievereisten?</w:t>
            </w:r>
            <w:r w:rsidRPr="0082026A">
              <w:rPr>
                <w:rFonts w:ascii="Verdana" w:hAnsi="Verdana"/>
                <w:sz w:val="18"/>
                <w:szCs w:val="18"/>
              </w:rPr>
              <w:br/>
            </w:r>
            <w:r w:rsidRPr="0082026A">
              <w:rPr>
                <w:rFonts w:ascii="Verdana" w:hAnsi="Verdana"/>
                <w:sz w:val="18"/>
                <w:szCs w:val="18"/>
              </w:rPr>
              <w:br/>
            </w:r>
            <w:r w:rsidRPr="0082026A">
              <w:rPr>
                <w:rFonts w:ascii="Verdana" w:hAnsi="Verdana"/>
                <w:b/>
                <w:sz w:val="18"/>
                <w:szCs w:val="18"/>
              </w:rPr>
              <w:t>Antwoord:</w:t>
            </w:r>
            <w:r w:rsidRPr="0082026A">
              <w:rPr>
                <w:rFonts w:ascii="Verdana" w:hAnsi="Verdana"/>
                <w:sz w:val="18"/>
                <w:szCs w:val="18"/>
              </w:rPr>
              <w:br/>
              <w:t>Er is geen sprake van versimpeling van de CENELEC norm. Wel wordt gewerkt aan een aanpassing van de regeling afgedankte elektrische en elektronische apparatuur (AEEA), waardoor kleine reparateurs niet langer gecertificeerd hoeven te zijn op basis van die norm, maar in plaats daarvan zich moeten houden aan een aantal voorschriften in de regeling AEEA. Omdat er geen sprake is van aanpassing van de norm zelf is NEN niet actief betrokken bij dit proces.</w:t>
            </w:r>
            <w:r w:rsidRPr="0082026A">
              <w:rPr>
                <w:rFonts w:ascii="Verdana" w:hAnsi="Verdana"/>
                <w:sz w:val="18"/>
                <w:szCs w:val="18"/>
              </w:rPr>
              <w:br/>
            </w:r>
          </w:p>
        </w:tc>
      </w:tr>
      <w:tr w:rsidRPr="0082026A" w:rsidR="00686E88" w:rsidTr="00CE20D1" w14:paraId="03A5AF1B" w14:textId="77777777">
        <w:tc>
          <w:tcPr>
            <w:tcW w:w="0" w:type="auto"/>
          </w:tcPr>
          <w:p w:rsidRPr="0082026A" w:rsidR="00686E88" w:rsidP="00CE20D1" w:rsidRDefault="00686E88" w14:paraId="03200AB8" w14:textId="77777777">
            <w:pPr>
              <w:rPr>
                <w:rFonts w:ascii="Verdana" w:hAnsi="Verdana"/>
                <w:sz w:val="18"/>
                <w:szCs w:val="18"/>
              </w:rPr>
            </w:pPr>
            <w:r w:rsidRPr="0082026A">
              <w:rPr>
                <w:rFonts w:ascii="Verdana" w:hAnsi="Verdana"/>
                <w:sz w:val="18"/>
                <w:szCs w:val="18"/>
              </w:rPr>
              <w:t>25</w:t>
            </w:r>
          </w:p>
        </w:tc>
        <w:tc>
          <w:tcPr>
            <w:tcW w:w="0" w:type="auto"/>
            <w:gridSpan w:val="2"/>
          </w:tcPr>
          <w:p w:rsidRPr="0082026A" w:rsidR="00686E88" w:rsidP="00CE20D1" w:rsidRDefault="00686E88" w14:paraId="7F47E193" w14:textId="77777777">
            <w:pPr>
              <w:rPr>
                <w:rFonts w:ascii="Verdana" w:hAnsi="Verdana"/>
                <w:sz w:val="18"/>
                <w:szCs w:val="18"/>
              </w:rPr>
            </w:pPr>
            <w:r w:rsidRPr="0082026A">
              <w:rPr>
                <w:rFonts w:ascii="Verdana" w:hAnsi="Verdana"/>
                <w:b/>
                <w:sz w:val="18"/>
                <w:szCs w:val="18"/>
              </w:rPr>
              <w:t>Vraag:</w:t>
            </w:r>
            <w:r w:rsidRPr="0082026A">
              <w:rPr>
                <w:rFonts w:ascii="Verdana" w:hAnsi="Verdana"/>
                <w:sz w:val="18"/>
                <w:szCs w:val="18"/>
              </w:rPr>
              <w:br/>
              <w:t>Wordt de gezondheidseffectrapportage (GER) meegenomen bij de versterking van het stelsel van vergunningverlening, toezicht en handhaving (VTH-stelsel)?</w:t>
            </w:r>
            <w:r w:rsidRPr="0082026A">
              <w:rPr>
                <w:rFonts w:ascii="Verdana" w:hAnsi="Verdana"/>
                <w:sz w:val="18"/>
                <w:szCs w:val="18"/>
              </w:rPr>
              <w:br/>
            </w:r>
            <w:r w:rsidRPr="0082026A">
              <w:rPr>
                <w:rFonts w:ascii="Verdana" w:hAnsi="Verdana"/>
                <w:sz w:val="18"/>
                <w:szCs w:val="18"/>
              </w:rPr>
              <w:br/>
            </w:r>
            <w:r w:rsidRPr="0082026A">
              <w:rPr>
                <w:rFonts w:ascii="Verdana" w:hAnsi="Verdana"/>
                <w:b/>
                <w:sz w:val="18"/>
                <w:szCs w:val="18"/>
              </w:rPr>
              <w:t>Antwoord:</w:t>
            </w:r>
            <w:r w:rsidRPr="0082026A">
              <w:rPr>
                <w:rFonts w:ascii="Verdana" w:hAnsi="Verdana"/>
                <w:sz w:val="18"/>
                <w:szCs w:val="18"/>
              </w:rPr>
              <w:br/>
              <w:t>De versterking van het VTH-stelsel is in 2022 in gang is gezet met het Interbestuurlijk programma Versterking VTH-stelsel. Via de Kamerbrief Versterking VTH-stelsel van 8 juli 2022 (Kamerstuk</w:t>
            </w:r>
            <w:r>
              <w:rPr>
                <w:rFonts w:ascii="Verdana" w:hAnsi="Verdana"/>
                <w:sz w:val="18"/>
                <w:szCs w:val="18"/>
              </w:rPr>
              <w:t>ken</w:t>
            </w:r>
            <w:r w:rsidRPr="0082026A">
              <w:rPr>
                <w:rFonts w:ascii="Verdana" w:hAnsi="Verdana"/>
                <w:sz w:val="18"/>
                <w:szCs w:val="18"/>
              </w:rPr>
              <w:t xml:space="preserve"> 22</w:t>
            </w:r>
            <w:r>
              <w:rPr>
                <w:rFonts w:ascii="Verdana" w:hAnsi="Verdana"/>
                <w:sz w:val="18"/>
                <w:szCs w:val="18"/>
              </w:rPr>
              <w:t xml:space="preserve"> </w:t>
            </w:r>
            <w:r w:rsidRPr="0082026A">
              <w:rPr>
                <w:rFonts w:ascii="Verdana" w:hAnsi="Verdana"/>
                <w:sz w:val="18"/>
                <w:szCs w:val="18"/>
              </w:rPr>
              <w:t xml:space="preserve">343, nr. 336) </w:t>
            </w:r>
            <w:r>
              <w:rPr>
                <w:rFonts w:ascii="Verdana" w:hAnsi="Verdana"/>
                <w:sz w:val="18"/>
                <w:szCs w:val="18"/>
              </w:rPr>
              <w:t>is de Kamer</w:t>
            </w:r>
            <w:r w:rsidRPr="0082026A">
              <w:rPr>
                <w:rFonts w:ascii="Verdana" w:hAnsi="Verdana"/>
                <w:sz w:val="18"/>
                <w:szCs w:val="18"/>
              </w:rPr>
              <w:t xml:space="preserve"> geïnformeerd over de context en inhoud van het programma en via het bijbehorende programmaplan over de concrete acties. Daar is de GER niet opgenomen. Het programmaplan is echter niet exclusief en limitatief. Uiteraard kan het ook langs andere wegen komen tot een versterking van het stelsel. Over de GER </w:t>
            </w:r>
            <w:r>
              <w:rPr>
                <w:rFonts w:ascii="Verdana" w:hAnsi="Verdana"/>
                <w:sz w:val="18"/>
                <w:szCs w:val="18"/>
              </w:rPr>
              <w:t>zal de Kamer</w:t>
            </w:r>
            <w:r w:rsidRPr="0082026A">
              <w:rPr>
                <w:rFonts w:ascii="Verdana" w:hAnsi="Verdana"/>
                <w:sz w:val="18"/>
                <w:szCs w:val="18"/>
              </w:rPr>
              <w:t xml:space="preserve"> naar verwachting eind dit jaar geïnformeerd worden via de voortgangsbrief Actieagenda Industrie en Omwonenden.</w:t>
            </w:r>
            <w:r w:rsidRPr="0082026A">
              <w:rPr>
                <w:rFonts w:ascii="Verdana" w:hAnsi="Verdana"/>
                <w:sz w:val="18"/>
                <w:szCs w:val="18"/>
              </w:rPr>
              <w:br/>
            </w:r>
          </w:p>
        </w:tc>
      </w:tr>
      <w:tr w:rsidRPr="0082026A" w:rsidR="00686E88" w:rsidTr="00CE20D1" w14:paraId="456CE801" w14:textId="77777777">
        <w:tc>
          <w:tcPr>
            <w:tcW w:w="0" w:type="auto"/>
          </w:tcPr>
          <w:p w:rsidRPr="0082026A" w:rsidR="00686E88" w:rsidP="00CE20D1" w:rsidRDefault="00686E88" w14:paraId="063B5C2E" w14:textId="77777777">
            <w:pPr>
              <w:rPr>
                <w:rFonts w:ascii="Verdana" w:hAnsi="Verdana"/>
                <w:sz w:val="18"/>
                <w:szCs w:val="18"/>
              </w:rPr>
            </w:pPr>
            <w:r w:rsidRPr="0082026A">
              <w:rPr>
                <w:rFonts w:ascii="Verdana" w:hAnsi="Verdana"/>
                <w:sz w:val="18"/>
                <w:szCs w:val="18"/>
              </w:rPr>
              <w:t>26</w:t>
            </w:r>
          </w:p>
        </w:tc>
        <w:tc>
          <w:tcPr>
            <w:tcW w:w="0" w:type="auto"/>
            <w:gridSpan w:val="2"/>
          </w:tcPr>
          <w:p w:rsidR="00686E88" w:rsidP="00CE20D1" w:rsidRDefault="00686E88" w14:paraId="2E4BFB1F" w14:textId="77777777">
            <w:pPr>
              <w:rPr>
                <w:rFonts w:ascii="Verdana" w:hAnsi="Verdana"/>
                <w:sz w:val="18"/>
                <w:szCs w:val="18"/>
              </w:rPr>
            </w:pPr>
            <w:r w:rsidRPr="0082026A">
              <w:rPr>
                <w:rFonts w:ascii="Verdana" w:hAnsi="Verdana"/>
                <w:b/>
                <w:sz w:val="18"/>
                <w:szCs w:val="18"/>
              </w:rPr>
              <w:t>Vraag:</w:t>
            </w:r>
            <w:r w:rsidRPr="0082026A">
              <w:rPr>
                <w:rFonts w:ascii="Verdana" w:hAnsi="Verdana"/>
                <w:sz w:val="18"/>
                <w:szCs w:val="18"/>
              </w:rPr>
              <w:br/>
              <w:t>Wordt er bij het efficiënt en effectief functioneren van het VTH-stelsel ook gedacht aan de onafhankelijkheid van de omgevingsdiensten, zodat deze niet bestuurlijk onder druk (kunnen) worden gezet bij het verlenen van vergunning?</w:t>
            </w:r>
            <w:r w:rsidRPr="0082026A">
              <w:rPr>
                <w:rFonts w:ascii="Verdana" w:hAnsi="Verdana"/>
                <w:sz w:val="18"/>
                <w:szCs w:val="18"/>
              </w:rPr>
              <w:br/>
            </w:r>
            <w:r w:rsidRPr="0082026A">
              <w:rPr>
                <w:rFonts w:ascii="Verdana" w:hAnsi="Verdana"/>
                <w:sz w:val="18"/>
                <w:szCs w:val="18"/>
              </w:rPr>
              <w:br/>
            </w:r>
            <w:r w:rsidRPr="0082026A">
              <w:rPr>
                <w:rFonts w:ascii="Verdana" w:hAnsi="Verdana"/>
                <w:b/>
                <w:sz w:val="18"/>
                <w:szCs w:val="18"/>
              </w:rPr>
              <w:t>Antwoord:</w:t>
            </w:r>
            <w:r w:rsidRPr="0082026A">
              <w:rPr>
                <w:rFonts w:ascii="Verdana" w:hAnsi="Verdana"/>
                <w:sz w:val="18"/>
                <w:szCs w:val="18"/>
              </w:rPr>
              <w:br/>
              <w:t>Ja, het is belangrijk dat omgevingsdiensten hun taken onafhankelijk kunnen uitvoeren. De Kamer heeft hier eerder aandacht voor gevraagd via de aangenomen motie van het lid Gabriëls (</w:t>
            </w:r>
            <w:r>
              <w:rPr>
                <w:rFonts w:ascii="Verdana" w:hAnsi="Verdana"/>
                <w:sz w:val="18"/>
                <w:szCs w:val="18"/>
              </w:rPr>
              <w:t xml:space="preserve">Kamerstukken </w:t>
            </w:r>
            <w:r w:rsidRPr="0082026A">
              <w:rPr>
                <w:rFonts w:ascii="Verdana" w:hAnsi="Verdana"/>
                <w:sz w:val="18"/>
                <w:szCs w:val="18"/>
              </w:rPr>
              <w:t xml:space="preserve">22 343, nr. 412). </w:t>
            </w:r>
          </w:p>
          <w:p w:rsidR="00686E88" w:rsidP="00CE20D1" w:rsidRDefault="00686E88" w14:paraId="33EDA6C2" w14:textId="77777777">
            <w:pPr>
              <w:rPr>
                <w:rFonts w:ascii="Verdana" w:hAnsi="Verdana"/>
                <w:sz w:val="18"/>
                <w:szCs w:val="18"/>
              </w:rPr>
            </w:pPr>
          </w:p>
          <w:p w:rsidRPr="0082026A" w:rsidR="00686E88" w:rsidP="00CE20D1" w:rsidRDefault="00686E88" w14:paraId="3F2339CB" w14:textId="77777777">
            <w:pPr>
              <w:rPr>
                <w:rFonts w:ascii="Verdana" w:hAnsi="Verdana"/>
                <w:sz w:val="18"/>
                <w:szCs w:val="18"/>
              </w:rPr>
            </w:pPr>
            <w:r w:rsidRPr="0082026A">
              <w:rPr>
                <w:rFonts w:ascii="Verdana" w:hAnsi="Verdana"/>
                <w:sz w:val="18"/>
                <w:szCs w:val="18"/>
              </w:rPr>
              <w:t>In de Kamerbrief Voortgang versterking VTH-stelsel van 14 juli 2025 (Kamerstuk</w:t>
            </w:r>
            <w:r>
              <w:rPr>
                <w:rFonts w:ascii="Verdana" w:hAnsi="Verdana"/>
                <w:sz w:val="18"/>
                <w:szCs w:val="18"/>
              </w:rPr>
              <w:t>ken</w:t>
            </w:r>
            <w:r w:rsidRPr="0082026A">
              <w:rPr>
                <w:rFonts w:ascii="Verdana" w:hAnsi="Verdana"/>
                <w:sz w:val="18"/>
                <w:szCs w:val="18"/>
              </w:rPr>
              <w:t xml:space="preserve"> 22</w:t>
            </w:r>
            <w:r>
              <w:rPr>
                <w:rFonts w:ascii="Verdana" w:hAnsi="Verdana"/>
                <w:sz w:val="18"/>
                <w:szCs w:val="18"/>
              </w:rPr>
              <w:t xml:space="preserve"> </w:t>
            </w:r>
            <w:r w:rsidRPr="0082026A">
              <w:rPr>
                <w:rFonts w:ascii="Verdana" w:hAnsi="Verdana"/>
                <w:sz w:val="18"/>
                <w:szCs w:val="18"/>
              </w:rPr>
              <w:t>343, nr. 429), is beschreven hoe invulling is gegeven aan deze motie. Een belangrijk instrument hierbij is het interbestuurlijk vastgestelde modelmandaat dat de positie van de directeur uniformeert en verstevigt qua onafhankelijkheid.     </w:t>
            </w:r>
            <w:r w:rsidRPr="0082026A">
              <w:rPr>
                <w:rFonts w:ascii="Verdana" w:hAnsi="Verdana"/>
                <w:sz w:val="18"/>
                <w:szCs w:val="18"/>
              </w:rPr>
              <w:br/>
            </w:r>
          </w:p>
        </w:tc>
      </w:tr>
      <w:tr w:rsidRPr="0082026A" w:rsidR="00686E88" w:rsidTr="00CE20D1" w14:paraId="34C79E52" w14:textId="77777777">
        <w:tc>
          <w:tcPr>
            <w:tcW w:w="0" w:type="auto"/>
          </w:tcPr>
          <w:p w:rsidRPr="0082026A" w:rsidR="00686E88" w:rsidP="00CE20D1" w:rsidRDefault="00686E88" w14:paraId="7E0D3E3C" w14:textId="77777777">
            <w:pPr>
              <w:rPr>
                <w:rFonts w:ascii="Verdana" w:hAnsi="Verdana"/>
                <w:sz w:val="18"/>
                <w:szCs w:val="18"/>
              </w:rPr>
            </w:pPr>
            <w:r w:rsidRPr="0082026A">
              <w:rPr>
                <w:rFonts w:ascii="Verdana" w:hAnsi="Verdana"/>
                <w:sz w:val="18"/>
                <w:szCs w:val="18"/>
              </w:rPr>
              <w:t>27</w:t>
            </w:r>
          </w:p>
        </w:tc>
        <w:tc>
          <w:tcPr>
            <w:tcW w:w="0" w:type="auto"/>
            <w:gridSpan w:val="2"/>
          </w:tcPr>
          <w:p w:rsidRPr="0082026A" w:rsidR="00686E88" w:rsidP="00CE20D1" w:rsidRDefault="00686E88" w14:paraId="5D1975C3" w14:textId="77777777">
            <w:pPr>
              <w:rPr>
                <w:rFonts w:ascii="Verdana" w:hAnsi="Verdana"/>
                <w:sz w:val="18"/>
                <w:szCs w:val="18"/>
              </w:rPr>
            </w:pPr>
            <w:r w:rsidRPr="0082026A">
              <w:rPr>
                <w:rFonts w:ascii="Verdana" w:hAnsi="Verdana"/>
                <w:b/>
                <w:sz w:val="18"/>
                <w:szCs w:val="18"/>
              </w:rPr>
              <w:t>Vraag:</w:t>
            </w:r>
            <w:r w:rsidRPr="0082026A">
              <w:rPr>
                <w:rFonts w:ascii="Verdana" w:hAnsi="Verdana"/>
                <w:sz w:val="18"/>
                <w:szCs w:val="18"/>
              </w:rPr>
              <w:br/>
              <w:t>Wordt er in de monitor Nationaal Samenwerkingsprogramma Luchtkwaliteit (NSL) ook gekeken naar het effect op de gezondheid van inwoners?</w:t>
            </w:r>
            <w:r w:rsidRPr="0082026A">
              <w:rPr>
                <w:rFonts w:ascii="Verdana" w:hAnsi="Verdana"/>
                <w:sz w:val="18"/>
                <w:szCs w:val="18"/>
              </w:rPr>
              <w:br/>
            </w:r>
            <w:r w:rsidRPr="0082026A">
              <w:rPr>
                <w:rFonts w:ascii="Verdana" w:hAnsi="Verdana"/>
                <w:sz w:val="18"/>
                <w:szCs w:val="18"/>
              </w:rPr>
              <w:br/>
            </w:r>
            <w:r w:rsidRPr="0082026A">
              <w:rPr>
                <w:rFonts w:ascii="Verdana" w:hAnsi="Verdana"/>
                <w:b/>
                <w:sz w:val="18"/>
                <w:szCs w:val="18"/>
              </w:rPr>
              <w:t>Antwoord:</w:t>
            </w:r>
            <w:r w:rsidRPr="0082026A">
              <w:rPr>
                <w:rFonts w:ascii="Verdana" w:hAnsi="Verdana"/>
                <w:sz w:val="18"/>
                <w:szCs w:val="18"/>
              </w:rPr>
              <w:br/>
              <w:t>Het effect van luchtverontreiniging op de gezondheid van inwoners wordt meegenomen in de tweejaarlijkse voortgangsmeting van het Schone Lucht Akkoord (SLA). Binnen het SLA werken decentrale overheden en de Rijksoverheid aan het doel 50% gezondheidswinst in 2030 ten opzichte van 2016. De meest recente voortgangsmeting is in juni 2024 aan de Tweede Kamer gestuurd (Kamerstukken 30</w:t>
            </w:r>
            <w:r>
              <w:rPr>
                <w:rFonts w:ascii="Verdana" w:hAnsi="Verdana"/>
                <w:sz w:val="18"/>
                <w:szCs w:val="18"/>
              </w:rPr>
              <w:t xml:space="preserve"> </w:t>
            </w:r>
            <w:r w:rsidRPr="0082026A">
              <w:rPr>
                <w:rFonts w:ascii="Verdana" w:hAnsi="Verdana"/>
                <w:sz w:val="18"/>
                <w:szCs w:val="18"/>
              </w:rPr>
              <w:t>175 nr. 464). In 2026 ontvangt de Kamer een nieuwe voortgangsmeting.</w:t>
            </w:r>
            <w:r w:rsidRPr="0082026A">
              <w:rPr>
                <w:rFonts w:ascii="Verdana" w:hAnsi="Verdana"/>
                <w:sz w:val="18"/>
                <w:szCs w:val="18"/>
              </w:rPr>
              <w:br/>
            </w:r>
            <w:r w:rsidRPr="0082026A">
              <w:rPr>
                <w:rFonts w:ascii="Verdana" w:hAnsi="Verdana"/>
                <w:sz w:val="18"/>
                <w:szCs w:val="18"/>
              </w:rPr>
              <w:br/>
              <w:t>Met de inwerkingtreding van de Omgevingswet per 1 januari 2024 is het Nationaal Samenwerkingsprogramma Luchtkwaliteit en de bijbehorende monitoring komen te vervallen. Onder de O</w:t>
            </w:r>
            <w:r>
              <w:rPr>
                <w:rFonts w:ascii="Verdana" w:hAnsi="Verdana"/>
                <w:sz w:val="18"/>
                <w:szCs w:val="18"/>
              </w:rPr>
              <w:t>mgevingswet</w:t>
            </w:r>
            <w:r w:rsidRPr="0082026A">
              <w:rPr>
                <w:rFonts w:ascii="Verdana" w:hAnsi="Verdana"/>
                <w:sz w:val="18"/>
                <w:szCs w:val="18"/>
              </w:rPr>
              <w:t xml:space="preserve"> wordt de luchtkwaliteit nog steeds jaarlijks door het RIVM gemonitord. De Tweede Kamer ontvangt jaarlijks in december de resultaten van deze monitoring.</w:t>
            </w:r>
            <w:r w:rsidRPr="0082026A">
              <w:rPr>
                <w:rFonts w:ascii="Verdana" w:hAnsi="Verdana"/>
                <w:sz w:val="18"/>
                <w:szCs w:val="18"/>
              </w:rPr>
              <w:br/>
            </w:r>
          </w:p>
        </w:tc>
      </w:tr>
      <w:tr w:rsidRPr="0082026A" w:rsidR="00686E88" w:rsidTr="00CE20D1" w14:paraId="7E318ACA" w14:textId="77777777">
        <w:tc>
          <w:tcPr>
            <w:tcW w:w="0" w:type="auto"/>
          </w:tcPr>
          <w:p w:rsidRPr="0082026A" w:rsidR="00686E88" w:rsidP="00CE20D1" w:rsidRDefault="00686E88" w14:paraId="69117984" w14:textId="77777777">
            <w:pPr>
              <w:rPr>
                <w:rFonts w:ascii="Verdana" w:hAnsi="Verdana"/>
                <w:sz w:val="18"/>
                <w:szCs w:val="18"/>
              </w:rPr>
            </w:pPr>
            <w:r w:rsidRPr="0082026A">
              <w:rPr>
                <w:rFonts w:ascii="Verdana" w:hAnsi="Verdana"/>
                <w:sz w:val="18"/>
                <w:szCs w:val="18"/>
              </w:rPr>
              <w:t>28</w:t>
            </w:r>
          </w:p>
        </w:tc>
        <w:tc>
          <w:tcPr>
            <w:tcW w:w="0" w:type="auto"/>
            <w:gridSpan w:val="2"/>
          </w:tcPr>
          <w:p w:rsidRPr="0082026A" w:rsidR="00686E88" w:rsidP="00CE20D1" w:rsidRDefault="00686E88" w14:paraId="5E6FB2F7" w14:textId="77777777">
            <w:pPr>
              <w:rPr>
                <w:rFonts w:ascii="Verdana" w:hAnsi="Verdana"/>
                <w:sz w:val="18"/>
                <w:szCs w:val="18"/>
              </w:rPr>
            </w:pPr>
            <w:r w:rsidRPr="0082026A">
              <w:rPr>
                <w:rFonts w:ascii="Verdana" w:hAnsi="Verdana"/>
                <w:b/>
                <w:sz w:val="18"/>
                <w:szCs w:val="18"/>
              </w:rPr>
              <w:t>Vraag:</w:t>
            </w:r>
            <w:r w:rsidRPr="0082026A">
              <w:rPr>
                <w:rFonts w:ascii="Verdana" w:hAnsi="Verdana"/>
                <w:sz w:val="18"/>
                <w:szCs w:val="18"/>
              </w:rPr>
              <w:br/>
              <w:t>Wordt er in de jaarlijkse monitoring luchtkwaliteit van het Rijksinstituut voor Volksgezondheid en Milieu (RIVM) rekening gehouden met het fijnstof dat vrijkomt door houtstook?</w:t>
            </w:r>
            <w:r w:rsidRPr="0082026A">
              <w:rPr>
                <w:rFonts w:ascii="Verdana" w:hAnsi="Verdana"/>
                <w:sz w:val="18"/>
                <w:szCs w:val="18"/>
              </w:rPr>
              <w:br/>
            </w:r>
            <w:r w:rsidRPr="0082026A">
              <w:rPr>
                <w:rFonts w:ascii="Verdana" w:hAnsi="Verdana"/>
                <w:sz w:val="18"/>
                <w:szCs w:val="18"/>
              </w:rPr>
              <w:br/>
            </w:r>
            <w:r w:rsidRPr="0082026A">
              <w:rPr>
                <w:rFonts w:ascii="Verdana" w:hAnsi="Verdana"/>
                <w:b/>
                <w:sz w:val="18"/>
                <w:szCs w:val="18"/>
              </w:rPr>
              <w:t>Antwoord:</w:t>
            </w:r>
            <w:r w:rsidRPr="0082026A">
              <w:rPr>
                <w:rFonts w:ascii="Verdana" w:hAnsi="Verdana"/>
                <w:sz w:val="18"/>
                <w:szCs w:val="18"/>
              </w:rPr>
              <w:br/>
              <w:t>Ja, bij de monitoring van luchtkwaliteit wordt ook rekening gehouden met de fijnstofemissies door houtstook. </w:t>
            </w:r>
            <w:r w:rsidRPr="0082026A">
              <w:rPr>
                <w:rFonts w:ascii="Verdana" w:hAnsi="Verdana"/>
                <w:sz w:val="18"/>
                <w:szCs w:val="18"/>
              </w:rPr>
              <w:br/>
            </w:r>
          </w:p>
        </w:tc>
      </w:tr>
      <w:tr w:rsidRPr="0082026A" w:rsidR="00686E88" w:rsidTr="00CE20D1" w14:paraId="747B47D9" w14:textId="77777777">
        <w:tc>
          <w:tcPr>
            <w:tcW w:w="0" w:type="auto"/>
          </w:tcPr>
          <w:p w:rsidRPr="0082026A" w:rsidR="00686E88" w:rsidP="00CE20D1" w:rsidRDefault="00686E88" w14:paraId="4DA65826" w14:textId="77777777">
            <w:pPr>
              <w:rPr>
                <w:rFonts w:ascii="Verdana" w:hAnsi="Verdana"/>
                <w:sz w:val="18"/>
                <w:szCs w:val="18"/>
              </w:rPr>
            </w:pPr>
            <w:r w:rsidRPr="0082026A">
              <w:rPr>
                <w:rFonts w:ascii="Verdana" w:hAnsi="Verdana"/>
                <w:sz w:val="18"/>
                <w:szCs w:val="18"/>
              </w:rPr>
              <w:t>29</w:t>
            </w:r>
          </w:p>
        </w:tc>
        <w:tc>
          <w:tcPr>
            <w:tcW w:w="0" w:type="auto"/>
            <w:gridSpan w:val="2"/>
          </w:tcPr>
          <w:p w:rsidR="00686E88" w:rsidP="00CE20D1" w:rsidRDefault="00686E88" w14:paraId="019091E2" w14:textId="77777777">
            <w:pPr>
              <w:rPr>
                <w:rFonts w:ascii="Verdana" w:hAnsi="Verdana"/>
                <w:sz w:val="18"/>
                <w:szCs w:val="18"/>
              </w:rPr>
            </w:pPr>
            <w:r w:rsidRPr="0082026A">
              <w:rPr>
                <w:rFonts w:ascii="Verdana" w:hAnsi="Verdana"/>
                <w:b/>
                <w:sz w:val="18"/>
                <w:szCs w:val="18"/>
              </w:rPr>
              <w:t>Vraag:</w:t>
            </w:r>
            <w:r w:rsidRPr="0082026A">
              <w:rPr>
                <w:rFonts w:ascii="Verdana" w:hAnsi="Verdana"/>
                <w:sz w:val="18"/>
                <w:szCs w:val="18"/>
              </w:rPr>
              <w:br/>
              <w:t>Gezien het feit dat in de begroting IenW 2026 staat opgenomen dat ov-boa's toegang krijgen tot het rijbewijzenregister, maar er niets staat over toegang tot de strafrechtketendatabank en de Basisvoorziening vreemdelingen, en er sprake is van uitstel van beantwoording van schriftelijke vragen hierover; wanneer kan de Kamer hier antwoord op verwachten?</w:t>
            </w:r>
            <w:r w:rsidRPr="0082026A">
              <w:rPr>
                <w:rFonts w:ascii="Verdana" w:hAnsi="Verdana"/>
                <w:sz w:val="18"/>
                <w:szCs w:val="18"/>
              </w:rPr>
              <w:br/>
            </w:r>
            <w:r w:rsidRPr="0082026A">
              <w:rPr>
                <w:rFonts w:ascii="Verdana" w:hAnsi="Verdana"/>
                <w:sz w:val="18"/>
                <w:szCs w:val="18"/>
              </w:rPr>
              <w:br/>
            </w:r>
            <w:r w:rsidRPr="0082026A">
              <w:rPr>
                <w:rFonts w:ascii="Verdana" w:hAnsi="Verdana"/>
                <w:b/>
                <w:sz w:val="18"/>
                <w:szCs w:val="18"/>
              </w:rPr>
              <w:t>Antwoord:</w:t>
            </w:r>
            <w:r w:rsidRPr="0082026A">
              <w:rPr>
                <w:rFonts w:ascii="Verdana" w:hAnsi="Verdana"/>
                <w:sz w:val="18"/>
                <w:szCs w:val="18"/>
              </w:rPr>
              <w:br/>
              <w:t>In de Kamerbrief ‘stand van zaken identificatie door ov-boa’s’ van 10 oktober jl. is de Kamer geïnformeerd over de stand van zaken rondom de informatievoorziening aan boa’s (Kamerstuk</w:t>
            </w:r>
            <w:r>
              <w:rPr>
                <w:rFonts w:ascii="Verdana" w:hAnsi="Verdana"/>
                <w:sz w:val="18"/>
                <w:szCs w:val="18"/>
              </w:rPr>
              <w:t>ken</w:t>
            </w:r>
            <w:r w:rsidRPr="0082026A">
              <w:rPr>
                <w:rFonts w:ascii="Verdana" w:hAnsi="Verdana"/>
                <w:sz w:val="18"/>
                <w:szCs w:val="18"/>
              </w:rPr>
              <w:t xml:space="preserve"> 23</w:t>
            </w:r>
            <w:r>
              <w:rPr>
                <w:rFonts w:ascii="Verdana" w:hAnsi="Verdana"/>
                <w:sz w:val="18"/>
                <w:szCs w:val="18"/>
              </w:rPr>
              <w:t xml:space="preserve"> </w:t>
            </w:r>
            <w:r w:rsidRPr="0082026A">
              <w:rPr>
                <w:rFonts w:ascii="Verdana" w:hAnsi="Verdana"/>
                <w:sz w:val="18"/>
                <w:szCs w:val="18"/>
              </w:rPr>
              <w:t xml:space="preserve">645, nr. 872). </w:t>
            </w:r>
          </w:p>
          <w:p w:rsidR="00686E88" w:rsidP="00CE20D1" w:rsidRDefault="00686E88" w14:paraId="22394A0B" w14:textId="77777777">
            <w:pPr>
              <w:rPr>
                <w:rFonts w:ascii="Verdana" w:hAnsi="Verdana"/>
                <w:sz w:val="18"/>
                <w:szCs w:val="18"/>
              </w:rPr>
            </w:pPr>
            <w:r w:rsidRPr="0082026A">
              <w:rPr>
                <w:rFonts w:ascii="Verdana" w:hAnsi="Verdana"/>
                <w:sz w:val="18"/>
                <w:szCs w:val="18"/>
              </w:rPr>
              <w:t xml:space="preserve">Hierin is onder andere opnieuw vermeld dat ov-boa’s vanaf medio 2026 toegang krijgen tot het rijbewijzenregister. Daarnaast wordt vermeld dat het ministerie van Infrastructuur en Waterstaat en het ministerie van Justitie en Veiligheid werken aan de brede juridische borging van de werkwijze die wordt ingezet binnen de pilot tussen het </w:t>
            </w:r>
            <w:r>
              <w:rPr>
                <w:rFonts w:ascii="Verdana" w:hAnsi="Verdana"/>
                <w:sz w:val="18"/>
                <w:szCs w:val="18"/>
              </w:rPr>
              <w:t>Real-Time Intelligence Center (RTIC)</w:t>
            </w:r>
            <w:r w:rsidRPr="0082026A">
              <w:rPr>
                <w:rFonts w:ascii="Verdana" w:hAnsi="Verdana"/>
                <w:sz w:val="18"/>
                <w:szCs w:val="18"/>
              </w:rPr>
              <w:t xml:space="preserve"> van de politie en de RET en de pilot tussen de NS en de Eenheid Landelijke Expertise en Operatie van</w:t>
            </w:r>
            <w:r>
              <w:rPr>
                <w:rFonts w:ascii="Verdana" w:hAnsi="Verdana"/>
                <w:sz w:val="18"/>
                <w:szCs w:val="18"/>
              </w:rPr>
              <w:t xml:space="preserve"> </w:t>
            </w:r>
            <w:r w:rsidRPr="0082026A">
              <w:rPr>
                <w:rFonts w:ascii="Verdana" w:hAnsi="Verdana"/>
                <w:sz w:val="18"/>
                <w:szCs w:val="18"/>
              </w:rPr>
              <w:t xml:space="preserve">de politie. De Kamer wordt eind 2025 geïnformeerd over de volgende stappen. </w:t>
            </w:r>
          </w:p>
          <w:p w:rsidRPr="0082026A" w:rsidR="00686E88" w:rsidP="00CE20D1" w:rsidRDefault="00686E88" w14:paraId="0ADA51A8" w14:textId="5E3E2189">
            <w:pPr>
              <w:rPr>
                <w:rFonts w:ascii="Verdana" w:hAnsi="Verdana"/>
                <w:sz w:val="18"/>
                <w:szCs w:val="18"/>
              </w:rPr>
            </w:pPr>
            <w:r w:rsidRPr="0082026A">
              <w:rPr>
                <w:rFonts w:ascii="Verdana" w:hAnsi="Verdana"/>
                <w:sz w:val="18"/>
                <w:szCs w:val="18"/>
              </w:rPr>
              <w:t>Tot slot wordt vermeld dat het ministerie van Asiel en Migratie het mogelijk wil maken dat gegevens over de vreemdeling ook beschikbaar komt voor de boa. De wijze waarop en de juridische verankering wordt op dit moment onderzocht. De Kamer wordt daarover eind 2025 nader geïnformeerd.</w:t>
            </w:r>
            <w:r w:rsidR="007427C0">
              <w:rPr>
                <w:rFonts w:ascii="Verdana" w:hAnsi="Verdana"/>
                <w:sz w:val="18"/>
                <w:szCs w:val="18"/>
              </w:rPr>
              <w:t xml:space="preserve"> U</w:t>
            </w:r>
            <w:r w:rsidRPr="0082026A">
              <w:rPr>
                <w:rFonts w:ascii="Verdana" w:hAnsi="Verdana"/>
                <w:sz w:val="18"/>
                <w:szCs w:val="18"/>
              </w:rPr>
              <w:t>iteraard wordt ook gezorgd dat een antwoord op de schriftelijke vragen zo spoedig mogelijk volgt. </w:t>
            </w:r>
            <w:r w:rsidRPr="0082026A" w:rsidR="007427C0">
              <w:rPr>
                <w:rFonts w:ascii="Verdana" w:hAnsi="Verdana"/>
                <w:sz w:val="18"/>
                <w:szCs w:val="18"/>
              </w:rPr>
              <w:t xml:space="preserve"> </w:t>
            </w:r>
            <w:r w:rsidRPr="0082026A">
              <w:rPr>
                <w:rFonts w:ascii="Verdana" w:hAnsi="Verdana"/>
                <w:sz w:val="18"/>
                <w:szCs w:val="18"/>
              </w:rPr>
              <w:br/>
            </w:r>
          </w:p>
        </w:tc>
      </w:tr>
      <w:tr w:rsidRPr="0082026A" w:rsidR="00686E88" w:rsidTr="00CE20D1" w14:paraId="324BF7A3" w14:textId="77777777">
        <w:tc>
          <w:tcPr>
            <w:tcW w:w="0" w:type="auto"/>
          </w:tcPr>
          <w:p w:rsidRPr="0082026A" w:rsidR="00686E88" w:rsidP="00CE20D1" w:rsidRDefault="00686E88" w14:paraId="38803FAA" w14:textId="77777777">
            <w:pPr>
              <w:rPr>
                <w:rFonts w:ascii="Verdana" w:hAnsi="Verdana"/>
                <w:sz w:val="18"/>
                <w:szCs w:val="18"/>
              </w:rPr>
            </w:pPr>
            <w:r w:rsidRPr="0082026A">
              <w:rPr>
                <w:rFonts w:ascii="Verdana" w:hAnsi="Verdana"/>
                <w:sz w:val="18"/>
                <w:szCs w:val="18"/>
              </w:rPr>
              <w:t>30</w:t>
            </w:r>
          </w:p>
        </w:tc>
        <w:tc>
          <w:tcPr>
            <w:tcW w:w="0" w:type="auto"/>
            <w:gridSpan w:val="2"/>
          </w:tcPr>
          <w:p w:rsidRPr="0082026A" w:rsidR="00686E88" w:rsidP="00CE20D1" w:rsidRDefault="00686E88" w14:paraId="2B172750" w14:textId="77777777">
            <w:pPr>
              <w:rPr>
                <w:rFonts w:ascii="Verdana" w:hAnsi="Verdana"/>
                <w:sz w:val="18"/>
                <w:szCs w:val="18"/>
              </w:rPr>
            </w:pPr>
            <w:r w:rsidRPr="0082026A">
              <w:rPr>
                <w:rFonts w:ascii="Verdana" w:hAnsi="Verdana"/>
                <w:b/>
                <w:sz w:val="18"/>
                <w:szCs w:val="18"/>
              </w:rPr>
              <w:t>Vraag:</w:t>
            </w:r>
            <w:r w:rsidRPr="0082026A">
              <w:rPr>
                <w:rFonts w:ascii="Verdana" w:hAnsi="Verdana"/>
                <w:sz w:val="18"/>
                <w:szCs w:val="18"/>
              </w:rPr>
              <w:br/>
              <w:t>Kunt u aangeven hoe groot het financieringstekort is voor het project Zuidasdok?</w:t>
            </w:r>
            <w:r w:rsidRPr="0082026A">
              <w:rPr>
                <w:rFonts w:ascii="Verdana" w:hAnsi="Verdana"/>
                <w:sz w:val="18"/>
                <w:szCs w:val="18"/>
              </w:rPr>
              <w:br/>
            </w:r>
            <w:r w:rsidRPr="0082026A">
              <w:rPr>
                <w:rFonts w:ascii="Verdana" w:hAnsi="Verdana"/>
                <w:sz w:val="18"/>
                <w:szCs w:val="18"/>
              </w:rPr>
              <w:br/>
            </w:r>
            <w:r w:rsidRPr="0082026A">
              <w:rPr>
                <w:rFonts w:ascii="Verdana" w:hAnsi="Verdana"/>
                <w:b/>
                <w:sz w:val="18"/>
                <w:szCs w:val="18"/>
              </w:rPr>
              <w:t>Antwoord:</w:t>
            </w:r>
            <w:r w:rsidRPr="0082026A">
              <w:rPr>
                <w:rFonts w:ascii="Verdana" w:hAnsi="Verdana"/>
                <w:sz w:val="18"/>
                <w:szCs w:val="18"/>
              </w:rPr>
              <w:br/>
              <w:t xml:space="preserve">Elk halfjaar wordt </w:t>
            </w:r>
            <w:r>
              <w:rPr>
                <w:rFonts w:ascii="Verdana" w:hAnsi="Verdana"/>
                <w:sz w:val="18"/>
                <w:szCs w:val="18"/>
              </w:rPr>
              <w:t>de Kamer</w:t>
            </w:r>
            <w:r w:rsidRPr="0082026A">
              <w:rPr>
                <w:rFonts w:ascii="Verdana" w:hAnsi="Verdana"/>
                <w:sz w:val="18"/>
                <w:szCs w:val="18"/>
              </w:rPr>
              <w:t xml:space="preserve"> geïnformeerd over de voortgang van het programma </w:t>
            </w:r>
            <w:r>
              <w:rPr>
                <w:rFonts w:ascii="Verdana" w:hAnsi="Verdana"/>
                <w:sz w:val="18"/>
                <w:szCs w:val="18"/>
              </w:rPr>
              <w:t>via</w:t>
            </w:r>
            <w:r w:rsidRPr="0082026A">
              <w:rPr>
                <w:rFonts w:ascii="Verdana" w:hAnsi="Verdana"/>
                <w:sz w:val="18"/>
                <w:szCs w:val="18"/>
              </w:rPr>
              <w:t xml:space="preserve"> de Halfjaarrapportages van Zuidasdok. In de tweede halfjaarrapportage 2024 is aan </w:t>
            </w:r>
            <w:r>
              <w:rPr>
                <w:rFonts w:ascii="Verdana" w:hAnsi="Verdana"/>
                <w:sz w:val="18"/>
                <w:szCs w:val="18"/>
              </w:rPr>
              <w:t>de Kamer</w:t>
            </w:r>
            <w:r w:rsidRPr="0082026A">
              <w:rPr>
                <w:rFonts w:ascii="Verdana" w:hAnsi="Verdana"/>
                <w:sz w:val="18"/>
                <w:szCs w:val="18"/>
              </w:rPr>
              <w:t xml:space="preserve"> gemeld dat er, naast het al eerder verwachte tekort van € 600 mln. tot € 800 mln., rekening gehouden moet worden met een aanvullend risico op hogere aanbiedingen in verband met marktwerking. </w:t>
            </w:r>
            <w:r>
              <w:rPr>
                <w:rFonts w:ascii="Verdana" w:hAnsi="Verdana"/>
                <w:sz w:val="18"/>
                <w:szCs w:val="18"/>
              </w:rPr>
              <w:t>De Kamer</w:t>
            </w:r>
            <w:r w:rsidRPr="0082026A">
              <w:rPr>
                <w:rFonts w:ascii="Verdana" w:hAnsi="Verdana"/>
                <w:sz w:val="18"/>
                <w:szCs w:val="18"/>
              </w:rPr>
              <w:t xml:space="preserve"> wordt in de MIRT-brief - begin november - nader over het (verwachte) tekort geïnformeerd.</w:t>
            </w:r>
            <w:r w:rsidRPr="0082026A">
              <w:rPr>
                <w:rFonts w:ascii="Verdana" w:hAnsi="Verdana"/>
                <w:sz w:val="18"/>
                <w:szCs w:val="18"/>
              </w:rPr>
              <w:br/>
            </w:r>
          </w:p>
        </w:tc>
      </w:tr>
      <w:tr w:rsidRPr="0082026A" w:rsidR="00686E88" w:rsidTr="00CE20D1" w14:paraId="54B3D155" w14:textId="77777777">
        <w:tc>
          <w:tcPr>
            <w:tcW w:w="0" w:type="auto"/>
          </w:tcPr>
          <w:p w:rsidRPr="0082026A" w:rsidR="00686E88" w:rsidP="00CE20D1" w:rsidRDefault="00686E88" w14:paraId="2767FE4F" w14:textId="77777777">
            <w:pPr>
              <w:rPr>
                <w:rFonts w:ascii="Verdana" w:hAnsi="Verdana"/>
                <w:sz w:val="18"/>
                <w:szCs w:val="18"/>
              </w:rPr>
            </w:pPr>
            <w:r w:rsidRPr="0082026A">
              <w:rPr>
                <w:rFonts w:ascii="Verdana" w:hAnsi="Verdana"/>
                <w:sz w:val="18"/>
                <w:szCs w:val="18"/>
              </w:rPr>
              <w:t>31</w:t>
            </w:r>
          </w:p>
        </w:tc>
        <w:tc>
          <w:tcPr>
            <w:tcW w:w="0" w:type="auto"/>
            <w:gridSpan w:val="2"/>
          </w:tcPr>
          <w:p w:rsidRPr="0082026A" w:rsidR="00686E88" w:rsidP="00CE20D1" w:rsidRDefault="00686E88" w14:paraId="5B93EB39" w14:textId="77777777">
            <w:pPr>
              <w:rPr>
                <w:rFonts w:ascii="Verdana" w:hAnsi="Verdana"/>
                <w:sz w:val="18"/>
                <w:szCs w:val="18"/>
              </w:rPr>
            </w:pPr>
            <w:r w:rsidRPr="0082026A">
              <w:rPr>
                <w:rFonts w:ascii="Verdana" w:hAnsi="Verdana"/>
                <w:b/>
                <w:sz w:val="18"/>
                <w:szCs w:val="18"/>
              </w:rPr>
              <w:t>Vraag:</w:t>
            </w:r>
            <w:r w:rsidRPr="0082026A">
              <w:rPr>
                <w:rFonts w:ascii="Verdana" w:hAnsi="Verdana"/>
                <w:sz w:val="18"/>
                <w:szCs w:val="18"/>
              </w:rPr>
              <w:br/>
              <w:t>Wat is het tijdpad en de planning om dit financieringstekort te dichten?</w:t>
            </w:r>
            <w:r w:rsidRPr="0082026A">
              <w:rPr>
                <w:rFonts w:ascii="Verdana" w:hAnsi="Verdana"/>
                <w:sz w:val="18"/>
                <w:szCs w:val="18"/>
              </w:rPr>
              <w:br/>
            </w:r>
            <w:r w:rsidRPr="0082026A">
              <w:rPr>
                <w:rFonts w:ascii="Verdana" w:hAnsi="Verdana"/>
                <w:sz w:val="18"/>
                <w:szCs w:val="18"/>
              </w:rPr>
              <w:br/>
            </w:r>
            <w:r w:rsidRPr="0082026A">
              <w:rPr>
                <w:rFonts w:ascii="Verdana" w:hAnsi="Verdana"/>
                <w:b/>
                <w:sz w:val="18"/>
                <w:szCs w:val="18"/>
              </w:rPr>
              <w:t>Antwoord:</w:t>
            </w:r>
            <w:r w:rsidRPr="0082026A">
              <w:rPr>
                <w:rFonts w:ascii="Verdana" w:hAnsi="Verdana"/>
                <w:sz w:val="18"/>
                <w:szCs w:val="18"/>
              </w:rPr>
              <w:br/>
              <w:t xml:space="preserve">De opdrachtgevers hebben afgesproken uiterlijk in de tweede helft van 2025 een besluit te nemen. </w:t>
            </w:r>
            <w:r>
              <w:rPr>
                <w:rFonts w:ascii="Verdana" w:hAnsi="Verdana"/>
                <w:sz w:val="18"/>
                <w:szCs w:val="18"/>
              </w:rPr>
              <w:t>De Kamer</w:t>
            </w:r>
            <w:r w:rsidRPr="0082026A">
              <w:rPr>
                <w:rFonts w:ascii="Verdana" w:hAnsi="Verdana"/>
                <w:sz w:val="18"/>
                <w:szCs w:val="18"/>
              </w:rPr>
              <w:t xml:space="preserve"> wordt in de MIRT-brief hierover nader geïnformeerd.</w:t>
            </w:r>
            <w:r w:rsidRPr="0082026A">
              <w:rPr>
                <w:rFonts w:ascii="Verdana" w:hAnsi="Verdana"/>
                <w:sz w:val="18"/>
                <w:szCs w:val="18"/>
              </w:rPr>
              <w:br/>
            </w:r>
          </w:p>
        </w:tc>
      </w:tr>
      <w:tr w:rsidRPr="0082026A" w:rsidR="00686E88" w:rsidTr="00CE20D1" w14:paraId="09B312A6" w14:textId="77777777">
        <w:tc>
          <w:tcPr>
            <w:tcW w:w="0" w:type="auto"/>
          </w:tcPr>
          <w:p w:rsidRPr="0082026A" w:rsidR="00686E88" w:rsidP="00CE20D1" w:rsidRDefault="00686E88" w14:paraId="11728BBD" w14:textId="77777777">
            <w:pPr>
              <w:rPr>
                <w:rFonts w:ascii="Verdana" w:hAnsi="Verdana"/>
                <w:sz w:val="18"/>
                <w:szCs w:val="18"/>
              </w:rPr>
            </w:pPr>
            <w:r w:rsidRPr="0082026A">
              <w:rPr>
                <w:rFonts w:ascii="Verdana" w:hAnsi="Verdana"/>
                <w:sz w:val="18"/>
                <w:szCs w:val="18"/>
              </w:rPr>
              <w:t>32</w:t>
            </w:r>
          </w:p>
        </w:tc>
        <w:tc>
          <w:tcPr>
            <w:tcW w:w="0" w:type="auto"/>
            <w:gridSpan w:val="2"/>
          </w:tcPr>
          <w:p w:rsidRPr="0082026A" w:rsidR="00686E88" w:rsidP="00CE20D1" w:rsidRDefault="00686E88" w14:paraId="72678DAD" w14:textId="77777777">
            <w:pPr>
              <w:rPr>
                <w:rFonts w:ascii="Verdana" w:hAnsi="Verdana"/>
                <w:sz w:val="18"/>
                <w:szCs w:val="18"/>
              </w:rPr>
            </w:pPr>
            <w:r w:rsidRPr="0082026A">
              <w:rPr>
                <w:rFonts w:ascii="Verdana" w:hAnsi="Verdana"/>
                <w:b/>
                <w:sz w:val="18"/>
                <w:szCs w:val="18"/>
              </w:rPr>
              <w:t>Vraag:</w:t>
            </w:r>
            <w:r w:rsidRPr="0082026A">
              <w:rPr>
                <w:rFonts w:ascii="Verdana" w:hAnsi="Verdana"/>
                <w:sz w:val="18"/>
                <w:szCs w:val="18"/>
              </w:rPr>
              <w:br/>
              <w:t>Wanneer komt het project Zuidasdok in de knel qua planning en aanbesteding, als het financieringstekort niet wordt opgelost?</w:t>
            </w:r>
            <w:r w:rsidRPr="0082026A">
              <w:rPr>
                <w:rFonts w:ascii="Verdana" w:hAnsi="Verdana"/>
                <w:sz w:val="18"/>
                <w:szCs w:val="18"/>
              </w:rPr>
              <w:br/>
            </w:r>
            <w:r w:rsidRPr="0082026A">
              <w:rPr>
                <w:rFonts w:ascii="Verdana" w:hAnsi="Verdana"/>
                <w:sz w:val="18"/>
                <w:szCs w:val="18"/>
              </w:rPr>
              <w:br/>
            </w:r>
            <w:r w:rsidRPr="0082026A">
              <w:rPr>
                <w:rFonts w:ascii="Verdana" w:hAnsi="Verdana"/>
                <w:b/>
                <w:sz w:val="18"/>
                <w:szCs w:val="18"/>
              </w:rPr>
              <w:t>Antwoord:</w:t>
            </w:r>
            <w:r w:rsidRPr="0082026A">
              <w:rPr>
                <w:rFonts w:ascii="Verdana" w:hAnsi="Verdana"/>
                <w:sz w:val="18"/>
                <w:szCs w:val="18"/>
              </w:rPr>
              <w:br/>
              <w:t>Eind 2026.</w:t>
            </w:r>
            <w:r w:rsidRPr="0082026A">
              <w:rPr>
                <w:rFonts w:ascii="Verdana" w:hAnsi="Verdana"/>
                <w:sz w:val="18"/>
                <w:szCs w:val="18"/>
              </w:rPr>
              <w:br/>
            </w:r>
          </w:p>
        </w:tc>
      </w:tr>
      <w:tr w:rsidRPr="0082026A" w:rsidR="00686E88" w:rsidTr="00CE20D1" w14:paraId="1EE8FD57" w14:textId="77777777">
        <w:tc>
          <w:tcPr>
            <w:tcW w:w="0" w:type="auto"/>
          </w:tcPr>
          <w:p w:rsidRPr="0082026A" w:rsidR="00686E88" w:rsidP="00CE20D1" w:rsidRDefault="00686E88" w14:paraId="35DF13E4" w14:textId="77777777">
            <w:pPr>
              <w:rPr>
                <w:rFonts w:ascii="Verdana" w:hAnsi="Verdana"/>
                <w:sz w:val="18"/>
                <w:szCs w:val="18"/>
              </w:rPr>
            </w:pPr>
            <w:r w:rsidRPr="0082026A">
              <w:rPr>
                <w:rFonts w:ascii="Verdana" w:hAnsi="Verdana"/>
                <w:sz w:val="18"/>
                <w:szCs w:val="18"/>
              </w:rPr>
              <w:t>33</w:t>
            </w:r>
          </w:p>
        </w:tc>
        <w:tc>
          <w:tcPr>
            <w:tcW w:w="0" w:type="auto"/>
            <w:gridSpan w:val="2"/>
          </w:tcPr>
          <w:p w:rsidRPr="0082026A" w:rsidR="00686E88" w:rsidP="00CE20D1" w:rsidRDefault="00686E88" w14:paraId="4A0AE466" w14:textId="77777777">
            <w:pPr>
              <w:rPr>
                <w:rFonts w:ascii="Verdana" w:hAnsi="Verdana"/>
                <w:sz w:val="18"/>
                <w:szCs w:val="18"/>
              </w:rPr>
            </w:pPr>
            <w:r w:rsidRPr="0082026A">
              <w:rPr>
                <w:rFonts w:ascii="Verdana" w:hAnsi="Verdana"/>
                <w:b/>
                <w:sz w:val="18"/>
                <w:szCs w:val="18"/>
              </w:rPr>
              <w:t>Vraag:</w:t>
            </w:r>
            <w:r w:rsidRPr="0082026A">
              <w:rPr>
                <w:rFonts w:ascii="Verdana" w:hAnsi="Verdana"/>
                <w:sz w:val="18"/>
                <w:szCs w:val="18"/>
              </w:rPr>
              <w:br/>
              <w:t>Klopt het dat de Noord/Zuidlijn randvoorwaardelijk is voor het vergroten van het aantal internationale treinverbindingen?</w:t>
            </w:r>
            <w:r w:rsidRPr="0082026A">
              <w:rPr>
                <w:rFonts w:ascii="Verdana" w:hAnsi="Verdana"/>
                <w:sz w:val="18"/>
                <w:szCs w:val="18"/>
              </w:rPr>
              <w:br/>
            </w:r>
            <w:r w:rsidRPr="0082026A">
              <w:rPr>
                <w:rFonts w:ascii="Verdana" w:hAnsi="Verdana"/>
                <w:sz w:val="18"/>
                <w:szCs w:val="18"/>
              </w:rPr>
              <w:br/>
            </w:r>
            <w:r w:rsidRPr="0082026A">
              <w:rPr>
                <w:rFonts w:ascii="Verdana" w:hAnsi="Verdana"/>
                <w:b/>
                <w:sz w:val="18"/>
                <w:szCs w:val="18"/>
              </w:rPr>
              <w:t>Antwoord:</w:t>
            </w:r>
            <w:r w:rsidRPr="0082026A">
              <w:rPr>
                <w:rFonts w:ascii="Verdana" w:hAnsi="Verdana"/>
                <w:sz w:val="18"/>
                <w:szCs w:val="18"/>
              </w:rPr>
              <w:br/>
              <w:t>Een van de belangrijkste doelstellingen van het project OV-verbinding Amsterdam-Haarlemmermeer is het vrijmaken van de capaciteit van de Schipholspoortunnel. </w:t>
            </w:r>
            <w:r w:rsidRPr="0082026A">
              <w:rPr>
                <w:rFonts w:ascii="Verdana" w:hAnsi="Verdana"/>
                <w:sz w:val="18"/>
                <w:szCs w:val="18"/>
              </w:rPr>
              <w:br/>
              <w:t>Deze capaciteit in de spoortunnel maakt verdere groei van het aantal nationale en internationale treinen mogelijk. </w:t>
            </w:r>
            <w:r w:rsidRPr="0082026A">
              <w:rPr>
                <w:rFonts w:ascii="Verdana" w:hAnsi="Verdana"/>
                <w:sz w:val="18"/>
                <w:szCs w:val="18"/>
              </w:rPr>
              <w:br/>
            </w:r>
          </w:p>
        </w:tc>
      </w:tr>
      <w:tr w:rsidRPr="0082026A" w:rsidR="00686E88" w:rsidTr="00CE20D1" w14:paraId="47FEE796" w14:textId="77777777">
        <w:tc>
          <w:tcPr>
            <w:tcW w:w="0" w:type="auto"/>
          </w:tcPr>
          <w:p w:rsidRPr="0082026A" w:rsidR="00686E88" w:rsidP="00CE20D1" w:rsidRDefault="00686E88" w14:paraId="6B4BB5BD" w14:textId="77777777">
            <w:pPr>
              <w:rPr>
                <w:rFonts w:ascii="Verdana" w:hAnsi="Verdana"/>
                <w:sz w:val="18"/>
                <w:szCs w:val="18"/>
              </w:rPr>
            </w:pPr>
            <w:r w:rsidRPr="0082026A">
              <w:rPr>
                <w:rFonts w:ascii="Verdana" w:hAnsi="Verdana"/>
                <w:sz w:val="18"/>
                <w:szCs w:val="18"/>
              </w:rPr>
              <w:t>34</w:t>
            </w:r>
          </w:p>
        </w:tc>
        <w:tc>
          <w:tcPr>
            <w:tcW w:w="0" w:type="auto"/>
            <w:gridSpan w:val="2"/>
          </w:tcPr>
          <w:p w:rsidRPr="0082026A" w:rsidR="00686E88" w:rsidP="00CE20D1" w:rsidRDefault="00686E88" w14:paraId="52880A45" w14:textId="77777777">
            <w:pPr>
              <w:rPr>
                <w:rFonts w:ascii="Verdana" w:hAnsi="Verdana"/>
                <w:sz w:val="18"/>
                <w:szCs w:val="18"/>
              </w:rPr>
            </w:pPr>
            <w:r w:rsidRPr="0082026A">
              <w:rPr>
                <w:rFonts w:ascii="Verdana" w:hAnsi="Verdana"/>
                <w:b/>
                <w:sz w:val="18"/>
                <w:szCs w:val="18"/>
              </w:rPr>
              <w:t>Vraag:</w:t>
            </w:r>
            <w:r w:rsidRPr="0082026A">
              <w:rPr>
                <w:rFonts w:ascii="Verdana" w:hAnsi="Verdana"/>
                <w:sz w:val="18"/>
                <w:szCs w:val="18"/>
              </w:rPr>
              <w:br/>
              <w:t>Hoe staat het met de planning van de Noord/Zuidlijn? Hoe verhoudt de planning in het Regeerprogramma, waarin staat dat er in 2026 een voorkeursbesluit wordt genomen, zich tot de financiering?</w:t>
            </w:r>
            <w:r w:rsidRPr="0082026A">
              <w:rPr>
                <w:rFonts w:ascii="Verdana" w:hAnsi="Verdana"/>
                <w:sz w:val="18"/>
                <w:szCs w:val="18"/>
              </w:rPr>
              <w:br/>
            </w:r>
            <w:r w:rsidRPr="0082026A">
              <w:rPr>
                <w:rFonts w:ascii="Verdana" w:hAnsi="Verdana"/>
                <w:sz w:val="18"/>
                <w:szCs w:val="18"/>
              </w:rPr>
              <w:br/>
            </w:r>
            <w:r w:rsidRPr="0082026A">
              <w:rPr>
                <w:rFonts w:ascii="Verdana" w:hAnsi="Verdana"/>
                <w:b/>
                <w:sz w:val="18"/>
                <w:szCs w:val="18"/>
              </w:rPr>
              <w:t>Antwoord:</w:t>
            </w:r>
            <w:r w:rsidRPr="0082026A">
              <w:rPr>
                <w:rFonts w:ascii="Verdana" w:hAnsi="Verdana"/>
                <w:sz w:val="18"/>
                <w:szCs w:val="18"/>
              </w:rPr>
              <w:br/>
              <w:t>De huidige planning is er op gericht om eind 2026 een Voorkeursbeslissing te kunnen nemen. In het geval van een Voorkeursbeslissing moeten er voldoende (100%) financiële middelen beschikbaar zijn om de Plan- en studiefase te starten.</w:t>
            </w:r>
            <w:r w:rsidRPr="0082026A">
              <w:rPr>
                <w:rFonts w:ascii="Verdana" w:hAnsi="Verdana"/>
                <w:sz w:val="18"/>
                <w:szCs w:val="18"/>
              </w:rPr>
              <w:br/>
            </w:r>
          </w:p>
        </w:tc>
      </w:tr>
      <w:tr w:rsidRPr="0082026A" w:rsidR="00686E88" w:rsidTr="00CE20D1" w14:paraId="166B1219" w14:textId="77777777">
        <w:tc>
          <w:tcPr>
            <w:tcW w:w="0" w:type="auto"/>
          </w:tcPr>
          <w:p w:rsidRPr="0082026A" w:rsidR="00686E88" w:rsidP="00CE20D1" w:rsidRDefault="00686E88" w14:paraId="19073C43" w14:textId="77777777">
            <w:pPr>
              <w:rPr>
                <w:rFonts w:ascii="Verdana" w:hAnsi="Verdana"/>
                <w:sz w:val="18"/>
                <w:szCs w:val="18"/>
              </w:rPr>
            </w:pPr>
            <w:r w:rsidRPr="0082026A">
              <w:rPr>
                <w:rFonts w:ascii="Verdana" w:hAnsi="Verdana"/>
                <w:sz w:val="18"/>
                <w:szCs w:val="18"/>
              </w:rPr>
              <w:t>35</w:t>
            </w:r>
          </w:p>
        </w:tc>
        <w:tc>
          <w:tcPr>
            <w:tcW w:w="0" w:type="auto"/>
            <w:gridSpan w:val="2"/>
          </w:tcPr>
          <w:p w:rsidRPr="0082026A" w:rsidR="00686E88" w:rsidP="00CE20D1" w:rsidRDefault="00686E88" w14:paraId="459F96DA" w14:textId="77777777">
            <w:pPr>
              <w:rPr>
                <w:rFonts w:ascii="Verdana" w:hAnsi="Verdana"/>
                <w:sz w:val="18"/>
                <w:szCs w:val="18"/>
              </w:rPr>
            </w:pPr>
            <w:r w:rsidRPr="0082026A">
              <w:rPr>
                <w:rFonts w:ascii="Verdana" w:hAnsi="Verdana"/>
                <w:b/>
                <w:sz w:val="18"/>
                <w:szCs w:val="18"/>
              </w:rPr>
              <w:t>Vraag:</w:t>
            </w:r>
            <w:r w:rsidRPr="0082026A">
              <w:rPr>
                <w:rFonts w:ascii="Verdana" w:hAnsi="Verdana"/>
                <w:sz w:val="18"/>
                <w:szCs w:val="18"/>
              </w:rPr>
              <w:br/>
              <w:t>Hoe belangrijk is de Schipholtunnel als onderdeel van de kritieke infrastructuur? En hoe kwetsbaar is het systeem bij incidenten in deze tunnel?</w:t>
            </w:r>
            <w:r w:rsidRPr="0082026A">
              <w:rPr>
                <w:rFonts w:ascii="Verdana" w:hAnsi="Verdana"/>
                <w:sz w:val="18"/>
                <w:szCs w:val="18"/>
              </w:rPr>
              <w:br/>
            </w:r>
            <w:r w:rsidRPr="0082026A">
              <w:rPr>
                <w:rFonts w:ascii="Verdana" w:hAnsi="Verdana"/>
                <w:sz w:val="18"/>
                <w:szCs w:val="18"/>
              </w:rPr>
              <w:br/>
            </w:r>
            <w:r w:rsidRPr="0082026A">
              <w:rPr>
                <w:rFonts w:ascii="Verdana" w:hAnsi="Verdana"/>
                <w:b/>
                <w:sz w:val="18"/>
                <w:szCs w:val="18"/>
              </w:rPr>
              <w:t>Antwoord:</w:t>
            </w:r>
            <w:r w:rsidRPr="0082026A">
              <w:rPr>
                <w:rFonts w:ascii="Verdana" w:hAnsi="Verdana"/>
                <w:sz w:val="18"/>
                <w:szCs w:val="18"/>
              </w:rPr>
              <w:br/>
              <w:t>De Schipholtunnel levert een belangrijke bijdrage aan de doorstroming op het hoofdwegennet. De Schipholtunnel is van groot belang voor de bereikbaarheid van en naar Amsterdam vanuit het zuiden en de bereikbaarheid van Schiphol vanuit Amsterdam en het noorden. Verminderde capaciteit van de Schipholtunnel leidt tot hoge maatschappelijke kosten, vanwege het forse reistijdverlies en omgereden kilometers.</w:t>
            </w:r>
            <w:r w:rsidRPr="0082026A">
              <w:rPr>
                <w:rFonts w:ascii="Verdana" w:hAnsi="Verdana"/>
                <w:sz w:val="18"/>
                <w:szCs w:val="18"/>
              </w:rPr>
              <w:br/>
            </w:r>
            <w:r w:rsidRPr="0082026A">
              <w:rPr>
                <w:rFonts w:ascii="Verdana" w:hAnsi="Verdana"/>
                <w:sz w:val="18"/>
                <w:szCs w:val="18"/>
              </w:rPr>
              <w:br/>
              <w:t xml:space="preserve">Een incident in een tunnel leidt sneller tot een rijstrook- of rijbaanafsluiting dan een incident op een regulier wegvak. Voor tunnels gelden namelijk strenge veiligheidseisen. In de Schipholtunnel zijn, net als in veel andere tunnels, geen vluchtstroken aanwezig. Ook een eenvoudig pechgeval zal daarom </w:t>
            </w:r>
            <w:r>
              <w:rPr>
                <w:rFonts w:ascii="Verdana" w:hAnsi="Verdana"/>
                <w:sz w:val="18"/>
                <w:szCs w:val="18"/>
              </w:rPr>
              <w:t>leiden tot</w:t>
            </w:r>
            <w:r w:rsidRPr="0082026A">
              <w:rPr>
                <w:rFonts w:ascii="Verdana" w:hAnsi="Verdana"/>
                <w:sz w:val="18"/>
                <w:szCs w:val="18"/>
              </w:rPr>
              <w:t xml:space="preserve"> een rijstrookafsluiting. In het uiterste geval wordt de tunnel volledig afgesloten. Naast een verkeersincident kan dit ook komen door uitval van een van de tunneltechnische installaties (TTI), waardoor niet aan de veiligheidseisen voldaan wordt. Capaciteitsvermindering in de Schipholtunnel </w:t>
            </w:r>
            <w:r>
              <w:rPr>
                <w:rFonts w:ascii="Verdana" w:hAnsi="Verdana"/>
                <w:sz w:val="18"/>
                <w:szCs w:val="18"/>
              </w:rPr>
              <w:t>leidt tot</w:t>
            </w:r>
            <w:r w:rsidRPr="0082026A">
              <w:rPr>
                <w:rFonts w:ascii="Verdana" w:hAnsi="Verdana"/>
                <w:sz w:val="18"/>
                <w:szCs w:val="18"/>
              </w:rPr>
              <w:t xml:space="preserve"> een sterke vermindering van de doorstroming op het hoofdwegennet. Het functioneren van het wegensysteem is dus erg kwetsbaar bij incidenten in deze tunnel.</w:t>
            </w:r>
            <w:r w:rsidRPr="0082026A">
              <w:rPr>
                <w:rFonts w:ascii="Verdana" w:hAnsi="Verdana"/>
                <w:sz w:val="18"/>
                <w:szCs w:val="18"/>
              </w:rPr>
              <w:br/>
            </w:r>
            <w:r w:rsidRPr="0082026A">
              <w:rPr>
                <w:rFonts w:ascii="Verdana" w:hAnsi="Verdana"/>
                <w:sz w:val="18"/>
                <w:szCs w:val="18"/>
              </w:rPr>
              <w:br/>
              <w:t>De planning is, afhankelijk van de nog benodigde financiële dekking, om de tunnel in 2031 te vernieuwen. De TTI naderen namelijk het einde van de levensduur of hebben die al bereikt. TTI zijn bedoeld voor de bediening, besturing en bewaking van de tunnel. Voorbeelden van TTI zijn de ventilatie-, camera- en omroepsystemen en het snelheidsonderschrijdingssysteem (voor signaleren</w:t>
            </w:r>
            <w:r>
              <w:rPr>
                <w:rFonts w:ascii="Verdana" w:hAnsi="Verdana"/>
                <w:sz w:val="18"/>
                <w:szCs w:val="18"/>
              </w:rPr>
              <w:t xml:space="preserve"> van</w:t>
            </w:r>
            <w:r w:rsidRPr="0082026A">
              <w:rPr>
                <w:rFonts w:ascii="Verdana" w:hAnsi="Verdana"/>
                <w:sz w:val="18"/>
                <w:szCs w:val="18"/>
              </w:rPr>
              <w:t xml:space="preserve"> plotselinge snelheidsverminderingen). Falen heeft een direct gevolg voor de beschikbaarheid en/of veiligheid. Bij de vernieuwingsopgave zal een groot deel van de TTI worden vervangen of krijgt een upgrade. Daarnaast krijgt de civiele constructie een opknapbeurt. </w:t>
            </w:r>
            <w:r w:rsidRPr="0082026A">
              <w:rPr>
                <w:rFonts w:ascii="Verdana" w:hAnsi="Verdana"/>
                <w:sz w:val="18"/>
                <w:szCs w:val="18"/>
              </w:rPr>
              <w:br/>
            </w:r>
            <w:r w:rsidRPr="0082026A">
              <w:rPr>
                <w:rFonts w:ascii="Verdana" w:hAnsi="Verdana"/>
                <w:sz w:val="18"/>
                <w:szCs w:val="18"/>
              </w:rPr>
              <w:br/>
              <w:t xml:space="preserve">Op 1 juli jl. is het Meerjarenplan Instandhouding Rijkswaterstaat naar </w:t>
            </w:r>
            <w:r>
              <w:rPr>
                <w:rFonts w:ascii="Verdana" w:hAnsi="Verdana"/>
                <w:sz w:val="18"/>
                <w:szCs w:val="18"/>
              </w:rPr>
              <w:t>de</w:t>
            </w:r>
            <w:r w:rsidRPr="0082026A">
              <w:rPr>
                <w:rFonts w:ascii="Verdana" w:hAnsi="Verdana"/>
                <w:sz w:val="18"/>
                <w:szCs w:val="18"/>
              </w:rPr>
              <w:t xml:space="preserve"> Kamer gestuurd. Het Meerjarenplan Instandhouding biedt onder meer zicht op de voorbereidingen en maatregelen die Rijkswaterstaat treft om de grote instandhoudingsopgave in productie te nemen. Het vernieuwen van de Schipholtunnel is een van de werkzaamheden die momenteel in voorbereiding is, maar waarvoor momenteel geen budget beschikbaar is en waarover nog financiële besluitvorming moet plaats vinden. Indien er voor de Schipholtunnel geen financiële middelen voorhanden zijn kan de tunnel niet in 2031 worden vernieuwd. </w:t>
            </w:r>
            <w:r>
              <w:rPr>
                <w:rFonts w:ascii="Verdana" w:hAnsi="Verdana"/>
                <w:sz w:val="18"/>
                <w:szCs w:val="18"/>
              </w:rPr>
              <w:t>Dit levert</w:t>
            </w:r>
            <w:r w:rsidRPr="0082026A">
              <w:rPr>
                <w:rFonts w:ascii="Verdana" w:hAnsi="Verdana"/>
                <w:sz w:val="18"/>
                <w:szCs w:val="18"/>
              </w:rPr>
              <w:t xml:space="preserve"> extra risico’s op voor ongeplande hinder, storingen en beperkingen. Tot het moment van vernieuwen is de tunnel kwetsbaar. De beheersorganisatie zorgt dat de veiligheid voor de weggebruikers geborgd blijft en de beschikbaarheid beheersbaar blijft. Dat gebeurt aan de hand van een op maat gemaakte overbruggingsstrategie. Indien noodzakelijk worden installaties, waaronder de TTI, extra geïnspecteerd, getest of onderhouden.</w:t>
            </w:r>
            <w:r w:rsidRPr="0082026A">
              <w:rPr>
                <w:rFonts w:ascii="Verdana" w:hAnsi="Verdana"/>
                <w:sz w:val="18"/>
                <w:szCs w:val="18"/>
              </w:rPr>
              <w:br/>
              <w:t> </w:t>
            </w:r>
          </w:p>
        </w:tc>
      </w:tr>
      <w:tr w:rsidRPr="0082026A" w:rsidR="00686E88" w:rsidTr="00CE20D1" w14:paraId="63F94B88" w14:textId="77777777">
        <w:tc>
          <w:tcPr>
            <w:tcW w:w="0" w:type="auto"/>
          </w:tcPr>
          <w:p w:rsidRPr="0082026A" w:rsidR="00686E88" w:rsidP="00CE20D1" w:rsidRDefault="00686E88" w14:paraId="24A207F3" w14:textId="77777777">
            <w:pPr>
              <w:rPr>
                <w:rFonts w:ascii="Verdana" w:hAnsi="Verdana"/>
                <w:sz w:val="18"/>
                <w:szCs w:val="18"/>
              </w:rPr>
            </w:pPr>
            <w:r w:rsidRPr="0082026A">
              <w:rPr>
                <w:rFonts w:ascii="Verdana" w:hAnsi="Verdana"/>
                <w:sz w:val="18"/>
                <w:szCs w:val="18"/>
              </w:rPr>
              <w:t>36</w:t>
            </w:r>
          </w:p>
        </w:tc>
        <w:tc>
          <w:tcPr>
            <w:tcW w:w="0" w:type="auto"/>
            <w:gridSpan w:val="2"/>
          </w:tcPr>
          <w:p w:rsidRPr="0082026A" w:rsidR="00686E88" w:rsidP="00CE20D1" w:rsidRDefault="00686E88" w14:paraId="7717B7F6" w14:textId="77777777">
            <w:pPr>
              <w:rPr>
                <w:rFonts w:ascii="Verdana" w:hAnsi="Verdana"/>
                <w:sz w:val="18"/>
                <w:szCs w:val="18"/>
              </w:rPr>
            </w:pPr>
            <w:r w:rsidRPr="0082026A">
              <w:rPr>
                <w:rFonts w:ascii="Verdana" w:hAnsi="Verdana"/>
                <w:b/>
                <w:sz w:val="18"/>
                <w:szCs w:val="18"/>
              </w:rPr>
              <w:t>Vraag:</w:t>
            </w:r>
            <w:r w:rsidRPr="0082026A">
              <w:rPr>
                <w:rFonts w:ascii="Verdana" w:hAnsi="Verdana"/>
                <w:sz w:val="18"/>
                <w:szCs w:val="18"/>
              </w:rPr>
              <w:br/>
              <w:t>Hoeveel middelen zijn er vanaf 2026 beschikbaar voor het verbeteren van de verkeersveiligheid, en zijn deze toereikend om de doelstellingen te behalen?</w:t>
            </w:r>
            <w:r w:rsidRPr="0082026A">
              <w:rPr>
                <w:rFonts w:ascii="Verdana" w:hAnsi="Verdana"/>
                <w:sz w:val="18"/>
                <w:szCs w:val="18"/>
              </w:rPr>
              <w:br/>
            </w:r>
            <w:r w:rsidRPr="0082026A">
              <w:rPr>
                <w:rFonts w:ascii="Verdana" w:hAnsi="Verdana"/>
                <w:sz w:val="18"/>
                <w:szCs w:val="18"/>
              </w:rPr>
              <w:br/>
            </w:r>
            <w:r w:rsidRPr="0082026A">
              <w:rPr>
                <w:rFonts w:ascii="Verdana" w:hAnsi="Verdana"/>
                <w:b/>
                <w:sz w:val="18"/>
                <w:szCs w:val="18"/>
              </w:rPr>
              <w:t>Antwoord:</w:t>
            </w:r>
            <w:r w:rsidRPr="0082026A">
              <w:rPr>
                <w:rFonts w:ascii="Verdana" w:hAnsi="Verdana"/>
                <w:sz w:val="18"/>
                <w:szCs w:val="18"/>
              </w:rPr>
              <w:br/>
              <w:t>In 2026 is € 20,9 mln. beschikbaar voor verkeersveiligheid op HXII. Ook in de periode 2027-2030 is jaarlijks tussen de € 15 mln. en € 20 mln. beschikbaar op HXII. Er zijn daarnaast binnen het Mobiliteitsfonds enkele budgetten van grotere omvang beschikbaar voor het verbeteren van de verkeersveiligheid:</w:t>
            </w:r>
            <w:r w:rsidRPr="0082026A">
              <w:rPr>
                <w:rFonts w:ascii="Verdana" w:hAnsi="Verdana"/>
                <w:sz w:val="18"/>
                <w:szCs w:val="18"/>
              </w:rPr>
              <w:br/>
            </w:r>
            <w:r w:rsidRPr="0082026A">
              <w:rPr>
                <w:rFonts w:ascii="Verdana" w:hAnsi="Verdana"/>
                <w:sz w:val="18"/>
                <w:szCs w:val="18"/>
              </w:rPr>
              <w:br/>
              <w:t>•    Er is nog € 116 mln. beschikbaar van de Investeringsimpuls Verkeersveiligheid. Het tweede aanvraagtijdvak van de derde tranche staat vanaf 12 november 2025 open. Alle medeoverheden kunnen hiervoor budget aanvragen. </w:t>
            </w:r>
            <w:r w:rsidRPr="0082026A">
              <w:rPr>
                <w:rFonts w:ascii="Verdana" w:hAnsi="Verdana"/>
                <w:sz w:val="18"/>
                <w:szCs w:val="18"/>
              </w:rPr>
              <w:br/>
              <w:t>•    Er is eerder € 200 miljoen beschikbaar gesteld voor de verkeersveiligheid van Rijks-N-wegen. Rijkswaterstaat werkt nu aan de planuitwerking van de grootschalige verkeersveiligheidsmaatregelen uit tranche 2, voor de N36 en N50 Kampen-Ramspol (circa € 172 mln.). Met de voorjaarsbesluitvorming 2025 is € 115 mln. extra beschikbaar gesteld voor de N36 en toegevoegd aan het programmabudget voor Rijks-N-wegen. Binnen de verkeersveiligheidsaanpak Rijks-N-wegen is geen financiële vrije ruimte voor aanvullende maatregelen. </w:t>
            </w:r>
            <w:r w:rsidRPr="0082026A">
              <w:rPr>
                <w:rFonts w:ascii="Verdana" w:hAnsi="Verdana"/>
                <w:sz w:val="18"/>
                <w:szCs w:val="18"/>
              </w:rPr>
              <w:br/>
              <w:t xml:space="preserve">•    Er was € 50 mln. beschikbaar voor fietsveiligheid, waarvan momenteel nog € 47 mln. </w:t>
            </w:r>
            <w:r>
              <w:rPr>
                <w:rFonts w:ascii="Verdana" w:hAnsi="Verdana"/>
                <w:sz w:val="18"/>
                <w:szCs w:val="18"/>
              </w:rPr>
              <w:t>b</w:t>
            </w:r>
            <w:r w:rsidRPr="0082026A">
              <w:rPr>
                <w:rFonts w:ascii="Verdana" w:hAnsi="Verdana"/>
                <w:sz w:val="18"/>
                <w:szCs w:val="18"/>
              </w:rPr>
              <w:t>eschikbaar is. Dit bedrag wordt vanaf 2026 ingezet voor het Meerjarenplan Fietsveiligheid 2025-2029 (Kamerstuk</w:t>
            </w:r>
            <w:r>
              <w:rPr>
                <w:rFonts w:ascii="Verdana" w:hAnsi="Verdana"/>
                <w:sz w:val="18"/>
                <w:szCs w:val="18"/>
              </w:rPr>
              <w:t>ken</w:t>
            </w:r>
            <w:r w:rsidRPr="0082026A">
              <w:rPr>
                <w:rFonts w:ascii="Verdana" w:hAnsi="Verdana"/>
                <w:sz w:val="18"/>
                <w:szCs w:val="18"/>
              </w:rPr>
              <w:t xml:space="preserve"> 29 398, nr. 1181).</w:t>
            </w:r>
            <w:r w:rsidRPr="0082026A">
              <w:rPr>
                <w:rFonts w:ascii="Verdana" w:hAnsi="Verdana"/>
                <w:sz w:val="18"/>
                <w:szCs w:val="18"/>
              </w:rPr>
              <w:br/>
            </w:r>
            <w:r w:rsidRPr="0082026A">
              <w:rPr>
                <w:rFonts w:ascii="Verdana" w:hAnsi="Verdana"/>
                <w:sz w:val="18"/>
                <w:szCs w:val="18"/>
              </w:rPr>
              <w:br/>
              <w:t xml:space="preserve">Er wordt met deze inzet al veel gedaan om risico’s op verkeersongevallen zo laag mogelijk te houden, conform de doelstelling van </w:t>
            </w:r>
            <w:r>
              <w:rPr>
                <w:rFonts w:ascii="Verdana" w:hAnsi="Verdana"/>
                <w:sz w:val="18"/>
                <w:szCs w:val="18"/>
              </w:rPr>
              <w:t>het</w:t>
            </w:r>
            <w:r w:rsidRPr="0082026A">
              <w:rPr>
                <w:rFonts w:ascii="Verdana" w:hAnsi="Verdana"/>
                <w:sz w:val="18"/>
                <w:szCs w:val="18"/>
              </w:rPr>
              <w:t xml:space="preserve"> kabinet</w:t>
            </w:r>
            <w:r>
              <w:rPr>
                <w:rFonts w:ascii="Verdana" w:hAnsi="Verdana"/>
                <w:sz w:val="18"/>
                <w:szCs w:val="18"/>
              </w:rPr>
              <w:t>-Schoof</w:t>
            </w:r>
            <w:r w:rsidRPr="0082026A">
              <w:rPr>
                <w:rFonts w:ascii="Verdana" w:hAnsi="Verdana"/>
                <w:sz w:val="18"/>
                <w:szCs w:val="18"/>
              </w:rPr>
              <w:t>. Zoals gemeld in de brief Uitkomst traject Trendbrekers verkeersveiligheid van 10 juli 2025 zijn er extra maatregelen denkbaar die het aantal verkeersslachtoffers verder flink kunnen verminderen (Kamerstukken 29 398, nr. 1180). Dit vergt aanvullende financiering en beleidskeuzes. Er is eerder een grove schatting gemaakt van de kosten om de infrastructurele maatregelen voor alle wegbeheerders gezamenlijk te realiseren en dat is een brede opgave (Kamerstukken 2023D49060). De invulling van verdere aanvullende maatregelen is gezien de demissionaire status aan een volgend kabinet.</w:t>
            </w:r>
            <w:r w:rsidRPr="0082026A">
              <w:rPr>
                <w:rFonts w:ascii="Verdana" w:hAnsi="Verdana"/>
                <w:sz w:val="18"/>
                <w:szCs w:val="18"/>
              </w:rPr>
              <w:br/>
            </w:r>
          </w:p>
        </w:tc>
      </w:tr>
      <w:tr w:rsidRPr="0082026A" w:rsidR="00686E88" w:rsidTr="00CE20D1" w14:paraId="1FFBED10" w14:textId="77777777">
        <w:tc>
          <w:tcPr>
            <w:tcW w:w="0" w:type="auto"/>
          </w:tcPr>
          <w:p w:rsidRPr="0082026A" w:rsidR="00686E88" w:rsidP="00CE20D1" w:rsidRDefault="00686E88" w14:paraId="6DD38149" w14:textId="77777777">
            <w:pPr>
              <w:rPr>
                <w:rFonts w:ascii="Verdana" w:hAnsi="Verdana"/>
                <w:sz w:val="18"/>
                <w:szCs w:val="18"/>
              </w:rPr>
            </w:pPr>
            <w:r w:rsidRPr="0082026A">
              <w:rPr>
                <w:rFonts w:ascii="Verdana" w:hAnsi="Verdana"/>
                <w:sz w:val="18"/>
                <w:szCs w:val="18"/>
              </w:rPr>
              <w:t>37</w:t>
            </w:r>
          </w:p>
        </w:tc>
        <w:tc>
          <w:tcPr>
            <w:tcW w:w="0" w:type="auto"/>
            <w:gridSpan w:val="2"/>
          </w:tcPr>
          <w:p w:rsidRPr="0082026A" w:rsidR="00686E88" w:rsidP="00CE20D1" w:rsidRDefault="00686E88" w14:paraId="6613C866" w14:textId="77777777">
            <w:pPr>
              <w:rPr>
                <w:rFonts w:ascii="Verdana" w:hAnsi="Verdana"/>
                <w:sz w:val="18"/>
                <w:szCs w:val="18"/>
              </w:rPr>
            </w:pPr>
            <w:r w:rsidRPr="0082026A">
              <w:rPr>
                <w:rFonts w:ascii="Verdana" w:hAnsi="Verdana"/>
                <w:b/>
                <w:sz w:val="18"/>
                <w:szCs w:val="18"/>
              </w:rPr>
              <w:t>Vraag:</w:t>
            </w:r>
            <w:r w:rsidRPr="0082026A">
              <w:rPr>
                <w:rFonts w:ascii="Verdana" w:hAnsi="Verdana"/>
                <w:sz w:val="18"/>
                <w:szCs w:val="18"/>
              </w:rPr>
              <w:br/>
              <w:t>Welke middelen worden besteed aan de veiligheid in het ov en worden alle aanbieders van reizigersvervoer per spoor hier gelijkelijk in ondersteund?</w:t>
            </w:r>
            <w:r w:rsidRPr="0082026A">
              <w:rPr>
                <w:rFonts w:ascii="Verdana" w:hAnsi="Verdana"/>
                <w:sz w:val="18"/>
                <w:szCs w:val="18"/>
              </w:rPr>
              <w:br/>
            </w:r>
            <w:r w:rsidRPr="0082026A">
              <w:rPr>
                <w:rFonts w:ascii="Verdana" w:hAnsi="Verdana"/>
                <w:sz w:val="18"/>
                <w:szCs w:val="18"/>
              </w:rPr>
              <w:br/>
            </w:r>
            <w:r w:rsidRPr="0082026A">
              <w:rPr>
                <w:rFonts w:ascii="Verdana" w:hAnsi="Verdana"/>
                <w:b/>
                <w:sz w:val="18"/>
                <w:szCs w:val="18"/>
              </w:rPr>
              <w:t>Antwoord:</w:t>
            </w:r>
            <w:r w:rsidRPr="0082026A">
              <w:rPr>
                <w:rFonts w:ascii="Verdana" w:hAnsi="Verdana"/>
                <w:sz w:val="18"/>
                <w:szCs w:val="18"/>
              </w:rPr>
              <w:br/>
              <w:t xml:space="preserve">Naast de € 2,4 miljoen die is toegekend aan station Maarheeze voor de gemaakte kosten rondom de extra beveiligingsmaatregelen in 2024, is er € 32 miljoen beschikbaar gesteld voor de brede aanpak van veiligheid in het openbaar vervoer. Gegeven de concessierelatie tussen IenW en NS is van dit bedrag € 12 miljoen specifiek gereserveerd voor de inzet van bodycams voor NS-personeel. De overige € 20 miljoen is voor het programma “Een veilig station: altijd voor iedereen!”. Bij dit programma ligt de focus op stations en de stationsomgevingen, die niet goed scoren op sociale veiligheid; ongeacht de vervoerder. Los hiervan </w:t>
            </w:r>
            <w:r>
              <w:rPr>
                <w:rFonts w:ascii="Verdana" w:hAnsi="Verdana"/>
                <w:sz w:val="18"/>
                <w:szCs w:val="18"/>
              </w:rPr>
              <w:t>hebben</w:t>
            </w:r>
            <w:r w:rsidRPr="0082026A">
              <w:rPr>
                <w:rFonts w:ascii="Verdana" w:hAnsi="Verdana"/>
                <w:sz w:val="18"/>
                <w:szCs w:val="18"/>
              </w:rPr>
              <w:t xml:space="preserve"> verantwoordelijke partijen natuurlijk </w:t>
            </w:r>
            <w:r>
              <w:rPr>
                <w:rFonts w:ascii="Verdana" w:hAnsi="Verdana"/>
                <w:sz w:val="18"/>
                <w:szCs w:val="18"/>
              </w:rPr>
              <w:t xml:space="preserve">ook </w:t>
            </w:r>
            <w:r w:rsidRPr="0082026A">
              <w:rPr>
                <w:rFonts w:ascii="Verdana" w:hAnsi="Verdana"/>
                <w:sz w:val="18"/>
                <w:szCs w:val="18"/>
              </w:rPr>
              <w:t>regulier</w:t>
            </w:r>
            <w:r>
              <w:rPr>
                <w:rFonts w:ascii="Verdana" w:hAnsi="Verdana"/>
                <w:sz w:val="18"/>
                <w:szCs w:val="18"/>
              </w:rPr>
              <w:t>e uitgaven</w:t>
            </w:r>
            <w:r w:rsidRPr="0082026A">
              <w:rPr>
                <w:rFonts w:ascii="Verdana" w:hAnsi="Verdana"/>
                <w:sz w:val="18"/>
                <w:szCs w:val="18"/>
              </w:rPr>
              <w:t xml:space="preserve"> ten behoeve van de veiligheid van de reizigers en het personeel.</w:t>
            </w:r>
            <w:r w:rsidRPr="0082026A">
              <w:rPr>
                <w:rFonts w:ascii="Verdana" w:hAnsi="Verdana"/>
                <w:sz w:val="18"/>
                <w:szCs w:val="18"/>
              </w:rPr>
              <w:br/>
            </w:r>
          </w:p>
        </w:tc>
      </w:tr>
      <w:tr w:rsidRPr="0082026A" w:rsidR="00686E88" w:rsidTr="00CE20D1" w14:paraId="65442459" w14:textId="77777777">
        <w:tc>
          <w:tcPr>
            <w:tcW w:w="0" w:type="auto"/>
          </w:tcPr>
          <w:p w:rsidRPr="0082026A" w:rsidR="00686E88" w:rsidP="00CE20D1" w:rsidRDefault="00686E88" w14:paraId="1EC249E5" w14:textId="77777777">
            <w:pPr>
              <w:rPr>
                <w:rFonts w:ascii="Verdana" w:hAnsi="Verdana"/>
                <w:sz w:val="18"/>
                <w:szCs w:val="18"/>
              </w:rPr>
            </w:pPr>
            <w:r w:rsidRPr="0082026A">
              <w:rPr>
                <w:rFonts w:ascii="Verdana" w:hAnsi="Verdana"/>
                <w:sz w:val="18"/>
                <w:szCs w:val="18"/>
              </w:rPr>
              <w:t>38</w:t>
            </w:r>
          </w:p>
        </w:tc>
        <w:tc>
          <w:tcPr>
            <w:tcW w:w="0" w:type="auto"/>
            <w:gridSpan w:val="2"/>
          </w:tcPr>
          <w:p w:rsidR="00686E88" w:rsidP="00CE20D1" w:rsidRDefault="00686E88" w14:paraId="1E9989D2" w14:textId="77777777">
            <w:pPr>
              <w:rPr>
                <w:rFonts w:ascii="Verdana" w:hAnsi="Verdana"/>
                <w:sz w:val="18"/>
                <w:szCs w:val="18"/>
              </w:rPr>
            </w:pPr>
            <w:r w:rsidRPr="0082026A">
              <w:rPr>
                <w:rFonts w:ascii="Verdana" w:hAnsi="Verdana"/>
                <w:b/>
                <w:sz w:val="18"/>
                <w:szCs w:val="18"/>
              </w:rPr>
              <w:t>Vraag:</w:t>
            </w:r>
            <w:r w:rsidRPr="0082026A">
              <w:rPr>
                <w:rFonts w:ascii="Verdana" w:hAnsi="Verdana"/>
                <w:sz w:val="18"/>
                <w:szCs w:val="18"/>
              </w:rPr>
              <w:br/>
              <w:t>Wat is de inschatting van het aantal fatbikes dat momenteel rondrijdt in Nederland?</w:t>
            </w:r>
            <w:r w:rsidRPr="0082026A">
              <w:rPr>
                <w:rFonts w:ascii="Verdana" w:hAnsi="Verdana"/>
                <w:sz w:val="18"/>
                <w:szCs w:val="18"/>
              </w:rPr>
              <w:br/>
            </w:r>
            <w:r w:rsidRPr="0082026A">
              <w:rPr>
                <w:rFonts w:ascii="Verdana" w:hAnsi="Verdana"/>
                <w:sz w:val="18"/>
                <w:szCs w:val="18"/>
              </w:rPr>
              <w:br/>
            </w:r>
            <w:r w:rsidRPr="0082026A">
              <w:rPr>
                <w:rFonts w:ascii="Verdana" w:hAnsi="Verdana"/>
                <w:b/>
                <w:sz w:val="18"/>
                <w:szCs w:val="18"/>
              </w:rPr>
              <w:t>Antwoord:</w:t>
            </w:r>
            <w:r w:rsidRPr="0082026A">
              <w:rPr>
                <w:rFonts w:ascii="Verdana" w:hAnsi="Verdana"/>
                <w:sz w:val="18"/>
                <w:szCs w:val="18"/>
              </w:rPr>
              <w:br/>
              <w:t>Het ministerie van IenW heeft geen zicht op het exact aantal fatbikes dat momenteel rondrijdt in Nederland. Een fatbike is een elektrische fiets en de verkoop hiervan wordt niet centraal geregistreerd. Voor voertuigen met een kenteken word</w:t>
            </w:r>
            <w:r>
              <w:rPr>
                <w:rFonts w:ascii="Verdana" w:hAnsi="Verdana"/>
                <w:sz w:val="18"/>
                <w:szCs w:val="18"/>
              </w:rPr>
              <w:t xml:space="preserve">en aantallen </w:t>
            </w:r>
            <w:r w:rsidRPr="0082026A">
              <w:rPr>
                <w:rFonts w:ascii="Verdana" w:hAnsi="Verdana"/>
                <w:sz w:val="18"/>
                <w:szCs w:val="18"/>
              </w:rPr>
              <w:t xml:space="preserve">bijgehouden door de Dienst Wegverkeer (RDW). </w:t>
            </w:r>
          </w:p>
          <w:p w:rsidR="00686E88" w:rsidP="00CE20D1" w:rsidRDefault="00686E88" w14:paraId="0348F68A" w14:textId="77777777">
            <w:pPr>
              <w:rPr>
                <w:rFonts w:ascii="Verdana" w:hAnsi="Verdana"/>
                <w:sz w:val="18"/>
                <w:szCs w:val="18"/>
              </w:rPr>
            </w:pPr>
          </w:p>
          <w:p w:rsidRPr="0082026A" w:rsidR="00686E88" w:rsidP="00CE20D1" w:rsidRDefault="00686E88" w14:paraId="2126B6EB" w14:textId="77777777">
            <w:pPr>
              <w:rPr>
                <w:rFonts w:ascii="Verdana" w:hAnsi="Verdana"/>
                <w:sz w:val="18"/>
                <w:szCs w:val="18"/>
              </w:rPr>
            </w:pPr>
            <w:r w:rsidRPr="0082026A">
              <w:rPr>
                <w:rFonts w:ascii="Verdana" w:hAnsi="Verdana"/>
                <w:sz w:val="18"/>
                <w:szCs w:val="18"/>
              </w:rPr>
              <w:t>Brancheverenigingen BOVAG en de RAI Vereniging laten wel jaarlijks onderzoek uitvoeren naar het aantal nieuw verkochte fietsen in Nederland, onderverdeeld in verschillende categorieën. (Rapportage 'mobiliteit in cijfers Tweewielers') Dit jaar zijn voor het eerst de verkoopaantallen onderzocht van elektrische fietsen die zij op basis van eigen criteria categoriseren als fatbikes. Op basis van die inschattingen zijn in 2024 111.033 fatbikes verkocht.  </w:t>
            </w:r>
            <w:r w:rsidRPr="0082026A">
              <w:rPr>
                <w:rFonts w:ascii="Verdana" w:hAnsi="Verdana"/>
                <w:sz w:val="18"/>
                <w:szCs w:val="18"/>
              </w:rPr>
              <w:br/>
            </w:r>
          </w:p>
        </w:tc>
      </w:tr>
      <w:tr w:rsidRPr="0082026A" w:rsidR="00686E88" w:rsidTr="00CE20D1" w14:paraId="0127DC87" w14:textId="77777777">
        <w:tc>
          <w:tcPr>
            <w:tcW w:w="0" w:type="auto"/>
          </w:tcPr>
          <w:p w:rsidRPr="0082026A" w:rsidR="00686E88" w:rsidP="00CE20D1" w:rsidRDefault="00686E88" w14:paraId="0233460C" w14:textId="77777777">
            <w:pPr>
              <w:rPr>
                <w:rFonts w:ascii="Verdana" w:hAnsi="Verdana"/>
                <w:sz w:val="18"/>
                <w:szCs w:val="18"/>
              </w:rPr>
            </w:pPr>
            <w:r w:rsidRPr="0082026A">
              <w:rPr>
                <w:rFonts w:ascii="Verdana" w:hAnsi="Verdana"/>
                <w:sz w:val="18"/>
                <w:szCs w:val="18"/>
              </w:rPr>
              <w:t>39</w:t>
            </w:r>
          </w:p>
        </w:tc>
        <w:tc>
          <w:tcPr>
            <w:tcW w:w="0" w:type="auto"/>
            <w:gridSpan w:val="2"/>
          </w:tcPr>
          <w:p w:rsidR="00686E88" w:rsidP="00CE20D1" w:rsidRDefault="00686E88" w14:paraId="0412FA6D" w14:textId="77777777">
            <w:pPr>
              <w:rPr>
                <w:rFonts w:ascii="Verdana" w:hAnsi="Verdana"/>
                <w:sz w:val="18"/>
                <w:szCs w:val="18"/>
              </w:rPr>
            </w:pPr>
            <w:r w:rsidRPr="0082026A">
              <w:rPr>
                <w:rFonts w:ascii="Verdana" w:hAnsi="Verdana"/>
                <w:b/>
                <w:sz w:val="18"/>
                <w:szCs w:val="18"/>
              </w:rPr>
              <w:t>Vraag:</w:t>
            </w:r>
            <w:r w:rsidRPr="0082026A">
              <w:rPr>
                <w:rFonts w:ascii="Verdana" w:hAnsi="Verdana"/>
                <w:sz w:val="18"/>
                <w:szCs w:val="18"/>
              </w:rPr>
              <w:br/>
              <w:t>Hoe wordt gehandhaafd op de verkoop en handel van illegale fatbikes?</w:t>
            </w:r>
            <w:r w:rsidRPr="0082026A">
              <w:rPr>
                <w:rFonts w:ascii="Verdana" w:hAnsi="Verdana"/>
                <w:sz w:val="18"/>
                <w:szCs w:val="18"/>
              </w:rPr>
              <w:br/>
            </w:r>
            <w:r w:rsidRPr="0082026A">
              <w:rPr>
                <w:rFonts w:ascii="Verdana" w:hAnsi="Verdana"/>
                <w:sz w:val="18"/>
                <w:szCs w:val="18"/>
              </w:rPr>
              <w:br/>
            </w:r>
            <w:r w:rsidRPr="0082026A">
              <w:rPr>
                <w:rFonts w:ascii="Verdana" w:hAnsi="Verdana"/>
                <w:b/>
                <w:sz w:val="18"/>
                <w:szCs w:val="18"/>
              </w:rPr>
              <w:t>Antwoord:</w:t>
            </w:r>
            <w:r w:rsidRPr="0082026A">
              <w:rPr>
                <w:rFonts w:ascii="Verdana" w:hAnsi="Verdana"/>
                <w:sz w:val="18"/>
                <w:szCs w:val="18"/>
              </w:rPr>
              <w:br/>
              <w:t>Er wordt fysiek en online toezicht gehouden op de verkoop en handel, zowel projectmatig als naar aanleiding van meldingen. Daarnaast worden platformen geïnformeerd over wet- en regelgeving ten behoeve van het verwijderen</w:t>
            </w:r>
            <w:r>
              <w:rPr>
                <w:rFonts w:ascii="Verdana" w:hAnsi="Verdana"/>
                <w:sz w:val="18"/>
                <w:szCs w:val="18"/>
              </w:rPr>
              <w:t xml:space="preserve"> en/of </w:t>
            </w:r>
            <w:r w:rsidRPr="0082026A">
              <w:rPr>
                <w:rFonts w:ascii="Verdana" w:hAnsi="Verdana"/>
                <w:sz w:val="18"/>
                <w:szCs w:val="18"/>
              </w:rPr>
              <w:t xml:space="preserve">weren van advertenties als deze kenmerken hebben van een ongekeurde bromfiets. Ook wordt er samengewerkt met de Douane, die toezicht houdt op de fiscale aspecten van het invoeren van goederen. De samenwerking met de Douane richt zich op het delen van informatie. </w:t>
            </w:r>
          </w:p>
          <w:p w:rsidRPr="0082026A" w:rsidR="00686E88" w:rsidP="00CE20D1" w:rsidRDefault="00686E88" w14:paraId="671DE6B0" w14:textId="77777777">
            <w:pPr>
              <w:rPr>
                <w:rFonts w:ascii="Verdana" w:hAnsi="Verdana"/>
                <w:sz w:val="18"/>
                <w:szCs w:val="18"/>
              </w:rPr>
            </w:pPr>
            <w:r w:rsidRPr="0082026A">
              <w:rPr>
                <w:rFonts w:ascii="Verdana" w:hAnsi="Verdana"/>
                <w:sz w:val="18"/>
                <w:szCs w:val="18"/>
              </w:rPr>
              <w:t>Voor de fiets (met trapondersteuning) is in de handelsfase de Nederlandse Voedsel- en Warenautoriteit (NVWA) de toezichthouder. De Inspectie Leefomgeving en Transport (ILT) is in de handelsfase toezichthouder op voertuigen waarbij een (type)goedkeuring verplicht is (zoals bijvoorbeeld bromfietsen).</w:t>
            </w:r>
            <w:r w:rsidRPr="0082026A">
              <w:rPr>
                <w:rFonts w:ascii="Verdana" w:hAnsi="Verdana"/>
                <w:sz w:val="18"/>
                <w:szCs w:val="18"/>
              </w:rPr>
              <w:br/>
            </w:r>
          </w:p>
        </w:tc>
      </w:tr>
      <w:tr w:rsidRPr="0082026A" w:rsidR="00686E88" w:rsidTr="00CE20D1" w14:paraId="04DB7C76" w14:textId="77777777">
        <w:tc>
          <w:tcPr>
            <w:tcW w:w="0" w:type="auto"/>
          </w:tcPr>
          <w:p w:rsidRPr="0082026A" w:rsidR="00686E88" w:rsidP="00CE20D1" w:rsidRDefault="00686E88" w14:paraId="7143CF20" w14:textId="77777777">
            <w:pPr>
              <w:rPr>
                <w:rFonts w:ascii="Verdana" w:hAnsi="Verdana"/>
                <w:sz w:val="18"/>
                <w:szCs w:val="18"/>
              </w:rPr>
            </w:pPr>
            <w:r w:rsidRPr="0082026A">
              <w:rPr>
                <w:rFonts w:ascii="Verdana" w:hAnsi="Verdana"/>
                <w:sz w:val="18"/>
                <w:szCs w:val="18"/>
              </w:rPr>
              <w:t>40</w:t>
            </w:r>
          </w:p>
        </w:tc>
        <w:tc>
          <w:tcPr>
            <w:tcW w:w="0" w:type="auto"/>
            <w:gridSpan w:val="2"/>
          </w:tcPr>
          <w:p w:rsidRPr="0082026A" w:rsidR="00686E88" w:rsidP="00CE20D1" w:rsidRDefault="00686E88" w14:paraId="516E05A5" w14:textId="77777777">
            <w:pPr>
              <w:rPr>
                <w:rFonts w:ascii="Verdana" w:hAnsi="Verdana"/>
                <w:sz w:val="18"/>
                <w:szCs w:val="18"/>
              </w:rPr>
            </w:pPr>
            <w:r w:rsidRPr="0082026A">
              <w:rPr>
                <w:rFonts w:ascii="Verdana" w:hAnsi="Verdana"/>
                <w:b/>
                <w:sz w:val="18"/>
                <w:szCs w:val="18"/>
              </w:rPr>
              <w:t>Vraag:</w:t>
            </w:r>
            <w:r w:rsidRPr="0082026A">
              <w:rPr>
                <w:rFonts w:ascii="Verdana" w:hAnsi="Verdana"/>
                <w:sz w:val="18"/>
                <w:szCs w:val="18"/>
              </w:rPr>
              <w:br/>
              <w:t>Welke acties worden ondernomen om verkoop van goedkope illegale fatbikes op de Beverwijkse bazaar te stoppen?</w:t>
            </w:r>
            <w:r w:rsidRPr="0082026A">
              <w:rPr>
                <w:rFonts w:ascii="Verdana" w:hAnsi="Verdana"/>
                <w:sz w:val="18"/>
                <w:szCs w:val="18"/>
              </w:rPr>
              <w:br/>
            </w:r>
            <w:r w:rsidRPr="0082026A">
              <w:rPr>
                <w:rFonts w:ascii="Verdana" w:hAnsi="Verdana"/>
                <w:sz w:val="18"/>
                <w:szCs w:val="18"/>
              </w:rPr>
              <w:br/>
            </w:r>
            <w:r w:rsidRPr="0082026A">
              <w:rPr>
                <w:rFonts w:ascii="Verdana" w:hAnsi="Verdana"/>
                <w:b/>
                <w:sz w:val="18"/>
                <w:szCs w:val="18"/>
              </w:rPr>
              <w:t>Antwoord:</w:t>
            </w:r>
            <w:r w:rsidRPr="0082026A">
              <w:rPr>
                <w:rFonts w:ascii="Verdana" w:hAnsi="Verdana"/>
                <w:sz w:val="18"/>
                <w:szCs w:val="18"/>
              </w:rPr>
              <w:br/>
              <w:t>Fatbikes zijn een legaal product, mits zij aan de geldende regels voldoen. Deze producten kunnen daarom vrij worden verhandeld. Het signaal dat er bij de Beverwijkse Bazaar mogelijk fatbikes worden verkocht die niet voldoen, wordt door NVWA en ILT in gezamenlijkheid opgepakt.</w:t>
            </w:r>
            <w:r w:rsidRPr="0082026A">
              <w:rPr>
                <w:rFonts w:ascii="Verdana" w:hAnsi="Verdana"/>
                <w:sz w:val="18"/>
                <w:szCs w:val="18"/>
              </w:rPr>
              <w:br/>
            </w:r>
          </w:p>
        </w:tc>
      </w:tr>
      <w:tr w:rsidRPr="0082026A" w:rsidR="00686E88" w:rsidTr="00CE20D1" w14:paraId="0EEC227D" w14:textId="77777777">
        <w:tc>
          <w:tcPr>
            <w:tcW w:w="0" w:type="auto"/>
          </w:tcPr>
          <w:p w:rsidRPr="0082026A" w:rsidR="00686E88" w:rsidP="00CE20D1" w:rsidRDefault="00686E88" w14:paraId="73427575" w14:textId="77777777">
            <w:pPr>
              <w:rPr>
                <w:rFonts w:ascii="Verdana" w:hAnsi="Verdana"/>
                <w:sz w:val="18"/>
                <w:szCs w:val="18"/>
              </w:rPr>
            </w:pPr>
            <w:r w:rsidRPr="0082026A">
              <w:rPr>
                <w:rFonts w:ascii="Verdana" w:hAnsi="Verdana"/>
                <w:sz w:val="18"/>
                <w:szCs w:val="18"/>
              </w:rPr>
              <w:t>41</w:t>
            </w:r>
          </w:p>
        </w:tc>
        <w:tc>
          <w:tcPr>
            <w:tcW w:w="0" w:type="auto"/>
            <w:gridSpan w:val="2"/>
          </w:tcPr>
          <w:p w:rsidR="00686E88" w:rsidP="00CE20D1" w:rsidRDefault="00686E88" w14:paraId="57A10B5B" w14:textId="77777777">
            <w:pPr>
              <w:rPr>
                <w:rFonts w:ascii="Verdana" w:hAnsi="Verdana"/>
                <w:sz w:val="18"/>
                <w:szCs w:val="18"/>
              </w:rPr>
            </w:pPr>
            <w:r w:rsidRPr="0082026A">
              <w:rPr>
                <w:rFonts w:ascii="Verdana" w:hAnsi="Verdana"/>
                <w:b/>
                <w:sz w:val="18"/>
                <w:szCs w:val="18"/>
              </w:rPr>
              <w:t>Vraag:</w:t>
            </w:r>
            <w:r w:rsidRPr="0082026A">
              <w:rPr>
                <w:rFonts w:ascii="Verdana" w:hAnsi="Verdana"/>
                <w:sz w:val="18"/>
                <w:szCs w:val="18"/>
              </w:rPr>
              <w:br/>
              <w:t>Kan in een schema worden weergegeven hoeveel het rijk en de medeoverheden bijdragen aan de ov-concessies?</w:t>
            </w:r>
            <w:r w:rsidRPr="0082026A">
              <w:rPr>
                <w:rFonts w:ascii="Verdana" w:hAnsi="Verdana"/>
                <w:sz w:val="18"/>
                <w:szCs w:val="18"/>
              </w:rPr>
              <w:br/>
            </w:r>
            <w:r w:rsidRPr="0082026A">
              <w:rPr>
                <w:rFonts w:ascii="Verdana" w:hAnsi="Verdana"/>
                <w:sz w:val="18"/>
                <w:szCs w:val="18"/>
              </w:rPr>
              <w:br/>
            </w:r>
            <w:r w:rsidRPr="0082026A">
              <w:rPr>
                <w:rFonts w:ascii="Verdana" w:hAnsi="Verdana"/>
                <w:b/>
                <w:sz w:val="18"/>
                <w:szCs w:val="18"/>
              </w:rPr>
              <w:t>Antwoord:</w:t>
            </w:r>
            <w:r w:rsidRPr="0082026A">
              <w:rPr>
                <w:rFonts w:ascii="Verdana" w:hAnsi="Verdana"/>
                <w:sz w:val="18"/>
                <w:szCs w:val="18"/>
              </w:rPr>
              <w:br/>
              <w:t xml:space="preserve">De ov-concessies worden door de verschillende overheden bekostigd </w:t>
            </w:r>
            <w:r>
              <w:rPr>
                <w:rFonts w:ascii="Verdana" w:hAnsi="Verdana"/>
                <w:sz w:val="18"/>
                <w:szCs w:val="18"/>
              </w:rPr>
              <w:t>via</w:t>
            </w:r>
            <w:r w:rsidRPr="0082026A">
              <w:rPr>
                <w:rFonts w:ascii="Verdana" w:hAnsi="Verdana"/>
                <w:sz w:val="18"/>
                <w:szCs w:val="18"/>
              </w:rPr>
              <w:t xml:space="preserve"> exploitatiesubsidies. Het geld hiervoor komt voor de provincies grotendeels vanuit het Provinciefonds; hierbinnen is geen sprake van geoormerkt geld voor het regionale ov. </w:t>
            </w:r>
          </w:p>
          <w:p w:rsidR="00686E88" w:rsidP="00CE20D1" w:rsidRDefault="00686E88" w14:paraId="583D73A8" w14:textId="77777777">
            <w:pPr>
              <w:rPr>
                <w:rFonts w:ascii="Verdana" w:hAnsi="Verdana"/>
                <w:sz w:val="18"/>
                <w:szCs w:val="18"/>
              </w:rPr>
            </w:pPr>
            <w:r w:rsidRPr="0082026A">
              <w:rPr>
                <w:rFonts w:ascii="Verdana" w:hAnsi="Verdana"/>
                <w:sz w:val="18"/>
                <w:szCs w:val="18"/>
              </w:rPr>
              <w:t>Daarnaast ontvangen sommige decentrale overheden ook een aanvullende bijdrage vanuit het Rijk voor de exploitatie van het regionaal vervoer. </w:t>
            </w:r>
            <w:r w:rsidRPr="0082026A">
              <w:rPr>
                <w:rFonts w:ascii="Verdana" w:hAnsi="Verdana"/>
                <w:sz w:val="18"/>
                <w:szCs w:val="18"/>
              </w:rPr>
              <w:br/>
            </w:r>
          </w:p>
          <w:p w:rsidRPr="0082026A" w:rsidR="00686E88" w:rsidP="00CE20D1" w:rsidRDefault="00686E88" w14:paraId="488AC674" w14:textId="77777777">
            <w:pPr>
              <w:rPr>
                <w:rFonts w:ascii="Verdana" w:hAnsi="Verdana"/>
                <w:sz w:val="18"/>
                <w:szCs w:val="18"/>
              </w:rPr>
            </w:pPr>
            <w:r w:rsidRPr="0082026A">
              <w:rPr>
                <w:rFonts w:ascii="Verdana" w:hAnsi="Verdana"/>
                <w:sz w:val="18"/>
                <w:szCs w:val="18"/>
              </w:rPr>
              <w:t>De vervoerregio’s MRDH en VRA verkrijgen hun middelen grotendeels van het Rijk via de Brede Doeluitkering (BDU) op de begroting van het ministerie van Infrastructuur en Waterstaat. </w:t>
            </w:r>
            <w:r w:rsidRPr="0082026A">
              <w:rPr>
                <w:rFonts w:ascii="Verdana" w:hAnsi="Verdana"/>
                <w:sz w:val="18"/>
                <w:szCs w:val="18"/>
              </w:rPr>
              <w:br/>
              <w:t>De in de meest recente jaren verstrekte exploitatiesubsidies per concessieverlener zijn opgenomen in tabel</w:t>
            </w:r>
            <w:r>
              <w:rPr>
                <w:rFonts w:ascii="Verdana" w:hAnsi="Verdana"/>
                <w:sz w:val="18"/>
                <w:szCs w:val="18"/>
              </w:rPr>
              <w:t xml:space="preserve"> 4 die als bijlage is bijgevoegd</w:t>
            </w:r>
            <w:r w:rsidRPr="0082026A">
              <w:rPr>
                <w:rFonts w:ascii="Verdana" w:hAnsi="Verdana"/>
                <w:sz w:val="18"/>
                <w:szCs w:val="18"/>
              </w:rPr>
              <w:t>. </w:t>
            </w:r>
            <w:r w:rsidRPr="0082026A">
              <w:rPr>
                <w:rFonts w:ascii="Verdana" w:hAnsi="Verdana"/>
                <w:sz w:val="18"/>
                <w:szCs w:val="18"/>
              </w:rPr>
              <w:br/>
              <w:t>Daarnaast hebben verenigingen van ov-bedrijven en NS een privaatrechtelijke overeenkomst gesloten met het ministerie van OCW over het studentenreisproduct. De totale omvang van deze contracten bedraagt ongeveer 1 miljard euro per jaar.</w:t>
            </w:r>
            <w:r w:rsidRPr="0082026A">
              <w:rPr>
                <w:rFonts w:ascii="Verdana" w:hAnsi="Verdana"/>
                <w:sz w:val="18"/>
                <w:szCs w:val="18"/>
              </w:rPr>
              <w:br/>
              <w:t>Voor de exploitatie van de hoofdrailnetconcessie door NS verstrekt het ministerie van IenW in 2025 een concessiesubsidie van € 17 miljoen.</w:t>
            </w:r>
            <w:r w:rsidRPr="0082026A">
              <w:rPr>
                <w:rFonts w:ascii="Verdana" w:hAnsi="Verdana"/>
                <w:sz w:val="18"/>
                <w:szCs w:val="18"/>
              </w:rPr>
              <w:br/>
            </w:r>
          </w:p>
        </w:tc>
      </w:tr>
      <w:tr w:rsidRPr="0082026A" w:rsidR="00686E88" w:rsidTr="00CE20D1" w14:paraId="6232DC7B" w14:textId="77777777">
        <w:tc>
          <w:tcPr>
            <w:tcW w:w="0" w:type="auto"/>
          </w:tcPr>
          <w:p w:rsidRPr="0082026A" w:rsidR="00686E88" w:rsidP="00CE20D1" w:rsidRDefault="00686E88" w14:paraId="13F3E0CB" w14:textId="77777777">
            <w:pPr>
              <w:rPr>
                <w:rFonts w:ascii="Verdana" w:hAnsi="Verdana"/>
                <w:sz w:val="18"/>
                <w:szCs w:val="18"/>
              </w:rPr>
            </w:pPr>
            <w:r w:rsidRPr="0082026A">
              <w:rPr>
                <w:rFonts w:ascii="Verdana" w:hAnsi="Verdana"/>
                <w:sz w:val="18"/>
                <w:szCs w:val="18"/>
              </w:rPr>
              <w:t>42</w:t>
            </w:r>
          </w:p>
        </w:tc>
        <w:tc>
          <w:tcPr>
            <w:tcW w:w="0" w:type="auto"/>
            <w:gridSpan w:val="2"/>
          </w:tcPr>
          <w:p w:rsidR="00686E88" w:rsidP="00CE20D1" w:rsidRDefault="00686E88" w14:paraId="0E0374E3" w14:textId="77777777">
            <w:pPr>
              <w:rPr>
                <w:rFonts w:ascii="Verdana" w:hAnsi="Verdana"/>
                <w:sz w:val="18"/>
                <w:szCs w:val="18"/>
              </w:rPr>
            </w:pPr>
            <w:r w:rsidRPr="0082026A">
              <w:rPr>
                <w:rFonts w:ascii="Verdana" w:hAnsi="Verdana"/>
                <w:b/>
                <w:sz w:val="18"/>
                <w:szCs w:val="18"/>
              </w:rPr>
              <w:t>Vraag:</w:t>
            </w:r>
            <w:r w:rsidRPr="0082026A">
              <w:rPr>
                <w:rFonts w:ascii="Verdana" w:hAnsi="Verdana"/>
                <w:sz w:val="18"/>
                <w:szCs w:val="18"/>
              </w:rPr>
              <w:br/>
              <w:t>Hoeveel is er in miljoenen euro’s beschikbaar voor het ontsluiten van (nieuwe) woningbouwlocaties, en in welke jaren (graag een meerjarenoverzicht in tabelvorm)?</w:t>
            </w:r>
            <w:r w:rsidRPr="0082026A">
              <w:rPr>
                <w:rFonts w:ascii="Verdana" w:hAnsi="Verdana"/>
                <w:sz w:val="18"/>
                <w:szCs w:val="18"/>
              </w:rPr>
              <w:br/>
            </w:r>
            <w:r w:rsidRPr="0082026A">
              <w:rPr>
                <w:rFonts w:ascii="Verdana" w:hAnsi="Verdana"/>
                <w:sz w:val="18"/>
                <w:szCs w:val="18"/>
              </w:rPr>
              <w:br/>
            </w:r>
            <w:r w:rsidRPr="0082026A">
              <w:rPr>
                <w:rFonts w:ascii="Verdana" w:hAnsi="Verdana"/>
                <w:b/>
                <w:sz w:val="18"/>
                <w:szCs w:val="18"/>
              </w:rPr>
              <w:t>Antwoord:</w:t>
            </w:r>
            <w:r w:rsidRPr="0082026A">
              <w:rPr>
                <w:rFonts w:ascii="Verdana" w:hAnsi="Verdana"/>
                <w:sz w:val="18"/>
                <w:szCs w:val="18"/>
              </w:rPr>
              <w:br/>
              <w:t xml:space="preserve">Het kabinet-Schoof I heeft € 2,5 miljard beschikbaar gemaakt voor de ontsluiting en bereikbaarheid van nieuwe woningbouwlocaties. De € 2,5 miljard wordt ingezet voor twee verschillende type woningbouwlocaties; woningbouwlocaties door heel Nederland waar op korte termijn extra woningen gebouwd kunnen worden en grootschalige woningbouwlocaties. Om bestuurlijke afspraken te kunnen maken en deze te kunnen vertalen in regelingen en beschikkingen zijn deze middelen bij de eerste suppletoire begroting 2025 (samenhangende met de Voorjaarsnota) opgevraagd vanuit de Aanvullende Post van het ministerie van Financiën en in een realistisch uitvoerbaar kasritme toegevoegd, aan de begroting van IenW. De meerjarenraming is </w:t>
            </w:r>
            <w:r>
              <w:rPr>
                <w:rFonts w:ascii="Verdana" w:hAnsi="Verdana"/>
                <w:sz w:val="18"/>
                <w:szCs w:val="18"/>
              </w:rPr>
              <w:t>hieronder in de tabel weergegeven</w:t>
            </w:r>
            <w:r w:rsidRPr="0082026A">
              <w:rPr>
                <w:rFonts w:ascii="Verdana" w:hAnsi="Verdana"/>
                <w:sz w:val="18"/>
                <w:szCs w:val="18"/>
              </w:rPr>
              <w:t>. </w:t>
            </w:r>
            <w:r w:rsidRPr="0082026A">
              <w:rPr>
                <w:rFonts w:ascii="Verdana" w:hAnsi="Verdana"/>
                <w:sz w:val="18"/>
                <w:szCs w:val="18"/>
              </w:rPr>
              <w:br/>
            </w:r>
          </w:p>
          <w:tbl>
            <w:tblPr>
              <w:tblW w:w="8204" w:type="dxa"/>
              <w:tblCellMar>
                <w:left w:w="70" w:type="dxa"/>
                <w:right w:w="70" w:type="dxa"/>
              </w:tblCellMar>
              <w:tblLook w:val="04A0" w:firstRow="1" w:lastRow="0" w:firstColumn="1" w:lastColumn="0" w:noHBand="0" w:noVBand="1"/>
            </w:tblPr>
            <w:tblGrid>
              <w:gridCol w:w="1092"/>
              <w:gridCol w:w="616"/>
              <w:gridCol w:w="615"/>
              <w:gridCol w:w="615"/>
              <w:gridCol w:w="616"/>
              <w:gridCol w:w="616"/>
              <w:gridCol w:w="616"/>
              <w:gridCol w:w="616"/>
              <w:gridCol w:w="616"/>
              <w:gridCol w:w="616"/>
              <w:gridCol w:w="616"/>
              <w:gridCol w:w="853"/>
            </w:tblGrid>
            <w:tr w:rsidRPr="0010332D" w:rsidR="00686E88" w:rsidTr="00CE20D1" w14:paraId="1DE0F881" w14:textId="77777777">
              <w:trPr>
                <w:trHeight w:val="300"/>
              </w:trPr>
              <w:tc>
                <w:tcPr>
                  <w:tcW w:w="1108" w:type="dxa"/>
                  <w:tcBorders>
                    <w:top w:val="single" w:color="auto" w:sz="8" w:space="0"/>
                    <w:left w:val="single" w:color="auto" w:sz="8" w:space="0"/>
                    <w:bottom w:val="single" w:color="auto" w:sz="8" w:space="0"/>
                    <w:right w:val="single" w:color="auto" w:sz="8" w:space="0"/>
                  </w:tcBorders>
                  <w:noWrap/>
                  <w:vAlign w:val="center"/>
                  <w:hideMark/>
                </w:tcPr>
                <w:p w:rsidRPr="0010332D" w:rsidR="00686E88" w:rsidP="00CE20D1" w:rsidRDefault="00686E88" w14:paraId="35A7D13A" w14:textId="77777777">
                  <w:pPr>
                    <w:spacing w:after="0" w:line="240" w:lineRule="auto"/>
                    <w:rPr>
                      <w:rFonts w:ascii="Verdana" w:hAnsi="Verdana"/>
                      <w:b/>
                      <w:bCs/>
                      <w:sz w:val="16"/>
                      <w:szCs w:val="16"/>
                    </w:rPr>
                  </w:pPr>
                  <w:r w:rsidRPr="0010332D">
                    <w:rPr>
                      <w:rFonts w:ascii="Verdana" w:hAnsi="Verdana"/>
                      <w:b/>
                      <w:bCs/>
                      <w:sz w:val="16"/>
                      <w:szCs w:val="16"/>
                    </w:rPr>
                    <w:t>Jaar</w:t>
                  </w:r>
                </w:p>
              </w:tc>
              <w:tc>
                <w:tcPr>
                  <w:tcW w:w="625" w:type="dxa"/>
                  <w:tcBorders>
                    <w:top w:val="single" w:color="auto" w:sz="8" w:space="0"/>
                    <w:left w:val="nil"/>
                    <w:bottom w:val="single" w:color="auto" w:sz="8" w:space="0"/>
                    <w:right w:val="single" w:color="auto" w:sz="8" w:space="0"/>
                  </w:tcBorders>
                  <w:noWrap/>
                  <w:vAlign w:val="center"/>
                  <w:hideMark/>
                </w:tcPr>
                <w:p w:rsidRPr="0010332D" w:rsidR="00686E88" w:rsidP="00CE20D1" w:rsidRDefault="00686E88" w14:paraId="021270B8" w14:textId="77777777">
                  <w:pPr>
                    <w:spacing w:after="0" w:line="240" w:lineRule="auto"/>
                    <w:rPr>
                      <w:rFonts w:ascii="Verdana" w:hAnsi="Verdana"/>
                      <w:b/>
                      <w:bCs/>
                      <w:sz w:val="16"/>
                      <w:szCs w:val="16"/>
                    </w:rPr>
                  </w:pPr>
                  <w:r w:rsidRPr="0010332D">
                    <w:rPr>
                      <w:rFonts w:ascii="Verdana" w:hAnsi="Verdana"/>
                      <w:b/>
                      <w:bCs/>
                      <w:sz w:val="16"/>
                      <w:szCs w:val="16"/>
                    </w:rPr>
                    <w:t>2026</w:t>
                  </w:r>
                </w:p>
              </w:tc>
              <w:tc>
                <w:tcPr>
                  <w:tcW w:w="623" w:type="dxa"/>
                  <w:tcBorders>
                    <w:top w:val="single" w:color="auto" w:sz="8" w:space="0"/>
                    <w:left w:val="nil"/>
                    <w:bottom w:val="single" w:color="auto" w:sz="8" w:space="0"/>
                    <w:right w:val="single" w:color="auto" w:sz="8" w:space="0"/>
                  </w:tcBorders>
                  <w:noWrap/>
                  <w:vAlign w:val="center"/>
                  <w:hideMark/>
                </w:tcPr>
                <w:p w:rsidRPr="0010332D" w:rsidR="00686E88" w:rsidP="00CE20D1" w:rsidRDefault="00686E88" w14:paraId="187B03BC" w14:textId="77777777">
                  <w:pPr>
                    <w:spacing w:after="0" w:line="240" w:lineRule="auto"/>
                    <w:rPr>
                      <w:rFonts w:ascii="Verdana" w:hAnsi="Verdana"/>
                      <w:b/>
                      <w:bCs/>
                      <w:sz w:val="16"/>
                      <w:szCs w:val="16"/>
                    </w:rPr>
                  </w:pPr>
                  <w:r w:rsidRPr="0010332D">
                    <w:rPr>
                      <w:rFonts w:ascii="Verdana" w:hAnsi="Verdana"/>
                      <w:b/>
                      <w:bCs/>
                      <w:sz w:val="16"/>
                      <w:szCs w:val="16"/>
                    </w:rPr>
                    <w:t>2027</w:t>
                  </w:r>
                </w:p>
              </w:tc>
              <w:tc>
                <w:tcPr>
                  <w:tcW w:w="623" w:type="dxa"/>
                  <w:tcBorders>
                    <w:top w:val="single" w:color="auto" w:sz="8" w:space="0"/>
                    <w:left w:val="nil"/>
                    <w:bottom w:val="single" w:color="auto" w:sz="8" w:space="0"/>
                    <w:right w:val="single" w:color="auto" w:sz="8" w:space="0"/>
                  </w:tcBorders>
                  <w:noWrap/>
                  <w:vAlign w:val="center"/>
                  <w:hideMark/>
                </w:tcPr>
                <w:p w:rsidRPr="0010332D" w:rsidR="00686E88" w:rsidP="00CE20D1" w:rsidRDefault="00686E88" w14:paraId="424B0250" w14:textId="77777777">
                  <w:pPr>
                    <w:spacing w:after="0" w:line="240" w:lineRule="auto"/>
                    <w:rPr>
                      <w:rFonts w:ascii="Verdana" w:hAnsi="Verdana"/>
                      <w:b/>
                      <w:bCs/>
                      <w:sz w:val="16"/>
                      <w:szCs w:val="16"/>
                    </w:rPr>
                  </w:pPr>
                  <w:r w:rsidRPr="0010332D">
                    <w:rPr>
                      <w:rFonts w:ascii="Verdana" w:hAnsi="Verdana"/>
                      <w:b/>
                      <w:bCs/>
                      <w:sz w:val="16"/>
                      <w:szCs w:val="16"/>
                    </w:rPr>
                    <w:t>2028</w:t>
                  </w:r>
                </w:p>
              </w:tc>
              <w:tc>
                <w:tcPr>
                  <w:tcW w:w="623" w:type="dxa"/>
                  <w:tcBorders>
                    <w:top w:val="single" w:color="auto" w:sz="8" w:space="0"/>
                    <w:left w:val="nil"/>
                    <w:bottom w:val="single" w:color="auto" w:sz="8" w:space="0"/>
                    <w:right w:val="single" w:color="auto" w:sz="8" w:space="0"/>
                  </w:tcBorders>
                  <w:noWrap/>
                  <w:vAlign w:val="center"/>
                  <w:hideMark/>
                </w:tcPr>
                <w:p w:rsidRPr="0010332D" w:rsidR="00686E88" w:rsidP="00CE20D1" w:rsidRDefault="00686E88" w14:paraId="52A49EB0" w14:textId="77777777">
                  <w:pPr>
                    <w:spacing w:after="0" w:line="240" w:lineRule="auto"/>
                    <w:rPr>
                      <w:rFonts w:ascii="Verdana" w:hAnsi="Verdana"/>
                      <w:b/>
                      <w:bCs/>
                      <w:sz w:val="16"/>
                      <w:szCs w:val="16"/>
                    </w:rPr>
                  </w:pPr>
                  <w:r w:rsidRPr="0010332D">
                    <w:rPr>
                      <w:rFonts w:ascii="Verdana" w:hAnsi="Verdana"/>
                      <w:b/>
                      <w:bCs/>
                      <w:sz w:val="16"/>
                      <w:szCs w:val="16"/>
                    </w:rPr>
                    <w:t>2029</w:t>
                  </w:r>
                </w:p>
              </w:tc>
              <w:tc>
                <w:tcPr>
                  <w:tcW w:w="623" w:type="dxa"/>
                  <w:tcBorders>
                    <w:top w:val="single" w:color="auto" w:sz="8" w:space="0"/>
                    <w:left w:val="nil"/>
                    <w:bottom w:val="single" w:color="auto" w:sz="8" w:space="0"/>
                    <w:right w:val="single" w:color="auto" w:sz="8" w:space="0"/>
                  </w:tcBorders>
                  <w:noWrap/>
                  <w:vAlign w:val="center"/>
                  <w:hideMark/>
                </w:tcPr>
                <w:p w:rsidRPr="0010332D" w:rsidR="00686E88" w:rsidP="00CE20D1" w:rsidRDefault="00686E88" w14:paraId="1068A7CC" w14:textId="77777777">
                  <w:pPr>
                    <w:spacing w:after="0" w:line="240" w:lineRule="auto"/>
                    <w:rPr>
                      <w:rFonts w:ascii="Verdana" w:hAnsi="Verdana"/>
                      <w:b/>
                      <w:bCs/>
                      <w:sz w:val="16"/>
                      <w:szCs w:val="16"/>
                    </w:rPr>
                  </w:pPr>
                  <w:r w:rsidRPr="0010332D">
                    <w:rPr>
                      <w:rFonts w:ascii="Verdana" w:hAnsi="Verdana"/>
                      <w:b/>
                      <w:bCs/>
                      <w:sz w:val="16"/>
                      <w:szCs w:val="16"/>
                    </w:rPr>
                    <w:t>2030</w:t>
                  </w:r>
                </w:p>
              </w:tc>
              <w:tc>
                <w:tcPr>
                  <w:tcW w:w="623" w:type="dxa"/>
                  <w:tcBorders>
                    <w:top w:val="single" w:color="auto" w:sz="8" w:space="0"/>
                    <w:left w:val="nil"/>
                    <w:bottom w:val="single" w:color="auto" w:sz="8" w:space="0"/>
                    <w:right w:val="single" w:color="auto" w:sz="8" w:space="0"/>
                  </w:tcBorders>
                  <w:noWrap/>
                  <w:vAlign w:val="center"/>
                  <w:hideMark/>
                </w:tcPr>
                <w:p w:rsidRPr="0010332D" w:rsidR="00686E88" w:rsidP="00CE20D1" w:rsidRDefault="00686E88" w14:paraId="19F9F921" w14:textId="77777777">
                  <w:pPr>
                    <w:spacing w:after="0" w:line="240" w:lineRule="auto"/>
                    <w:rPr>
                      <w:rFonts w:ascii="Verdana" w:hAnsi="Verdana"/>
                      <w:b/>
                      <w:bCs/>
                      <w:sz w:val="16"/>
                      <w:szCs w:val="16"/>
                    </w:rPr>
                  </w:pPr>
                  <w:r w:rsidRPr="0010332D">
                    <w:rPr>
                      <w:rFonts w:ascii="Verdana" w:hAnsi="Verdana"/>
                      <w:b/>
                      <w:bCs/>
                      <w:sz w:val="16"/>
                      <w:szCs w:val="16"/>
                    </w:rPr>
                    <w:t>2031</w:t>
                  </w:r>
                </w:p>
              </w:tc>
              <w:tc>
                <w:tcPr>
                  <w:tcW w:w="623" w:type="dxa"/>
                  <w:tcBorders>
                    <w:top w:val="single" w:color="auto" w:sz="8" w:space="0"/>
                    <w:left w:val="nil"/>
                    <w:bottom w:val="single" w:color="auto" w:sz="8" w:space="0"/>
                    <w:right w:val="single" w:color="auto" w:sz="8" w:space="0"/>
                  </w:tcBorders>
                  <w:noWrap/>
                  <w:vAlign w:val="center"/>
                  <w:hideMark/>
                </w:tcPr>
                <w:p w:rsidRPr="0010332D" w:rsidR="00686E88" w:rsidP="00CE20D1" w:rsidRDefault="00686E88" w14:paraId="25D72D6C" w14:textId="77777777">
                  <w:pPr>
                    <w:spacing w:after="0" w:line="240" w:lineRule="auto"/>
                    <w:rPr>
                      <w:rFonts w:ascii="Verdana" w:hAnsi="Verdana"/>
                      <w:b/>
                      <w:bCs/>
                      <w:sz w:val="16"/>
                      <w:szCs w:val="16"/>
                    </w:rPr>
                  </w:pPr>
                  <w:r w:rsidRPr="0010332D">
                    <w:rPr>
                      <w:rFonts w:ascii="Verdana" w:hAnsi="Verdana"/>
                      <w:b/>
                      <w:bCs/>
                      <w:sz w:val="16"/>
                      <w:szCs w:val="16"/>
                    </w:rPr>
                    <w:t>2032</w:t>
                  </w:r>
                </w:p>
              </w:tc>
              <w:tc>
                <w:tcPr>
                  <w:tcW w:w="623" w:type="dxa"/>
                  <w:tcBorders>
                    <w:top w:val="single" w:color="auto" w:sz="8" w:space="0"/>
                    <w:left w:val="nil"/>
                    <w:bottom w:val="single" w:color="auto" w:sz="8" w:space="0"/>
                    <w:right w:val="single" w:color="auto" w:sz="8" w:space="0"/>
                  </w:tcBorders>
                  <w:noWrap/>
                  <w:vAlign w:val="center"/>
                  <w:hideMark/>
                </w:tcPr>
                <w:p w:rsidRPr="0010332D" w:rsidR="00686E88" w:rsidP="00CE20D1" w:rsidRDefault="00686E88" w14:paraId="4AF6582F" w14:textId="77777777">
                  <w:pPr>
                    <w:spacing w:after="0" w:line="240" w:lineRule="auto"/>
                    <w:rPr>
                      <w:rFonts w:ascii="Verdana" w:hAnsi="Verdana"/>
                      <w:b/>
                      <w:bCs/>
                      <w:sz w:val="16"/>
                      <w:szCs w:val="16"/>
                    </w:rPr>
                  </w:pPr>
                  <w:r w:rsidRPr="0010332D">
                    <w:rPr>
                      <w:rFonts w:ascii="Verdana" w:hAnsi="Verdana"/>
                      <w:b/>
                      <w:bCs/>
                      <w:sz w:val="16"/>
                      <w:szCs w:val="16"/>
                    </w:rPr>
                    <w:t>2033</w:t>
                  </w:r>
                </w:p>
              </w:tc>
              <w:tc>
                <w:tcPr>
                  <w:tcW w:w="623" w:type="dxa"/>
                  <w:tcBorders>
                    <w:top w:val="single" w:color="auto" w:sz="8" w:space="0"/>
                    <w:left w:val="nil"/>
                    <w:bottom w:val="single" w:color="auto" w:sz="8" w:space="0"/>
                    <w:right w:val="single" w:color="auto" w:sz="8" w:space="0"/>
                  </w:tcBorders>
                  <w:noWrap/>
                  <w:vAlign w:val="center"/>
                  <w:hideMark/>
                </w:tcPr>
                <w:p w:rsidRPr="0010332D" w:rsidR="00686E88" w:rsidP="00CE20D1" w:rsidRDefault="00686E88" w14:paraId="67A1D5A5" w14:textId="77777777">
                  <w:pPr>
                    <w:spacing w:after="0" w:line="240" w:lineRule="auto"/>
                    <w:rPr>
                      <w:rFonts w:ascii="Verdana" w:hAnsi="Verdana"/>
                      <w:b/>
                      <w:bCs/>
                      <w:sz w:val="16"/>
                      <w:szCs w:val="16"/>
                    </w:rPr>
                  </w:pPr>
                  <w:r w:rsidRPr="0010332D">
                    <w:rPr>
                      <w:rFonts w:ascii="Verdana" w:hAnsi="Verdana"/>
                      <w:b/>
                      <w:bCs/>
                      <w:sz w:val="16"/>
                      <w:szCs w:val="16"/>
                    </w:rPr>
                    <w:t>2034</w:t>
                  </w:r>
                </w:p>
              </w:tc>
              <w:tc>
                <w:tcPr>
                  <w:tcW w:w="623" w:type="dxa"/>
                  <w:tcBorders>
                    <w:top w:val="single" w:color="auto" w:sz="8" w:space="0"/>
                    <w:left w:val="nil"/>
                    <w:bottom w:val="single" w:color="auto" w:sz="8" w:space="0"/>
                    <w:right w:val="single" w:color="auto" w:sz="8" w:space="0"/>
                  </w:tcBorders>
                  <w:noWrap/>
                  <w:vAlign w:val="center"/>
                  <w:hideMark/>
                </w:tcPr>
                <w:p w:rsidRPr="0010332D" w:rsidR="00686E88" w:rsidP="00CE20D1" w:rsidRDefault="00686E88" w14:paraId="468DFB39" w14:textId="77777777">
                  <w:pPr>
                    <w:spacing w:after="0" w:line="240" w:lineRule="auto"/>
                    <w:rPr>
                      <w:rFonts w:ascii="Verdana" w:hAnsi="Verdana"/>
                      <w:b/>
                      <w:bCs/>
                      <w:sz w:val="16"/>
                      <w:szCs w:val="16"/>
                    </w:rPr>
                  </w:pPr>
                  <w:r w:rsidRPr="0010332D">
                    <w:rPr>
                      <w:rFonts w:ascii="Verdana" w:hAnsi="Verdana"/>
                      <w:b/>
                      <w:bCs/>
                      <w:sz w:val="16"/>
                      <w:szCs w:val="16"/>
                    </w:rPr>
                    <w:t>2035</w:t>
                  </w:r>
                </w:p>
              </w:tc>
              <w:tc>
                <w:tcPr>
                  <w:tcW w:w="864" w:type="dxa"/>
                  <w:tcBorders>
                    <w:top w:val="single" w:color="auto" w:sz="8" w:space="0"/>
                    <w:left w:val="nil"/>
                    <w:bottom w:val="single" w:color="auto" w:sz="8" w:space="0"/>
                    <w:right w:val="single" w:color="auto" w:sz="8" w:space="0"/>
                  </w:tcBorders>
                  <w:noWrap/>
                  <w:vAlign w:val="center"/>
                  <w:hideMark/>
                </w:tcPr>
                <w:p w:rsidRPr="0010332D" w:rsidR="00686E88" w:rsidP="00CE20D1" w:rsidRDefault="00686E88" w14:paraId="4FEBA335" w14:textId="77777777">
                  <w:pPr>
                    <w:spacing w:after="0" w:line="240" w:lineRule="auto"/>
                    <w:rPr>
                      <w:rFonts w:ascii="Verdana" w:hAnsi="Verdana"/>
                      <w:b/>
                      <w:bCs/>
                      <w:sz w:val="16"/>
                      <w:szCs w:val="16"/>
                    </w:rPr>
                  </w:pPr>
                  <w:r w:rsidRPr="0010332D">
                    <w:rPr>
                      <w:rFonts w:ascii="Verdana" w:hAnsi="Verdana"/>
                      <w:b/>
                      <w:bCs/>
                      <w:sz w:val="16"/>
                      <w:szCs w:val="16"/>
                    </w:rPr>
                    <w:t>Totaal</w:t>
                  </w:r>
                </w:p>
              </w:tc>
            </w:tr>
            <w:tr w:rsidRPr="0010332D" w:rsidR="00686E88" w:rsidTr="00CE20D1" w14:paraId="0B77907F" w14:textId="77777777">
              <w:trPr>
                <w:trHeight w:val="300"/>
              </w:trPr>
              <w:tc>
                <w:tcPr>
                  <w:tcW w:w="1108" w:type="dxa"/>
                  <w:tcBorders>
                    <w:top w:val="nil"/>
                    <w:left w:val="single" w:color="auto" w:sz="8" w:space="0"/>
                    <w:bottom w:val="single" w:color="auto" w:sz="8" w:space="0"/>
                    <w:right w:val="single" w:color="auto" w:sz="8" w:space="0"/>
                  </w:tcBorders>
                  <w:noWrap/>
                  <w:vAlign w:val="center"/>
                  <w:hideMark/>
                </w:tcPr>
                <w:p w:rsidRPr="0010332D" w:rsidR="00686E88" w:rsidP="00CE20D1" w:rsidRDefault="00686E88" w14:paraId="5AAA34F1" w14:textId="77777777">
                  <w:pPr>
                    <w:spacing w:after="0" w:line="240" w:lineRule="auto"/>
                    <w:rPr>
                      <w:rFonts w:ascii="Verdana" w:hAnsi="Verdana"/>
                      <w:b/>
                      <w:bCs/>
                      <w:sz w:val="16"/>
                      <w:szCs w:val="16"/>
                    </w:rPr>
                  </w:pPr>
                  <w:r w:rsidRPr="0010332D">
                    <w:rPr>
                      <w:rFonts w:ascii="Verdana" w:hAnsi="Verdana"/>
                      <w:b/>
                      <w:bCs/>
                      <w:sz w:val="16"/>
                      <w:szCs w:val="16"/>
                    </w:rPr>
                    <w:t>Bedrag (* € 1 mln)</w:t>
                  </w:r>
                </w:p>
              </w:tc>
              <w:tc>
                <w:tcPr>
                  <w:tcW w:w="625" w:type="dxa"/>
                  <w:tcBorders>
                    <w:top w:val="nil"/>
                    <w:left w:val="nil"/>
                    <w:bottom w:val="single" w:color="auto" w:sz="8" w:space="0"/>
                    <w:right w:val="single" w:color="auto" w:sz="8" w:space="0"/>
                  </w:tcBorders>
                  <w:noWrap/>
                  <w:vAlign w:val="center"/>
                  <w:hideMark/>
                </w:tcPr>
                <w:p w:rsidRPr="0010332D" w:rsidR="00686E88" w:rsidP="00CE20D1" w:rsidRDefault="00686E88" w14:paraId="4EBDF7B6" w14:textId="77777777">
                  <w:pPr>
                    <w:spacing w:after="0" w:line="240" w:lineRule="auto"/>
                    <w:rPr>
                      <w:rFonts w:ascii="Verdana" w:hAnsi="Verdana"/>
                      <w:b/>
                      <w:bCs/>
                      <w:sz w:val="16"/>
                      <w:szCs w:val="16"/>
                    </w:rPr>
                  </w:pPr>
                  <w:r w:rsidRPr="0010332D">
                    <w:rPr>
                      <w:rFonts w:ascii="Verdana" w:hAnsi="Verdana"/>
                      <w:b/>
                      <w:bCs/>
                      <w:sz w:val="16"/>
                      <w:szCs w:val="16"/>
                    </w:rPr>
                    <w:t>25</w:t>
                  </w:r>
                </w:p>
              </w:tc>
              <w:tc>
                <w:tcPr>
                  <w:tcW w:w="623" w:type="dxa"/>
                  <w:tcBorders>
                    <w:top w:val="nil"/>
                    <w:left w:val="nil"/>
                    <w:bottom w:val="single" w:color="auto" w:sz="8" w:space="0"/>
                    <w:right w:val="single" w:color="auto" w:sz="8" w:space="0"/>
                  </w:tcBorders>
                  <w:noWrap/>
                  <w:vAlign w:val="center"/>
                  <w:hideMark/>
                </w:tcPr>
                <w:p w:rsidRPr="0010332D" w:rsidR="00686E88" w:rsidP="00CE20D1" w:rsidRDefault="00686E88" w14:paraId="68D4EC1D" w14:textId="77777777">
                  <w:pPr>
                    <w:spacing w:after="0" w:line="240" w:lineRule="auto"/>
                    <w:rPr>
                      <w:rFonts w:ascii="Verdana" w:hAnsi="Verdana"/>
                      <w:b/>
                      <w:bCs/>
                      <w:sz w:val="16"/>
                      <w:szCs w:val="16"/>
                    </w:rPr>
                  </w:pPr>
                  <w:r w:rsidRPr="0010332D">
                    <w:rPr>
                      <w:rFonts w:ascii="Verdana" w:hAnsi="Verdana"/>
                      <w:b/>
                      <w:bCs/>
                      <w:sz w:val="16"/>
                      <w:szCs w:val="16"/>
                    </w:rPr>
                    <w:t>100</w:t>
                  </w:r>
                </w:p>
              </w:tc>
              <w:tc>
                <w:tcPr>
                  <w:tcW w:w="623" w:type="dxa"/>
                  <w:tcBorders>
                    <w:top w:val="nil"/>
                    <w:left w:val="nil"/>
                    <w:bottom w:val="single" w:color="auto" w:sz="8" w:space="0"/>
                    <w:right w:val="single" w:color="auto" w:sz="8" w:space="0"/>
                  </w:tcBorders>
                  <w:noWrap/>
                  <w:vAlign w:val="center"/>
                  <w:hideMark/>
                </w:tcPr>
                <w:p w:rsidRPr="0010332D" w:rsidR="00686E88" w:rsidP="00CE20D1" w:rsidRDefault="00686E88" w14:paraId="4B72FD0F" w14:textId="77777777">
                  <w:pPr>
                    <w:spacing w:after="0" w:line="240" w:lineRule="auto"/>
                    <w:rPr>
                      <w:rFonts w:ascii="Verdana" w:hAnsi="Verdana"/>
                      <w:b/>
                      <w:bCs/>
                      <w:sz w:val="16"/>
                      <w:szCs w:val="16"/>
                    </w:rPr>
                  </w:pPr>
                  <w:r w:rsidRPr="0010332D">
                    <w:rPr>
                      <w:rFonts w:ascii="Verdana" w:hAnsi="Verdana"/>
                      <w:b/>
                      <w:bCs/>
                      <w:sz w:val="16"/>
                      <w:szCs w:val="16"/>
                    </w:rPr>
                    <w:t>150</w:t>
                  </w:r>
                </w:p>
              </w:tc>
              <w:tc>
                <w:tcPr>
                  <w:tcW w:w="623" w:type="dxa"/>
                  <w:tcBorders>
                    <w:top w:val="nil"/>
                    <w:left w:val="nil"/>
                    <w:bottom w:val="single" w:color="auto" w:sz="8" w:space="0"/>
                    <w:right w:val="single" w:color="auto" w:sz="8" w:space="0"/>
                  </w:tcBorders>
                  <w:noWrap/>
                  <w:vAlign w:val="center"/>
                  <w:hideMark/>
                </w:tcPr>
                <w:p w:rsidRPr="0010332D" w:rsidR="00686E88" w:rsidP="00CE20D1" w:rsidRDefault="00686E88" w14:paraId="15631134" w14:textId="77777777">
                  <w:pPr>
                    <w:spacing w:after="0" w:line="240" w:lineRule="auto"/>
                    <w:rPr>
                      <w:rFonts w:ascii="Verdana" w:hAnsi="Verdana"/>
                      <w:b/>
                      <w:bCs/>
                      <w:sz w:val="16"/>
                      <w:szCs w:val="16"/>
                    </w:rPr>
                  </w:pPr>
                  <w:r w:rsidRPr="0010332D">
                    <w:rPr>
                      <w:rFonts w:ascii="Verdana" w:hAnsi="Verdana"/>
                      <w:b/>
                      <w:bCs/>
                      <w:sz w:val="16"/>
                      <w:szCs w:val="16"/>
                    </w:rPr>
                    <w:t>300</w:t>
                  </w:r>
                </w:p>
              </w:tc>
              <w:tc>
                <w:tcPr>
                  <w:tcW w:w="623" w:type="dxa"/>
                  <w:tcBorders>
                    <w:top w:val="nil"/>
                    <w:left w:val="nil"/>
                    <w:bottom w:val="single" w:color="auto" w:sz="8" w:space="0"/>
                    <w:right w:val="single" w:color="auto" w:sz="8" w:space="0"/>
                  </w:tcBorders>
                  <w:noWrap/>
                  <w:vAlign w:val="center"/>
                  <w:hideMark/>
                </w:tcPr>
                <w:p w:rsidRPr="0010332D" w:rsidR="00686E88" w:rsidP="00CE20D1" w:rsidRDefault="00686E88" w14:paraId="1497A8D2" w14:textId="77777777">
                  <w:pPr>
                    <w:spacing w:after="0" w:line="240" w:lineRule="auto"/>
                    <w:rPr>
                      <w:rFonts w:ascii="Verdana" w:hAnsi="Verdana"/>
                      <w:b/>
                      <w:bCs/>
                      <w:sz w:val="16"/>
                      <w:szCs w:val="16"/>
                    </w:rPr>
                  </w:pPr>
                  <w:r w:rsidRPr="0010332D">
                    <w:rPr>
                      <w:rFonts w:ascii="Verdana" w:hAnsi="Verdana"/>
                      <w:b/>
                      <w:bCs/>
                      <w:sz w:val="16"/>
                      <w:szCs w:val="16"/>
                    </w:rPr>
                    <w:t>450</w:t>
                  </w:r>
                </w:p>
              </w:tc>
              <w:tc>
                <w:tcPr>
                  <w:tcW w:w="623" w:type="dxa"/>
                  <w:tcBorders>
                    <w:top w:val="nil"/>
                    <w:left w:val="nil"/>
                    <w:bottom w:val="single" w:color="auto" w:sz="8" w:space="0"/>
                    <w:right w:val="single" w:color="auto" w:sz="8" w:space="0"/>
                  </w:tcBorders>
                  <w:noWrap/>
                  <w:vAlign w:val="center"/>
                  <w:hideMark/>
                </w:tcPr>
                <w:p w:rsidRPr="0010332D" w:rsidR="00686E88" w:rsidP="00CE20D1" w:rsidRDefault="00686E88" w14:paraId="19344B38" w14:textId="77777777">
                  <w:pPr>
                    <w:spacing w:after="0" w:line="240" w:lineRule="auto"/>
                    <w:rPr>
                      <w:rFonts w:ascii="Verdana" w:hAnsi="Verdana"/>
                      <w:b/>
                      <w:bCs/>
                      <w:sz w:val="16"/>
                      <w:szCs w:val="16"/>
                    </w:rPr>
                  </w:pPr>
                  <w:r w:rsidRPr="0010332D">
                    <w:rPr>
                      <w:rFonts w:ascii="Verdana" w:hAnsi="Verdana"/>
                      <w:b/>
                      <w:bCs/>
                      <w:sz w:val="16"/>
                      <w:szCs w:val="16"/>
                    </w:rPr>
                    <w:t>550</w:t>
                  </w:r>
                </w:p>
              </w:tc>
              <w:tc>
                <w:tcPr>
                  <w:tcW w:w="623" w:type="dxa"/>
                  <w:tcBorders>
                    <w:top w:val="nil"/>
                    <w:left w:val="nil"/>
                    <w:bottom w:val="single" w:color="auto" w:sz="8" w:space="0"/>
                    <w:right w:val="single" w:color="auto" w:sz="8" w:space="0"/>
                  </w:tcBorders>
                  <w:noWrap/>
                  <w:vAlign w:val="center"/>
                  <w:hideMark/>
                </w:tcPr>
                <w:p w:rsidRPr="0010332D" w:rsidR="00686E88" w:rsidP="00CE20D1" w:rsidRDefault="00686E88" w14:paraId="06366F66" w14:textId="77777777">
                  <w:pPr>
                    <w:spacing w:after="0" w:line="240" w:lineRule="auto"/>
                    <w:rPr>
                      <w:rFonts w:ascii="Verdana" w:hAnsi="Verdana"/>
                      <w:b/>
                      <w:bCs/>
                      <w:sz w:val="16"/>
                      <w:szCs w:val="16"/>
                    </w:rPr>
                  </w:pPr>
                  <w:r w:rsidRPr="0010332D">
                    <w:rPr>
                      <w:rFonts w:ascii="Verdana" w:hAnsi="Verdana"/>
                      <w:b/>
                      <w:bCs/>
                      <w:sz w:val="16"/>
                      <w:szCs w:val="16"/>
                    </w:rPr>
                    <w:t>475</w:t>
                  </w:r>
                </w:p>
              </w:tc>
              <w:tc>
                <w:tcPr>
                  <w:tcW w:w="623" w:type="dxa"/>
                  <w:tcBorders>
                    <w:top w:val="nil"/>
                    <w:left w:val="nil"/>
                    <w:bottom w:val="single" w:color="auto" w:sz="8" w:space="0"/>
                    <w:right w:val="single" w:color="auto" w:sz="8" w:space="0"/>
                  </w:tcBorders>
                  <w:noWrap/>
                  <w:vAlign w:val="center"/>
                  <w:hideMark/>
                </w:tcPr>
                <w:p w:rsidRPr="0010332D" w:rsidR="00686E88" w:rsidP="00CE20D1" w:rsidRDefault="00686E88" w14:paraId="715C5D8A" w14:textId="77777777">
                  <w:pPr>
                    <w:spacing w:after="0" w:line="240" w:lineRule="auto"/>
                    <w:rPr>
                      <w:rFonts w:ascii="Verdana" w:hAnsi="Verdana"/>
                      <w:b/>
                      <w:bCs/>
                      <w:sz w:val="16"/>
                      <w:szCs w:val="16"/>
                    </w:rPr>
                  </w:pPr>
                  <w:r w:rsidRPr="0010332D">
                    <w:rPr>
                      <w:rFonts w:ascii="Verdana" w:hAnsi="Verdana"/>
                      <w:b/>
                      <w:bCs/>
                      <w:sz w:val="16"/>
                      <w:szCs w:val="16"/>
                    </w:rPr>
                    <w:t>250</w:t>
                  </w:r>
                </w:p>
              </w:tc>
              <w:tc>
                <w:tcPr>
                  <w:tcW w:w="623" w:type="dxa"/>
                  <w:tcBorders>
                    <w:top w:val="nil"/>
                    <w:left w:val="nil"/>
                    <w:bottom w:val="single" w:color="auto" w:sz="8" w:space="0"/>
                    <w:right w:val="single" w:color="auto" w:sz="8" w:space="0"/>
                  </w:tcBorders>
                  <w:noWrap/>
                  <w:vAlign w:val="center"/>
                  <w:hideMark/>
                </w:tcPr>
                <w:p w:rsidRPr="0010332D" w:rsidR="00686E88" w:rsidP="00CE20D1" w:rsidRDefault="00686E88" w14:paraId="7F7D6DE4" w14:textId="77777777">
                  <w:pPr>
                    <w:spacing w:after="0" w:line="240" w:lineRule="auto"/>
                    <w:rPr>
                      <w:rFonts w:ascii="Verdana" w:hAnsi="Verdana"/>
                      <w:b/>
                      <w:bCs/>
                      <w:sz w:val="16"/>
                      <w:szCs w:val="16"/>
                    </w:rPr>
                  </w:pPr>
                  <w:r w:rsidRPr="0010332D">
                    <w:rPr>
                      <w:rFonts w:ascii="Verdana" w:hAnsi="Verdana"/>
                      <w:b/>
                      <w:bCs/>
                      <w:sz w:val="16"/>
                      <w:szCs w:val="16"/>
                    </w:rPr>
                    <w:t>150</w:t>
                  </w:r>
                </w:p>
              </w:tc>
              <w:tc>
                <w:tcPr>
                  <w:tcW w:w="623" w:type="dxa"/>
                  <w:tcBorders>
                    <w:top w:val="nil"/>
                    <w:left w:val="nil"/>
                    <w:bottom w:val="single" w:color="auto" w:sz="8" w:space="0"/>
                    <w:right w:val="single" w:color="auto" w:sz="8" w:space="0"/>
                  </w:tcBorders>
                  <w:noWrap/>
                  <w:vAlign w:val="center"/>
                  <w:hideMark/>
                </w:tcPr>
                <w:p w:rsidRPr="0010332D" w:rsidR="00686E88" w:rsidP="00CE20D1" w:rsidRDefault="00686E88" w14:paraId="09EDC04A" w14:textId="77777777">
                  <w:pPr>
                    <w:spacing w:after="0" w:line="240" w:lineRule="auto"/>
                    <w:rPr>
                      <w:rFonts w:ascii="Verdana" w:hAnsi="Verdana"/>
                      <w:b/>
                      <w:bCs/>
                      <w:sz w:val="16"/>
                      <w:szCs w:val="16"/>
                    </w:rPr>
                  </w:pPr>
                  <w:r w:rsidRPr="0010332D">
                    <w:rPr>
                      <w:rFonts w:ascii="Verdana" w:hAnsi="Verdana"/>
                      <w:b/>
                      <w:bCs/>
                      <w:sz w:val="16"/>
                      <w:szCs w:val="16"/>
                    </w:rPr>
                    <w:t>50</w:t>
                  </w:r>
                </w:p>
              </w:tc>
              <w:tc>
                <w:tcPr>
                  <w:tcW w:w="864" w:type="dxa"/>
                  <w:tcBorders>
                    <w:top w:val="nil"/>
                    <w:left w:val="nil"/>
                    <w:bottom w:val="single" w:color="auto" w:sz="8" w:space="0"/>
                    <w:right w:val="single" w:color="auto" w:sz="8" w:space="0"/>
                  </w:tcBorders>
                  <w:noWrap/>
                  <w:vAlign w:val="center"/>
                  <w:hideMark/>
                </w:tcPr>
                <w:p w:rsidRPr="0010332D" w:rsidR="00686E88" w:rsidP="00CE20D1" w:rsidRDefault="00686E88" w14:paraId="00F67F20" w14:textId="77777777">
                  <w:pPr>
                    <w:spacing w:after="0" w:line="240" w:lineRule="auto"/>
                    <w:rPr>
                      <w:rFonts w:ascii="Verdana" w:hAnsi="Verdana"/>
                      <w:b/>
                      <w:bCs/>
                      <w:sz w:val="16"/>
                      <w:szCs w:val="16"/>
                    </w:rPr>
                  </w:pPr>
                  <w:r w:rsidRPr="0010332D">
                    <w:rPr>
                      <w:rFonts w:ascii="Verdana" w:hAnsi="Verdana"/>
                      <w:b/>
                      <w:bCs/>
                      <w:sz w:val="16"/>
                      <w:szCs w:val="16"/>
                    </w:rPr>
                    <w:t>2.500</w:t>
                  </w:r>
                </w:p>
              </w:tc>
            </w:tr>
          </w:tbl>
          <w:p w:rsidRPr="0082026A" w:rsidR="00686E88" w:rsidP="00CE20D1" w:rsidRDefault="00686E88" w14:paraId="04EF0F84" w14:textId="77777777">
            <w:pPr>
              <w:rPr>
                <w:rFonts w:ascii="Verdana" w:hAnsi="Verdana"/>
                <w:sz w:val="18"/>
                <w:szCs w:val="18"/>
              </w:rPr>
            </w:pPr>
          </w:p>
        </w:tc>
      </w:tr>
      <w:tr w:rsidRPr="0082026A" w:rsidR="00686E88" w:rsidTr="00CE20D1" w14:paraId="62383B1F" w14:textId="77777777">
        <w:tc>
          <w:tcPr>
            <w:tcW w:w="0" w:type="auto"/>
          </w:tcPr>
          <w:p w:rsidRPr="0082026A" w:rsidR="00686E88" w:rsidP="00CE20D1" w:rsidRDefault="00686E88" w14:paraId="5441529B" w14:textId="77777777">
            <w:pPr>
              <w:rPr>
                <w:rFonts w:ascii="Verdana" w:hAnsi="Verdana"/>
                <w:sz w:val="18"/>
                <w:szCs w:val="18"/>
              </w:rPr>
            </w:pPr>
          </w:p>
        </w:tc>
        <w:tc>
          <w:tcPr>
            <w:tcW w:w="0" w:type="auto"/>
            <w:gridSpan w:val="2"/>
          </w:tcPr>
          <w:p w:rsidRPr="0082026A" w:rsidR="00686E88" w:rsidP="00CE20D1" w:rsidRDefault="00686E88" w14:paraId="690AE676" w14:textId="77777777">
            <w:pPr>
              <w:rPr>
                <w:rFonts w:ascii="Verdana" w:hAnsi="Verdana"/>
                <w:b/>
                <w:sz w:val="18"/>
                <w:szCs w:val="18"/>
              </w:rPr>
            </w:pPr>
          </w:p>
        </w:tc>
      </w:tr>
      <w:tr w:rsidRPr="0082026A" w:rsidR="00686E88" w:rsidTr="00CE20D1" w14:paraId="091257AF" w14:textId="77777777">
        <w:tc>
          <w:tcPr>
            <w:tcW w:w="0" w:type="auto"/>
          </w:tcPr>
          <w:p w:rsidRPr="0082026A" w:rsidR="00686E88" w:rsidP="00CE20D1" w:rsidRDefault="00686E88" w14:paraId="2240F093" w14:textId="77777777">
            <w:pPr>
              <w:rPr>
                <w:rFonts w:ascii="Verdana" w:hAnsi="Verdana"/>
                <w:sz w:val="18"/>
                <w:szCs w:val="18"/>
              </w:rPr>
            </w:pPr>
            <w:r w:rsidRPr="0082026A">
              <w:rPr>
                <w:rFonts w:ascii="Verdana" w:hAnsi="Verdana"/>
                <w:sz w:val="18"/>
                <w:szCs w:val="18"/>
              </w:rPr>
              <w:t>43</w:t>
            </w:r>
          </w:p>
        </w:tc>
        <w:tc>
          <w:tcPr>
            <w:tcW w:w="0" w:type="auto"/>
            <w:gridSpan w:val="2"/>
          </w:tcPr>
          <w:p w:rsidRPr="0082026A" w:rsidR="00686E88" w:rsidP="00CE20D1" w:rsidRDefault="00686E88" w14:paraId="305A08DA" w14:textId="77777777">
            <w:pPr>
              <w:rPr>
                <w:rFonts w:ascii="Verdana" w:hAnsi="Verdana"/>
                <w:sz w:val="18"/>
                <w:szCs w:val="18"/>
              </w:rPr>
            </w:pPr>
            <w:r w:rsidRPr="0082026A">
              <w:rPr>
                <w:rFonts w:ascii="Verdana" w:hAnsi="Verdana"/>
                <w:b/>
                <w:sz w:val="18"/>
                <w:szCs w:val="18"/>
              </w:rPr>
              <w:t>Vraag:</w:t>
            </w:r>
            <w:r w:rsidRPr="0082026A">
              <w:rPr>
                <w:rFonts w:ascii="Verdana" w:hAnsi="Verdana"/>
                <w:sz w:val="18"/>
                <w:szCs w:val="18"/>
              </w:rPr>
              <w:br/>
              <w:t>Staat bij de VTH de gezondheid van omwonenden centraal?</w:t>
            </w:r>
            <w:r w:rsidRPr="0082026A">
              <w:rPr>
                <w:rFonts w:ascii="Verdana" w:hAnsi="Verdana"/>
                <w:sz w:val="18"/>
                <w:szCs w:val="18"/>
              </w:rPr>
              <w:br/>
            </w:r>
            <w:r w:rsidRPr="0082026A">
              <w:rPr>
                <w:rFonts w:ascii="Verdana" w:hAnsi="Verdana"/>
                <w:sz w:val="18"/>
                <w:szCs w:val="18"/>
              </w:rPr>
              <w:br/>
            </w:r>
            <w:r w:rsidRPr="0082026A">
              <w:rPr>
                <w:rFonts w:ascii="Verdana" w:hAnsi="Verdana"/>
                <w:b/>
                <w:sz w:val="18"/>
                <w:szCs w:val="18"/>
              </w:rPr>
              <w:t>Antwoord:</w:t>
            </w:r>
            <w:r w:rsidRPr="0082026A">
              <w:rPr>
                <w:rFonts w:ascii="Verdana" w:hAnsi="Verdana"/>
                <w:sz w:val="18"/>
                <w:szCs w:val="18"/>
              </w:rPr>
              <w:br/>
              <w:t xml:space="preserve">Leidraad bij de uitvoering van de VTH-taken zijn de normen en aanwijzingen die vastgelegd zijn in wet- en regelgeving. Gezondheid is een van de aspecten die daarbij meegewogen wordt. Met de actieagenda Industrie en Omwonenden werkt het kabinet aan een gezonde toekomst voor omwonenden van de industrie. Naar verwachting ontvangt </w:t>
            </w:r>
            <w:r>
              <w:rPr>
                <w:rFonts w:ascii="Verdana" w:hAnsi="Verdana"/>
                <w:sz w:val="18"/>
                <w:szCs w:val="18"/>
              </w:rPr>
              <w:t>de Kamer</w:t>
            </w:r>
            <w:r w:rsidRPr="0082026A">
              <w:rPr>
                <w:rFonts w:ascii="Verdana" w:hAnsi="Verdana"/>
                <w:sz w:val="18"/>
                <w:szCs w:val="18"/>
              </w:rPr>
              <w:t xml:space="preserve"> eind dit jaar een voortgangsbrief over de actieagenda.</w:t>
            </w:r>
            <w:r w:rsidRPr="0082026A">
              <w:rPr>
                <w:rFonts w:ascii="Verdana" w:hAnsi="Verdana"/>
                <w:sz w:val="18"/>
                <w:szCs w:val="18"/>
              </w:rPr>
              <w:br/>
              <w:t>    </w:t>
            </w:r>
          </w:p>
        </w:tc>
      </w:tr>
      <w:tr w:rsidRPr="0082026A" w:rsidR="00686E88" w:rsidTr="00CE20D1" w14:paraId="072E1AFE" w14:textId="77777777">
        <w:tc>
          <w:tcPr>
            <w:tcW w:w="0" w:type="auto"/>
          </w:tcPr>
          <w:p w:rsidRPr="0082026A" w:rsidR="00686E88" w:rsidP="00CE20D1" w:rsidRDefault="00686E88" w14:paraId="1FBA88CD" w14:textId="77777777">
            <w:pPr>
              <w:rPr>
                <w:rFonts w:ascii="Verdana" w:hAnsi="Verdana"/>
                <w:sz w:val="18"/>
                <w:szCs w:val="18"/>
              </w:rPr>
            </w:pPr>
            <w:r w:rsidRPr="0082026A">
              <w:rPr>
                <w:rFonts w:ascii="Verdana" w:hAnsi="Verdana"/>
                <w:sz w:val="18"/>
                <w:szCs w:val="18"/>
              </w:rPr>
              <w:t>44</w:t>
            </w:r>
          </w:p>
        </w:tc>
        <w:tc>
          <w:tcPr>
            <w:tcW w:w="0" w:type="auto"/>
            <w:gridSpan w:val="2"/>
          </w:tcPr>
          <w:p w:rsidRPr="0082026A" w:rsidR="00686E88" w:rsidP="00CE20D1" w:rsidRDefault="00686E88" w14:paraId="521EEB1A" w14:textId="77777777">
            <w:pPr>
              <w:rPr>
                <w:rFonts w:ascii="Verdana" w:hAnsi="Verdana"/>
                <w:sz w:val="18"/>
                <w:szCs w:val="18"/>
              </w:rPr>
            </w:pPr>
            <w:r w:rsidRPr="0082026A">
              <w:rPr>
                <w:rFonts w:ascii="Verdana" w:hAnsi="Verdana"/>
                <w:b/>
                <w:sz w:val="18"/>
                <w:szCs w:val="18"/>
              </w:rPr>
              <w:t>Vraag:</w:t>
            </w:r>
            <w:r w:rsidRPr="0082026A">
              <w:rPr>
                <w:rFonts w:ascii="Verdana" w:hAnsi="Verdana"/>
                <w:sz w:val="18"/>
                <w:szCs w:val="18"/>
              </w:rPr>
              <w:br/>
              <w:t>Welke maatregelen heeft u nu op het oog als het gaat om de eindsprintfase van het behalen van de doelen van de Kaderrichtlijn Water (KRW), zoals u dit noemde in het commissiedebat Water? Wanneer kan de Kamer een brief hierover verwachten?</w:t>
            </w:r>
            <w:r w:rsidRPr="0082026A">
              <w:rPr>
                <w:rFonts w:ascii="Verdana" w:hAnsi="Verdana"/>
                <w:sz w:val="18"/>
                <w:szCs w:val="18"/>
              </w:rPr>
              <w:br/>
            </w:r>
            <w:r w:rsidRPr="0082026A">
              <w:rPr>
                <w:rFonts w:ascii="Verdana" w:hAnsi="Verdana"/>
                <w:sz w:val="18"/>
                <w:szCs w:val="18"/>
              </w:rPr>
              <w:br/>
            </w:r>
            <w:r w:rsidRPr="0082026A">
              <w:rPr>
                <w:rFonts w:ascii="Verdana" w:hAnsi="Verdana"/>
                <w:b/>
                <w:sz w:val="18"/>
                <w:szCs w:val="18"/>
              </w:rPr>
              <w:t>Antwoord:</w:t>
            </w:r>
            <w:r w:rsidRPr="0082026A">
              <w:rPr>
                <w:rFonts w:ascii="Verdana" w:hAnsi="Verdana"/>
                <w:sz w:val="18"/>
                <w:szCs w:val="18"/>
              </w:rPr>
              <w:br/>
              <w:t>In de KRW-voortgangsbrief van 18 juli jl. (Kamerstukken 27 625, nr. 716) is het totaaloverzicht opgenomen van alle extra inzet en maatregelen om de KRW-doelen te halen. De komende maanden krijgt de uitwerking hiervan vorm, waaronder extra inzet voor de afvalwaterketen en op het gebied van vergunningverlening, toezicht en handhaving. Zoals in het laatste commissiedebat Water afgesproken ontvangt de Kamer in mei 2026 deze uitwerking. Onderdeel daarvan is, zoals ook in dat debat besproken, het dashboard met de stand van zaken bij de indirecte lozingen.</w:t>
            </w:r>
            <w:r w:rsidRPr="0082026A">
              <w:rPr>
                <w:rFonts w:ascii="Verdana" w:hAnsi="Verdana"/>
                <w:sz w:val="18"/>
                <w:szCs w:val="18"/>
              </w:rPr>
              <w:br/>
            </w:r>
          </w:p>
        </w:tc>
      </w:tr>
      <w:tr w:rsidRPr="0082026A" w:rsidR="00686E88" w:rsidTr="00CE20D1" w14:paraId="52CA121A" w14:textId="77777777">
        <w:tc>
          <w:tcPr>
            <w:tcW w:w="0" w:type="auto"/>
          </w:tcPr>
          <w:p w:rsidRPr="0082026A" w:rsidR="00686E88" w:rsidP="00CE20D1" w:rsidRDefault="00686E88" w14:paraId="0ECE2DE3" w14:textId="77777777">
            <w:pPr>
              <w:rPr>
                <w:rFonts w:ascii="Verdana" w:hAnsi="Verdana"/>
                <w:sz w:val="18"/>
                <w:szCs w:val="18"/>
              </w:rPr>
            </w:pPr>
            <w:r w:rsidRPr="0082026A">
              <w:rPr>
                <w:rFonts w:ascii="Verdana" w:hAnsi="Verdana"/>
                <w:sz w:val="18"/>
                <w:szCs w:val="18"/>
              </w:rPr>
              <w:t>45</w:t>
            </w:r>
          </w:p>
        </w:tc>
        <w:tc>
          <w:tcPr>
            <w:tcW w:w="0" w:type="auto"/>
            <w:gridSpan w:val="2"/>
          </w:tcPr>
          <w:p w:rsidRPr="0082026A" w:rsidR="00686E88" w:rsidP="00CE20D1" w:rsidRDefault="00686E88" w14:paraId="16C30601" w14:textId="77777777">
            <w:pPr>
              <w:rPr>
                <w:rFonts w:ascii="Verdana" w:hAnsi="Verdana"/>
                <w:sz w:val="18"/>
                <w:szCs w:val="18"/>
              </w:rPr>
            </w:pPr>
            <w:r w:rsidRPr="0082026A">
              <w:rPr>
                <w:rFonts w:ascii="Verdana" w:hAnsi="Verdana"/>
                <w:b/>
                <w:sz w:val="18"/>
                <w:szCs w:val="18"/>
              </w:rPr>
              <w:t>Vraag:</w:t>
            </w:r>
            <w:r w:rsidRPr="0082026A">
              <w:rPr>
                <w:rFonts w:ascii="Verdana" w:hAnsi="Verdana"/>
                <w:sz w:val="18"/>
                <w:szCs w:val="18"/>
              </w:rPr>
              <w:br/>
              <w:t>Ziet u een rol voor het rijk voor u om een platform te creëren waar grote grondwateropgaven die bestuurlijke grenzen overschrijden met decentrale overheden gezamenlijk kunnen worden besproken en aangepakt?</w:t>
            </w:r>
            <w:r w:rsidRPr="0082026A">
              <w:rPr>
                <w:rFonts w:ascii="Verdana" w:hAnsi="Verdana"/>
                <w:sz w:val="18"/>
                <w:szCs w:val="18"/>
              </w:rPr>
              <w:br/>
            </w:r>
            <w:r w:rsidRPr="0082026A">
              <w:rPr>
                <w:rFonts w:ascii="Verdana" w:hAnsi="Verdana"/>
                <w:sz w:val="18"/>
                <w:szCs w:val="18"/>
              </w:rPr>
              <w:br/>
            </w:r>
            <w:r w:rsidRPr="0082026A">
              <w:rPr>
                <w:rFonts w:ascii="Verdana" w:hAnsi="Verdana"/>
                <w:b/>
                <w:sz w:val="18"/>
                <w:szCs w:val="18"/>
              </w:rPr>
              <w:t>Antwoord:</w:t>
            </w:r>
            <w:r w:rsidRPr="0082026A">
              <w:rPr>
                <w:rFonts w:ascii="Verdana" w:hAnsi="Verdana"/>
                <w:sz w:val="18"/>
                <w:szCs w:val="18"/>
              </w:rPr>
              <w:br/>
              <w:t>Het Bestuurlijk Overleg Water (BOW) is het platform om de grote grondwateropgaven te bespreken met decentrale overheden. De minister van IenW is hier voorzitter van. In dit overleg worden alle opgaven voor water, dus ook voor grondwater, besproken met vertegenwoordigers van provincies, waterschappen, gemeenten en drinkwaterbedrijven. Binnen de structuur van het BOW is er ook de Landelijke Werkgroep Grondwater waarin provincies en Rijk o.a. de uitvoering van de Kaderrichtlijn Water en de Grondwaterrichtlijn afstemmen. Hierbij sluiten ook vertegenwoordigers van de Vewin en de Unie van Waterschappen aan.</w:t>
            </w:r>
            <w:r w:rsidRPr="0082026A">
              <w:rPr>
                <w:rFonts w:ascii="Verdana" w:hAnsi="Verdana"/>
                <w:sz w:val="18"/>
                <w:szCs w:val="18"/>
              </w:rPr>
              <w:br/>
            </w:r>
          </w:p>
        </w:tc>
      </w:tr>
      <w:tr w:rsidRPr="0082026A" w:rsidR="00686E88" w:rsidTr="00CE20D1" w14:paraId="184B4695" w14:textId="77777777">
        <w:tc>
          <w:tcPr>
            <w:tcW w:w="0" w:type="auto"/>
          </w:tcPr>
          <w:p w:rsidRPr="0082026A" w:rsidR="00686E88" w:rsidP="00CE20D1" w:rsidRDefault="00686E88" w14:paraId="2D256310" w14:textId="77777777">
            <w:pPr>
              <w:rPr>
                <w:rFonts w:ascii="Verdana" w:hAnsi="Verdana"/>
                <w:sz w:val="18"/>
                <w:szCs w:val="18"/>
              </w:rPr>
            </w:pPr>
            <w:r w:rsidRPr="0082026A">
              <w:rPr>
                <w:rFonts w:ascii="Verdana" w:hAnsi="Verdana"/>
                <w:sz w:val="18"/>
                <w:szCs w:val="18"/>
              </w:rPr>
              <w:t>46</w:t>
            </w:r>
          </w:p>
        </w:tc>
        <w:tc>
          <w:tcPr>
            <w:tcW w:w="0" w:type="auto"/>
            <w:gridSpan w:val="2"/>
          </w:tcPr>
          <w:p w:rsidRPr="0082026A" w:rsidR="00686E88" w:rsidP="00CE20D1" w:rsidRDefault="00686E88" w14:paraId="0E561AB5" w14:textId="77777777">
            <w:pPr>
              <w:rPr>
                <w:rFonts w:ascii="Verdana" w:hAnsi="Verdana"/>
                <w:sz w:val="18"/>
                <w:szCs w:val="18"/>
              </w:rPr>
            </w:pPr>
            <w:r w:rsidRPr="0082026A">
              <w:rPr>
                <w:rFonts w:ascii="Verdana" w:hAnsi="Verdana"/>
                <w:b/>
                <w:sz w:val="18"/>
                <w:szCs w:val="18"/>
              </w:rPr>
              <w:t>Vraag:</w:t>
            </w:r>
            <w:r w:rsidRPr="0082026A">
              <w:rPr>
                <w:rFonts w:ascii="Verdana" w:hAnsi="Verdana"/>
                <w:sz w:val="18"/>
                <w:szCs w:val="18"/>
              </w:rPr>
              <w:br/>
              <w:t>Wordt er naast de bijdrage van wegverkeer ook gekeken naar de uitstoot van andere stoffen, zoals van veehouderijen, houtstook en industrie?</w:t>
            </w:r>
            <w:r w:rsidRPr="0082026A">
              <w:rPr>
                <w:rFonts w:ascii="Verdana" w:hAnsi="Verdana"/>
                <w:sz w:val="18"/>
                <w:szCs w:val="18"/>
              </w:rPr>
              <w:br/>
            </w:r>
            <w:r w:rsidRPr="0082026A">
              <w:rPr>
                <w:rFonts w:ascii="Verdana" w:hAnsi="Verdana"/>
                <w:sz w:val="18"/>
                <w:szCs w:val="18"/>
              </w:rPr>
              <w:br/>
            </w:r>
            <w:r w:rsidRPr="0082026A">
              <w:rPr>
                <w:rFonts w:ascii="Verdana" w:hAnsi="Verdana"/>
                <w:b/>
                <w:sz w:val="18"/>
                <w:szCs w:val="18"/>
              </w:rPr>
              <w:t>Antwoord:</w:t>
            </w:r>
            <w:r w:rsidRPr="0082026A">
              <w:rPr>
                <w:rFonts w:ascii="Verdana" w:hAnsi="Verdana"/>
                <w:sz w:val="18"/>
                <w:szCs w:val="18"/>
              </w:rPr>
              <w:br/>
              <w:t>Ja, bij de monitoring van de luchtkwaliteit worden de emissies van vele verschillende bronnen betrokken, waaronder ook veehouderijen, houtstook en industrie. In de basis wordt er gebruik gemaakt van Grootschalige Concentratiekaarten voor heel Nederland (GCN).  </w:t>
            </w:r>
            <w:r w:rsidRPr="0082026A">
              <w:rPr>
                <w:rFonts w:ascii="Verdana" w:hAnsi="Verdana"/>
                <w:sz w:val="18"/>
                <w:szCs w:val="18"/>
              </w:rPr>
              <w:br/>
            </w:r>
          </w:p>
        </w:tc>
      </w:tr>
      <w:tr w:rsidRPr="0082026A" w:rsidR="00686E88" w:rsidTr="00CE20D1" w14:paraId="2CBA5167" w14:textId="77777777">
        <w:tc>
          <w:tcPr>
            <w:tcW w:w="0" w:type="auto"/>
          </w:tcPr>
          <w:p w:rsidRPr="0082026A" w:rsidR="00686E88" w:rsidP="00CE20D1" w:rsidRDefault="00686E88" w14:paraId="1ADF77C8" w14:textId="77777777">
            <w:pPr>
              <w:rPr>
                <w:rFonts w:ascii="Verdana" w:hAnsi="Verdana"/>
                <w:sz w:val="18"/>
                <w:szCs w:val="18"/>
              </w:rPr>
            </w:pPr>
            <w:r w:rsidRPr="0082026A">
              <w:rPr>
                <w:rFonts w:ascii="Verdana" w:hAnsi="Verdana"/>
                <w:sz w:val="18"/>
                <w:szCs w:val="18"/>
              </w:rPr>
              <w:t>47</w:t>
            </w:r>
          </w:p>
        </w:tc>
        <w:tc>
          <w:tcPr>
            <w:tcW w:w="0" w:type="auto"/>
            <w:gridSpan w:val="2"/>
          </w:tcPr>
          <w:p w:rsidRPr="0082026A" w:rsidR="00686E88" w:rsidP="00CE20D1" w:rsidRDefault="00686E88" w14:paraId="0A02E93C" w14:textId="77777777">
            <w:pPr>
              <w:rPr>
                <w:rFonts w:ascii="Verdana" w:hAnsi="Verdana"/>
                <w:sz w:val="18"/>
                <w:szCs w:val="18"/>
              </w:rPr>
            </w:pPr>
            <w:r w:rsidRPr="0082026A">
              <w:rPr>
                <w:rFonts w:ascii="Verdana" w:hAnsi="Verdana"/>
                <w:b/>
                <w:sz w:val="18"/>
                <w:szCs w:val="18"/>
              </w:rPr>
              <w:t>Vraag:</w:t>
            </w:r>
            <w:r w:rsidRPr="0082026A">
              <w:rPr>
                <w:rFonts w:ascii="Verdana" w:hAnsi="Verdana"/>
                <w:sz w:val="18"/>
                <w:szCs w:val="18"/>
              </w:rPr>
              <w:br/>
              <w:t>Wordt in de 15e Monitoringsrapportage NSL ook rekening gehouden met de WHO-advieswaarden? En bent u bereid deze te betrekken bij de rapportage?</w:t>
            </w:r>
            <w:r w:rsidRPr="0082026A">
              <w:rPr>
                <w:rFonts w:ascii="Verdana" w:hAnsi="Verdana"/>
                <w:sz w:val="18"/>
                <w:szCs w:val="18"/>
              </w:rPr>
              <w:br/>
            </w:r>
            <w:r w:rsidRPr="0082026A">
              <w:rPr>
                <w:rFonts w:ascii="Verdana" w:hAnsi="Verdana"/>
                <w:sz w:val="18"/>
                <w:szCs w:val="18"/>
              </w:rPr>
              <w:br/>
            </w:r>
            <w:r w:rsidRPr="0082026A">
              <w:rPr>
                <w:rFonts w:ascii="Verdana" w:hAnsi="Verdana"/>
                <w:b/>
                <w:sz w:val="18"/>
                <w:szCs w:val="18"/>
              </w:rPr>
              <w:t>Antwoord:</w:t>
            </w:r>
            <w:r w:rsidRPr="0082026A">
              <w:rPr>
                <w:rFonts w:ascii="Verdana" w:hAnsi="Verdana"/>
                <w:sz w:val="18"/>
                <w:szCs w:val="18"/>
              </w:rPr>
              <w:br/>
              <w:t xml:space="preserve">Nee, hierover wordt niet gerapporteerd in de monitoringsrapportage luchtkwaliteit.  Deze jaarlijkse monitoring is gericht op het toetsen van de luchtkwaliteit in Nederland aan de grenswaarden die volgen uit de Europese richtlijn luchtkwaliteit. In 2024 is deze Europese richtlijn herzien, met aangescherpte grenswaarden vanaf 2030. Die richtlijn bevat ook de doelstelling van </w:t>
            </w:r>
            <w:r w:rsidRPr="00D124EE">
              <w:rPr>
                <w:rFonts w:ascii="Verdana" w:hAnsi="Verdana"/>
                <w:i/>
                <w:iCs/>
                <w:sz w:val="18"/>
                <w:szCs w:val="18"/>
              </w:rPr>
              <w:t>zero pollution</w:t>
            </w:r>
            <w:r w:rsidRPr="0082026A">
              <w:rPr>
                <w:rFonts w:ascii="Verdana" w:hAnsi="Verdana"/>
                <w:sz w:val="18"/>
                <w:szCs w:val="18"/>
              </w:rPr>
              <w:t xml:space="preserve"> richting 2050 en betrekt daarbij de meest recente advieswaarden</w:t>
            </w:r>
            <w:r>
              <w:rPr>
                <w:rFonts w:ascii="Verdana" w:hAnsi="Verdana"/>
                <w:sz w:val="18"/>
                <w:szCs w:val="18"/>
              </w:rPr>
              <w:t xml:space="preserve"> van de Wereldgezondheidsorganisatie (WHO)</w:t>
            </w:r>
            <w:r w:rsidRPr="0082026A">
              <w:rPr>
                <w:rFonts w:ascii="Verdana" w:hAnsi="Verdana"/>
                <w:sz w:val="18"/>
                <w:szCs w:val="18"/>
              </w:rPr>
              <w:t>. Het gaat dan om concentratiedoelstellingen voor gemiddelde blootstelling waar naartoe gewerkt moet worden vanaf 2030. Bij de implementatie van de herziene richtlijn wordt gekeken hoe te rapporteren ten aanzien van de WHO-advieswaarden.</w:t>
            </w:r>
            <w:r w:rsidRPr="0082026A">
              <w:rPr>
                <w:rFonts w:ascii="Verdana" w:hAnsi="Verdana"/>
                <w:sz w:val="18"/>
                <w:szCs w:val="18"/>
              </w:rPr>
              <w:br/>
            </w:r>
          </w:p>
        </w:tc>
      </w:tr>
      <w:tr w:rsidRPr="0082026A" w:rsidR="00686E88" w:rsidTr="00CE20D1" w14:paraId="56893DCA" w14:textId="77777777">
        <w:tc>
          <w:tcPr>
            <w:tcW w:w="0" w:type="auto"/>
          </w:tcPr>
          <w:p w:rsidRPr="0082026A" w:rsidR="00686E88" w:rsidP="00CE20D1" w:rsidRDefault="00686E88" w14:paraId="02D1B583" w14:textId="77777777">
            <w:pPr>
              <w:rPr>
                <w:rFonts w:ascii="Verdana" w:hAnsi="Verdana"/>
                <w:sz w:val="18"/>
                <w:szCs w:val="18"/>
              </w:rPr>
            </w:pPr>
            <w:r w:rsidRPr="0082026A">
              <w:rPr>
                <w:rFonts w:ascii="Verdana" w:hAnsi="Verdana"/>
                <w:sz w:val="18"/>
                <w:szCs w:val="18"/>
              </w:rPr>
              <w:t>48</w:t>
            </w:r>
          </w:p>
        </w:tc>
        <w:tc>
          <w:tcPr>
            <w:tcW w:w="0" w:type="auto"/>
            <w:gridSpan w:val="2"/>
          </w:tcPr>
          <w:p w:rsidRPr="0082026A" w:rsidR="00686E88" w:rsidP="00CE20D1" w:rsidRDefault="00686E88" w14:paraId="422D14F1" w14:textId="77777777">
            <w:pPr>
              <w:rPr>
                <w:rFonts w:ascii="Verdana" w:hAnsi="Verdana"/>
                <w:sz w:val="18"/>
                <w:szCs w:val="18"/>
              </w:rPr>
            </w:pPr>
            <w:r w:rsidRPr="0082026A">
              <w:rPr>
                <w:rFonts w:ascii="Verdana" w:hAnsi="Verdana"/>
                <w:b/>
                <w:sz w:val="18"/>
                <w:szCs w:val="18"/>
              </w:rPr>
              <w:t>Vraag:</w:t>
            </w:r>
            <w:r w:rsidRPr="0082026A">
              <w:rPr>
                <w:rFonts w:ascii="Verdana" w:hAnsi="Verdana"/>
                <w:sz w:val="18"/>
                <w:szCs w:val="18"/>
              </w:rPr>
              <w:br/>
              <w:t>Ziet u, mede gezien het stijgend aantal fietsslachtoffers (door de introductie van nieuwe vormen van mobiliteit), de noodzaak om ook een campagne op te zetten rond gedrag op de fiets?</w:t>
            </w:r>
            <w:r w:rsidRPr="0082026A">
              <w:rPr>
                <w:rFonts w:ascii="Verdana" w:hAnsi="Verdana"/>
                <w:sz w:val="18"/>
                <w:szCs w:val="18"/>
              </w:rPr>
              <w:br/>
            </w:r>
            <w:r w:rsidRPr="0082026A">
              <w:rPr>
                <w:rFonts w:ascii="Verdana" w:hAnsi="Verdana"/>
                <w:sz w:val="18"/>
                <w:szCs w:val="18"/>
              </w:rPr>
              <w:br/>
            </w:r>
            <w:r w:rsidRPr="0082026A">
              <w:rPr>
                <w:rFonts w:ascii="Verdana" w:hAnsi="Verdana"/>
                <w:b/>
                <w:sz w:val="18"/>
                <w:szCs w:val="18"/>
              </w:rPr>
              <w:t>Antwoord:</w:t>
            </w:r>
            <w:r w:rsidRPr="0082026A">
              <w:rPr>
                <w:rFonts w:ascii="Verdana" w:hAnsi="Verdana"/>
                <w:sz w:val="18"/>
                <w:szCs w:val="18"/>
              </w:rPr>
              <w:br/>
              <w:t>Momenteel lopen er al diverse landelijke campagnes gericht op het verbeteren van de fietsveiligheid. Het gaat om MONO (afleiding), AAN (fietsverlichting), Zet ‘m op (fietshelmgebruik) en ’t kan hard gaan (tegen opvoeren elektrische fietsen). Daarnaast is er binnen het Meerjarenplan Fietsveiligheid ruimte voor het (door)ontwikkelen en opschalen van gedragsinterventies om de fietsveiligheid te bevorderen.</w:t>
            </w:r>
            <w:r>
              <w:rPr>
                <w:rFonts w:ascii="Verdana" w:hAnsi="Verdana"/>
                <w:sz w:val="18"/>
                <w:szCs w:val="18"/>
              </w:rPr>
              <w:t xml:space="preserve"> Een nieuwe of extra campagne wordt nu niet overwogen.</w:t>
            </w:r>
            <w:r w:rsidRPr="0082026A">
              <w:rPr>
                <w:rFonts w:ascii="Verdana" w:hAnsi="Verdana"/>
                <w:sz w:val="18"/>
                <w:szCs w:val="18"/>
              </w:rPr>
              <w:br/>
            </w:r>
          </w:p>
        </w:tc>
      </w:tr>
      <w:tr w:rsidRPr="0082026A" w:rsidR="00686E88" w:rsidTr="00CE20D1" w14:paraId="08A8877B" w14:textId="77777777">
        <w:tc>
          <w:tcPr>
            <w:tcW w:w="0" w:type="auto"/>
          </w:tcPr>
          <w:p w:rsidRPr="0082026A" w:rsidR="00686E88" w:rsidP="00CE20D1" w:rsidRDefault="00686E88" w14:paraId="6A144FDD" w14:textId="77777777">
            <w:pPr>
              <w:rPr>
                <w:rFonts w:ascii="Verdana" w:hAnsi="Verdana"/>
                <w:sz w:val="18"/>
                <w:szCs w:val="18"/>
              </w:rPr>
            </w:pPr>
            <w:r w:rsidRPr="0082026A">
              <w:rPr>
                <w:rFonts w:ascii="Verdana" w:hAnsi="Verdana"/>
                <w:sz w:val="18"/>
                <w:szCs w:val="18"/>
              </w:rPr>
              <w:t>49</w:t>
            </w:r>
          </w:p>
        </w:tc>
        <w:tc>
          <w:tcPr>
            <w:tcW w:w="0" w:type="auto"/>
            <w:gridSpan w:val="2"/>
          </w:tcPr>
          <w:p w:rsidRPr="0082026A" w:rsidR="00686E88" w:rsidP="00CE20D1" w:rsidRDefault="00686E88" w14:paraId="2848B730" w14:textId="77777777">
            <w:pPr>
              <w:rPr>
                <w:rFonts w:ascii="Verdana" w:hAnsi="Verdana"/>
                <w:sz w:val="18"/>
                <w:szCs w:val="18"/>
              </w:rPr>
            </w:pPr>
            <w:r w:rsidRPr="0082026A">
              <w:rPr>
                <w:rFonts w:ascii="Verdana" w:hAnsi="Verdana"/>
                <w:b/>
                <w:sz w:val="18"/>
                <w:szCs w:val="18"/>
              </w:rPr>
              <w:t>Vraag:</w:t>
            </w:r>
            <w:r w:rsidRPr="0082026A">
              <w:rPr>
                <w:rFonts w:ascii="Verdana" w:hAnsi="Verdana"/>
                <w:sz w:val="18"/>
                <w:szCs w:val="18"/>
              </w:rPr>
              <w:br/>
              <w:t>In hoeverre speelt het Meerjarenplan Fietsveiligheid in op recente ontwikkelingen rond bijvoorbeeld de fatbike?</w:t>
            </w:r>
            <w:r w:rsidRPr="0082026A">
              <w:rPr>
                <w:rFonts w:ascii="Verdana" w:hAnsi="Verdana"/>
                <w:sz w:val="18"/>
                <w:szCs w:val="18"/>
              </w:rPr>
              <w:br/>
            </w:r>
            <w:r w:rsidRPr="0082026A">
              <w:rPr>
                <w:rFonts w:ascii="Verdana" w:hAnsi="Verdana"/>
                <w:sz w:val="18"/>
                <w:szCs w:val="18"/>
              </w:rPr>
              <w:br/>
            </w:r>
            <w:r w:rsidRPr="0082026A">
              <w:rPr>
                <w:rFonts w:ascii="Verdana" w:hAnsi="Verdana"/>
                <w:b/>
                <w:sz w:val="18"/>
                <w:szCs w:val="18"/>
              </w:rPr>
              <w:t>Antwoord:</w:t>
            </w:r>
            <w:r w:rsidRPr="0082026A">
              <w:rPr>
                <w:rFonts w:ascii="Verdana" w:hAnsi="Verdana"/>
                <w:sz w:val="18"/>
                <w:szCs w:val="18"/>
              </w:rPr>
              <w:br/>
              <w:t xml:space="preserve">Binnen het Meerjarenplan Fietsveiligheid is aandacht voor de campagnes ‘Zet ‘m op’ en ‘’t Kan hard gaan’. Hiermee stimuleert het ministerie van IenW de fietshelm en worden de risico’s van het opvoeren van elektrische fietsen onder de aandacht gebracht bij jongeren en hun ouders. Daarnaast speelt het plan in op de toegenomen diversiteit en drukte op het fietspad. Samen met medeoverheden worden pilots uitgevoerd om maatregelen in de praktijk te testen. Ook komt er ruimte voor onderzoek en innovatie rondom thema’s als drukte op het fietspad, risicogedrag, snelheid en enkelvoudige fietsongevallen. </w:t>
            </w:r>
            <w:r>
              <w:rPr>
                <w:rFonts w:ascii="Verdana" w:hAnsi="Verdana"/>
                <w:sz w:val="18"/>
                <w:szCs w:val="18"/>
              </w:rPr>
              <w:t>Naast</w:t>
            </w:r>
            <w:r w:rsidRPr="0082026A">
              <w:rPr>
                <w:rFonts w:ascii="Verdana" w:hAnsi="Verdana"/>
                <w:sz w:val="18"/>
                <w:szCs w:val="18"/>
              </w:rPr>
              <w:t xml:space="preserve"> het Meerjarenplan Fietsveiligheid is op 28 augustus 2025 </w:t>
            </w:r>
            <w:r>
              <w:rPr>
                <w:rFonts w:ascii="Verdana" w:hAnsi="Verdana"/>
                <w:sz w:val="18"/>
                <w:szCs w:val="18"/>
              </w:rPr>
              <w:t xml:space="preserve">ook </w:t>
            </w:r>
            <w:r w:rsidRPr="0082026A">
              <w:rPr>
                <w:rFonts w:ascii="Verdana" w:hAnsi="Verdana"/>
                <w:sz w:val="18"/>
                <w:szCs w:val="18"/>
              </w:rPr>
              <w:t>een Kamerbrief gestuurd met aanvullende maatregelen op de problematiek rondom e-bikes en fatbikes</w:t>
            </w:r>
            <w:r>
              <w:rPr>
                <w:rFonts w:ascii="Verdana" w:hAnsi="Verdana"/>
                <w:sz w:val="18"/>
                <w:szCs w:val="18"/>
              </w:rPr>
              <w:t xml:space="preserve"> (Kamerstukken </w:t>
            </w:r>
            <w:r w:rsidRPr="00FD6B1D">
              <w:rPr>
                <w:rFonts w:ascii="Verdana" w:hAnsi="Verdana"/>
                <w:sz w:val="18"/>
                <w:szCs w:val="18"/>
              </w:rPr>
              <w:t>29</w:t>
            </w:r>
            <w:r>
              <w:rPr>
                <w:rFonts w:ascii="Verdana" w:hAnsi="Verdana"/>
                <w:sz w:val="18"/>
                <w:szCs w:val="18"/>
              </w:rPr>
              <w:t xml:space="preserve"> </w:t>
            </w:r>
            <w:r w:rsidRPr="00FD6B1D">
              <w:rPr>
                <w:rFonts w:ascii="Verdana" w:hAnsi="Verdana"/>
                <w:sz w:val="18"/>
                <w:szCs w:val="18"/>
              </w:rPr>
              <w:t>398</w:t>
            </w:r>
            <w:r>
              <w:rPr>
                <w:rFonts w:ascii="Verdana" w:hAnsi="Verdana"/>
                <w:sz w:val="18"/>
                <w:szCs w:val="18"/>
              </w:rPr>
              <w:t xml:space="preserve">, nr. </w:t>
            </w:r>
            <w:r w:rsidRPr="00FD6B1D">
              <w:rPr>
                <w:rFonts w:ascii="Verdana" w:hAnsi="Verdana"/>
                <w:sz w:val="18"/>
                <w:szCs w:val="18"/>
              </w:rPr>
              <w:t>1183</w:t>
            </w:r>
            <w:r>
              <w:rPr>
                <w:rFonts w:ascii="Verdana" w:hAnsi="Verdana"/>
                <w:sz w:val="18"/>
                <w:szCs w:val="18"/>
              </w:rPr>
              <w:t>)</w:t>
            </w:r>
            <w:r w:rsidRPr="0082026A">
              <w:rPr>
                <w:rFonts w:ascii="Verdana" w:hAnsi="Verdana"/>
                <w:sz w:val="18"/>
                <w:szCs w:val="18"/>
              </w:rPr>
              <w:t>. </w:t>
            </w:r>
            <w:r w:rsidRPr="0082026A">
              <w:rPr>
                <w:rFonts w:ascii="Verdana" w:hAnsi="Verdana"/>
                <w:sz w:val="18"/>
                <w:szCs w:val="18"/>
              </w:rPr>
              <w:br/>
            </w:r>
          </w:p>
        </w:tc>
      </w:tr>
      <w:tr w:rsidRPr="0082026A" w:rsidR="00686E88" w:rsidTr="00CE20D1" w14:paraId="5FA9563B" w14:textId="77777777">
        <w:tc>
          <w:tcPr>
            <w:tcW w:w="0" w:type="auto"/>
          </w:tcPr>
          <w:p w:rsidRPr="0082026A" w:rsidR="00686E88" w:rsidP="00CE20D1" w:rsidRDefault="00686E88" w14:paraId="44622165" w14:textId="77777777">
            <w:pPr>
              <w:rPr>
                <w:rFonts w:ascii="Verdana" w:hAnsi="Verdana"/>
                <w:sz w:val="18"/>
                <w:szCs w:val="18"/>
              </w:rPr>
            </w:pPr>
            <w:r w:rsidRPr="0082026A">
              <w:rPr>
                <w:rFonts w:ascii="Verdana" w:hAnsi="Verdana"/>
                <w:sz w:val="18"/>
                <w:szCs w:val="18"/>
              </w:rPr>
              <w:t>50</w:t>
            </w:r>
          </w:p>
        </w:tc>
        <w:tc>
          <w:tcPr>
            <w:tcW w:w="0" w:type="auto"/>
            <w:gridSpan w:val="2"/>
          </w:tcPr>
          <w:p w:rsidRPr="0082026A" w:rsidR="00686E88" w:rsidP="00CE20D1" w:rsidRDefault="00686E88" w14:paraId="03A803E0" w14:textId="77777777">
            <w:pPr>
              <w:rPr>
                <w:rFonts w:ascii="Verdana" w:hAnsi="Verdana"/>
                <w:sz w:val="18"/>
                <w:szCs w:val="18"/>
              </w:rPr>
            </w:pPr>
            <w:r w:rsidRPr="0082026A">
              <w:rPr>
                <w:rFonts w:ascii="Verdana" w:hAnsi="Verdana"/>
                <w:b/>
                <w:sz w:val="18"/>
                <w:szCs w:val="18"/>
              </w:rPr>
              <w:t>Vraag:</w:t>
            </w:r>
            <w:r w:rsidRPr="0082026A">
              <w:rPr>
                <w:rFonts w:ascii="Verdana" w:hAnsi="Verdana"/>
                <w:sz w:val="18"/>
                <w:szCs w:val="18"/>
              </w:rPr>
              <w:br/>
              <w:t>Kunt u aangeven op welke wijze de inzet op valpreventie vanuit het ministerie van VWS wordt meegenomen in het plan als het gaat om ouderen?</w:t>
            </w:r>
            <w:r w:rsidRPr="0082026A">
              <w:rPr>
                <w:rFonts w:ascii="Verdana" w:hAnsi="Verdana"/>
                <w:sz w:val="18"/>
                <w:szCs w:val="18"/>
              </w:rPr>
              <w:br/>
            </w:r>
            <w:r w:rsidRPr="0082026A">
              <w:rPr>
                <w:rFonts w:ascii="Verdana" w:hAnsi="Verdana"/>
                <w:sz w:val="18"/>
                <w:szCs w:val="18"/>
              </w:rPr>
              <w:br/>
            </w:r>
            <w:r w:rsidRPr="0082026A">
              <w:rPr>
                <w:rFonts w:ascii="Verdana" w:hAnsi="Verdana"/>
                <w:b/>
                <w:sz w:val="18"/>
                <w:szCs w:val="18"/>
              </w:rPr>
              <w:t>Antwoord:</w:t>
            </w:r>
            <w:r w:rsidRPr="0082026A">
              <w:rPr>
                <w:rFonts w:ascii="Verdana" w:hAnsi="Verdana"/>
                <w:sz w:val="18"/>
                <w:szCs w:val="18"/>
              </w:rPr>
              <w:br/>
              <w:t>Via het Meerjarenplan Fietsveiligheid wordt € 41 mln. uitgetrokken voor een kennisprogramma</w:t>
            </w:r>
            <w:r>
              <w:rPr>
                <w:rFonts w:ascii="Verdana" w:hAnsi="Verdana"/>
                <w:sz w:val="18"/>
                <w:szCs w:val="18"/>
              </w:rPr>
              <w:t xml:space="preserve"> van </w:t>
            </w:r>
            <w:r w:rsidRPr="0082026A">
              <w:rPr>
                <w:rFonts w:ascii="Verdana" w:hAnsi="Verdana"/>
                <w:sz w:val="18"/>
                <w:szCs w:val="18"/>
              </w:rPr>
              <w:t>ZonMw. Dit programma richt zich onder meer op het doorontwikkelen en vervolgens uitvoeren van effectieve interventies die het valrisico voor fietsers verkleinen. De inzichten en kennis over de ketenaanpak valpreventie van het ministerie van VWS worden hierbij meegenomen. Daarbij gaat extra aandacht uit naar oudere fietsers.</w:t>
            </w:r>
            <w:r w:rsidRPr="0082026A">
              <w:rPr>
                <w:rFonts w:ascii="Verdana" w:hAnsi="Verdana"/>
                <w:sz w:val="18"/>
                <w:szCs w:val="18"/>
              </w:rPr>
              <w:br/>
            </w:r>
          </w:p>
        </w:tc>
      </w:tr>
      <w:tr w:rsidRPr="0082026A" w:rsidR="00686E88" w:rsidTr="00CE20D1" w14:paraId="7990D7CC" w14:textId="77777777">
        <w:tc>
          <w:tcPr>
            <w:tcW w:w="0" w:type="auto"/>
          </w:tcPr>
          <w:p w:rsidRPr="0082026A" w:rsidR="00686E88" w:rsidP="00CE20D1" w:rsidRDefault="00686E88" w14:paraId="7E5DF590" w14:textId="77777777">
            <w:pPr>
              <w:rPr>
                <w:rFonts w:ascii="Verdana" w:hAnsi="Verdana"/>
                <w:sz w:val="18"/>
                <w:szCs w:val="18"/>
              </w:rPr>
            </w:pPr>
            <w:r w:rsidRPr="0082026A">
              <w:rPr>
                <w:rFonts w:ascii="Verdana" w:hAnsi="Verdana"/>
                <w:sz w:val="18"/>
                <w:szCs w:val="18"/>
              </w:rPr>
              <w:t>51</w:t>
            </w:r>
          </w:p>
        </w:tc>
        <w:tc>
          <w:tcPr>
            <w:tcW w:w="0" w:type="auto"/>
            <w:gridSpan w:val="2"/>
          </w:tcPr>
          <w:p w:rsidRPr="0082026A" w:rsidR="00686E88" w:rsidP="00CE20D1" w:rsidRDefault="00686E88" w14:paraId="75A2973C" w14:textId="77777777">
            <w:pPr>
              <w:rPr>
                <w:rFonts w:ascii="Verdana" w:hAnsi="Verdana"/>
                <w:sz w:val="18"/>
                <w:szCs w:val="18"/>
              </w:rPr>
            </w:pPr>
            <w:r w:rsidRPr="0082026A">
              <w:rPr>
                <w:rFonts w:ascii="Verdana" w:hAnsi="Verdana"/>
                <w:b/>
                <w:sz w:val="18"/>
                <w:szCs w:val="18"/>
              </w:rPr>
              <w:t>Vraag:</w:t>
            </w:r>
            <w:r w:rsidRPr="0082026A">
              <w:rPr>
                <w:rFonts w:ascii="Verdana" w:hAnsi="Verdana"/>
                <w:sz w:val="18"/>
                <w:szCs w:val="18"/>
              </w:rPr>
              <w:br/>
              <w:t>Op welke wijze wordt aandacht besteed aan gedragsinterventies binnen het plan?</w:t>
            </w:r>
            <w:r w:rsidRPr="0082026A">
              <w:rPr>
                <w:rFonts w:ascii="Verdana" w:hAnsi="Verdana"/>
                <w:sz w:val="18"/>
                <w:szCs w:val="18"/>
              </w:rPr>
              <w:br/>
            </w:r>
            <w:r w:rsidRPr="0082026A">
              <w:rPr>
                <w:rFonts w:ascii="Verdana" w:hAnsi="Verdana"/>
                <w:sz w:val="18"/>
                <w:szCs w:val="18"/>
              </w:rPr>
              <w:br/>
            </w:r>
            <w:r w:rsidRPr="0082026A">
              <w:rPr>
                <w:rFonts w:ascii="Verdana" w:hAnsi="Verdana"/>
                <w:b/>
                <w:sz w:val="18"/>
                <w:szCs w:val="18"/>
              </w:rPr>
              <w:t>Antwoord:</w:t>
            </w:r>
            <w:r w:rsidRPr="0082026A">
              <w:rPr>
                <w:rFonts w:ascii="Verdana" w:hAnsi="Verdana"/>
                <w:sz w:val="18"/>
                <w:szCs w:val="18"/>
              </w:rPr>
              <w:br/>
              <w:t>Het Meerjarenplan Fietsveiligheid zet in op gedragsinterventies via campagnes als Zet ‘m op, ’t kan hard gaan, MONO en AAN. Daarnaast is er ruimte voor het (door)ontwikkelen en opschalen van gedragsinterventies om de fietsveiligheid te bevorderen.</w:t>
            </w:r>
            <w:r w:rsidRPr="0082026A">
              <w:rPr>
                <w:rFonts w:ascii="Verdana" w:hAnsi="Verdana"/>
                <w:sz w:val="18"/>
                <w:szCs w:val="18"/>
              </w:rPr>
              <w:br/>
            </w:r>
          </w:p>
        </w:tc>
      </w:tr>
      <w:tr w:rsidRPr="0082026A" w:rsidR="00686E88" w:rsidTr="00CE20D1" w14:paraId="740DBF1D" w14:textId="77777777">
        <w:tc>
          <w:tcPr>
            <w:tcW w:w="0" w:type="auto"/>
          </w:tcPr>
          <w:p w:rsidRPr="0082026A" w:rsidR="00686E88" w:rsidP="00CE20D1" w:rsidRDefault="00686E88" w14:paraId="44B3A8D1" w14:textId="77777777">
            <w:pPr>
              <w:rPr>
                <w:rFonts w:ascii="Verdana" w:hAnsi="Verdana"/>
                <w:sz w:val="18"/>
                <w:szCs w:val="18"/>
              </w:rPr>
            </w:pPr>
            <w:r w:rsidRPr="0082026A">
              <w:rPr>
                <w:rFonts w:ascii="Verdana" w:hAnsi="Verdana"/>
                <w:sz w:val="18"/>
                <w:szCs w:val="18"/>
              </w:rPr>
              <w:t>52</w:t>
            </w:r>
          </w:p>
        </w:tc>
        <w:tc>
          <w:tcPr>
            <w:tcW w:w="0" w:type="auto"/>
            <w:gridSpan w:val="2"/>
          </w:tcPr>
          <w:p w:rsidRPr="0082026A" w:rsidR="00686E88" w:rsidP="00CE20D1" w:rsidRDefault="00686E88" w14:paraId="3B602F92" w14:textId="77777777">
            <w:pPr>
              <w:rPr>
                <w:rFonts w:ascii="Verdana" w:hAnsi="Verdana"/>
                <w:sz w:val="18"/>
                <w:szCs w:val="18"/>
              </w:rPr>
            </w:pPr>
            <w:r w:rsidRPr="0082026A">
              <w:rPr>
                <w:rFonts w:ascii="Verdana" w:hAnsi="Verdana"/>
                <w:b/>
                <w:sz w:val="18"/>
                <w:szCs w:val="18"/>
              </w:rPr>
              <w:t>Vraag:</w:t>
            </w:r>
            <w:r w:rsidRPr="0082026A">
              <w:rPr>
                <w:rFonts w:ascii="Verdana" w:hAnsi="Verdana"/>
                <w:sz w:val="18"/>
                <w:szCs w:val="18"/>
              </w:rPr>
              <w:br/>
              <w:t>Kunt u aangeven hoe wordt gewaarborgd dat goede data over fietsslachtoffers beschikbaar blijven, aangezien politiedata onvoldoende inzicht geven in deze kwetsbare groep verkeersslachtoffers?</w:t>
            </w:r>
            <w:r w:rsidRPr="0082026A">
              <w:rPr>
                <w:rFonts w:ascii="Verdana" w:hAnsi="Verdana"/>
                <w:sz w:val="18"/>
                <w:szCs w:val="18"/>
              </w:rPr>
              <w:br/>
            </w:r>
            <w:r w:rsidRPr="0082026A">
              <w:rPr>
                <w:rFonts w:ascii="Verdana" w:hAnsi="Verdana"/>
                <w:sz w:val="18"/>
                <w:szCs w:val="18"/>
              </w:rPr>
              <w:br/>
            </w:r>
            <w:r w:rsidRPr="0082026A">
              <w:rPr>
                <w:rFonts w:ascii="Verdana" w:hAnsi="Verdana"/>
                <w:b/>
                <w:sz w:val="18"/>
                <w:szCs w:val="18"/>
              </w:rPr>
              <w:t>Antwoord:</w:t>
            </w:r>
            <w:r w:rsidRPr="0082026A">
              <w:rPr>
                <w:rFonts w:ascii="Verdana" w:hAnsi="Verdana"/>
                <w:sz w:val="18"/>
                <w:szCs w:val="18"/>
              </w:rPr>
              <w:br/>
            </w:r>
            <w:r>
              <w:rPr>
                <w:rFonts w:ascii="Verdana" w:hAnsi="Verdana"/>
                <w:sz w:val="18"/>
                <w:szCs w:val="18"/>
              </w:rPr>
              <w:t xml:space="preserve">De </w:t>
            </w:r>
            <w:r w:rsidRPr="0082026A">
              <w:rPr>
                <w:rFonts w:ascii="Verdana" w:hAnsi="Verdana"/>
                <w:sz w:val="18"/>
                <w:szCs w:val="18"/>
              </w:rPr>
              <w:t>SWOV maakt jaarlijks in de Staat van Verkeersveiligheid uitgebreide analyses die inzicht geven in de verkeersveiligheid op nationaal niveau waaronder ook die van fietsslachtoffers. Dergelijke analyses kunnen op verzoek ook voor provincies en grotere gemeenten worden uitgevoerd. Ook op dat niveau is deze informatie dus beschikbaar. Daarbij worden niet alleen politiedata gebruikt om een compleet beeld te krijgen maar ook data vanuit ziekenhuizen. </w:t>
            </w:r>
            <w:r w:rsidRPr="0082026A">
              <w:rPr>
                <w:rFonts w:ascii="Verdana" w:hAnsi="Verdana"/>
                <w:sz w:val="18"/>
                <w:szCs w:val="18"/>
              </w:rPr>
              <w:br/>
            </w:r>
            <w:r w:rsidRPr="0082026A">
              <w:rPr>
                <w:rFonts w:ascii="Verdana" w:hAnsi="Verdana"/>
                <w:sz w:val="18"/>
                <w:szCs w:val="18"/>
              </w:rPr>
              <w:br/>
              <w:t>Ziekenhuisdata bevat geen locatiegegevens van ongevallen, waardoor van een groot aantal fietsongevallen onbekend is waar deze hebben plaatsgevonden. Wanneer een persoon na een fietsongeval in het ziekenhuis is beland, zonder dat er politie bij het ongeval aanwezig is geweest, zit deze persoon wel in de ziekenhuisdata, maar niet in de politieregistratie.</w:t>
            </w:r>
            <w:r w:rsidRPr="0082026A">
              <w:rPr>
                <w:rFonts w:ascii="Verdana" w:hAnsi="Verdana"/>
                <w:sz w:val="18"/>
                <w:szCs w:val="18"/>
              </w:rPr>
              <w:br/>
            </w:r>
            <w:r w:rsidRPr="0082026A">
              <w:rPr>
                <w:rFonts w:ascii="Verdana" w:hAnsi="Verdana"/>
                <w:sz w:val="18"/>
                <w:szCs w:val="18"/>
              </w:rPr>
              <w:br/>
              <w:t>Wanneer deze persoon met een ambulance naar het ziekenhuis is gebracht, kan met ambulancedata meer informatie worden verkregen over de locatie. Ontsluiting van ambulancedata met locatiegegevens biedt dan meerwaarde. Met diverse partijen verkent IenW of en hoe een toekomstbestendige inwinning van ambulancedata mogelijk is.</w:t>
            </w:r>
            <w:r w:rsidRPr="0082026A">
              <w:rPr>
                <w:rFonts w:ascii="Verdana" w:hAnsi="Verdana"/>
                <w:sz w:val="18"/>
                <w:szCs w:val="18"/>
              </w:rPr>
              <w:br/>
              <w:t> </w:t>
            </w:r>
          </w:p>
        </w:tc>
      </w:tr>
      <w:tr w:rsidRPr="0082026A" w:rsidR="00686E88" w:rsidTr="00CE20D1" w14:paraId="160630EC" w14:textId="77777777">
        <w:tc>
          <w:tcPr>
            <w:tcW w:w="0" w:type="auto"/>
          </w:tcPr>
          <w:p w:rsidRPr="0082026A" w:rsidR="00686E88" w:rsidP="00CE20D1" w:rsidRDefault="00686E88" w14:paraId="4E69BBE3" w14:textId="77777777">
            <w:pPr>
              <w:rPr>
                <w:rFonts w:ascii="Verdana" w:hAnsi="Verdana"/>
                <w:sz w:val="18"/>
                <w:szCs w:val="18"/>
              </w:rPr>
            </w:pPr>
            <w:r w:rsidRPr="0082026A">
              <w:rPr>
                <w:rFonts w:ascii="Verdana" w:hAnsi="Verdana"/>
                <w:sz w:val="18"/>
                <w:szCs w:val="18"/>
              </w:rPr>
              <w:t>53</w:t>
            </w:r>
          </w:p>
        </w:tc>
        <w:tc>
          <w:tcPr>
            <w:tcW w:w="0" w:type="auto"/>
            <w:gridSpan w:val="2"/>
          </w:tcPr>
          <w:p w:rsidRPr="0082026A" w:rsidR="00686E88" w:rsidP="00CE20D1" w:rsidRDefault="00686E88" w14:paraId="4959D326" w14:textId="77777777">
            <w:pPr>
              <w:rPr>
                <w:rFonts w:ascii="Verdana" w:hAnsi="Verdana"/>
                <w:sz w:val="18"/>
                <w:szCs w:val="18"/>
              </w:rPr>
            </w:pPr>
            <w:r w:rsidRPr="0082026A">
              <w:rPr>
                <w:rFonts w:ascii="Verdana" w:hAnsi="Verdana"/>
                <w:b/>
                <w:sz w:val="18"/>
                <w:szCs w:val="18"/>
              </w:rPr>
              <w:t>Vraag:</w:t>
            </w:r>
            <w:r w:rsidRPr="0082026A">
              <w:rPr>
                <w:rFonts w:ascii="Verdana" w:hAnsi="Verdana"/>
                <w:sz w:val="18"/>
                <w:szCs w:val="18"/>
              </w:rPr>
              <w:br/>
              <w:t>Kunt u toelichten hoe de middelen van het Actieplan Verkeersveiligheid concreet worden ingezet en wat de verwachte effecten zijn?</w:t>
            </w:r>
            <w:r w:rsidRPr="0082026A">
              <w:rPr>
                <w:rFonts w:ascii="Verdana" w:hAnsi="Verdana"/>
                <w:sz w:val="18"/>
                <w:szCs w:val="18"/>
              </w:rPr>
              <w:br/>
            </w:r>
            <w:r w:rsidRPr="0082026A">
              <w:rPr>
                <w:rFonts w:ascii="Verdana" w:hAnsi="Verdana"/>
                <w:sz w:val="18"/>
                <w:szCs w:val="18"/>
              </w:rPr>
              <w:br/>
            </w:r>
            <w:r w:rsidRPr="0082026A">
              <w:rPr>
                <w:rFonts w:ascii="Verdana" w:hAnsi="Verdana"/>
                <w:b/>
                <w:sz w:val="18"/>
                <w:szCs w:val="18"/>
              </w:rPr>
              <w:t>Antwoord:</w:t>
            </w:r>
            <w:r w:rsidRPr="0082026A">
              <w:rPr>
                <w:rFonts w:ascii="Verdana" w:hAnsi="Verdana"/>
                <w:sz w:val="18"/>
                <w:szCs w:val="18"/>
              </w:rPr>
              <w:br/>
              <w:t xml:space="preserve">De middelen voor de maatregelen binnen het Landelijk Actieplan Verkeersveiligheid 2022-2025 worden ingezet voor specifieke maatregelen verdeeld over vijf thema’s: Veilige infrastructuur, Langzaam verkeer, Veilige voertuigen en rijhulpsystemen, Veilig gedrag en Rijden onder invloed. In het Landelijk Actieplan zijn de verwachte effecten van de maatregelen beschreven. De laatste stand van zaken over de voortgang is </w:t>
            </w:r>
            <w:r>
              <w:rPr>
                <w:rFonts w:ascii="Verdana" w:hAnsi="Verdana"/>
                <w:sz w:val="18"/>
                <w:szCs w:val="18"/>
              </w:rPr>
              <w:t>met</w:t>
            </w:r>
            <w:r w:rsidRPr="0082026A">
              <w:rPr>
                <w:rFonts w:ascii="Verdana" w:hAnsi="Verdana"/>
                <w:sz w:val="18"/>
                <w:szCs w:val="18"/>
              </w:rPr>
              <w:t xml:space="preserve"> de verzamelbrief verkeersveiligheid in juni naar de Kamer verstuurd</w:t>
            </w:r>
            <w:r>
              <w:rPr>
                <w:rFonts w:ascii="Verdana" w:hAnsi="Verdana"/>
                <w:sz w:val="18"/>
                <w:szCs w:val="18"/>
              </w:rPr>
              <w:t xml:space="preserve"> (bijlage bij Kamerstukken </w:t>
            </w:r>
            <w:r w:rsidRPr="00FD6B1D">
              <w:rPr>
                <w:rFonts w:ascii="Verdana" w:hAnsi="Verdana"/>
                <w:sz w:val="18"/>
                <w:szCs w:val="18"/>
              </w:rPr>
              <w:t>29</w:t>
            </w:r>
            <w:r>
              <w:rPr>
                <w:rFonts w:ascii="Verdana" w:hAnsi="Verdana"/>
                <w:sz w:val="18"/>
                <w:szCs w:val="18"/>
              </w:rPr>
              <w:t xml:space="preserve"> </w:t>
            </w:r>
            <w:r w:rsidRPr="00FD6B1D">
              <w:rPr>
                <w:rFonts w:ascii="Verdana" w:hAnsi="Verdana"/>
                <w:sz w:val="18"/>
                <w:szCs w:val="18"/>
              </w:rPr>
              <w:t>398</w:t>
            </w:r>
            <w:r>
              <w:rPr>
                <w:rFonts w:ascii="Verdana" w:hAnsi="Verdana"/>
                <w:sz w:val="18"/>
                <w:szCs w:val="18"/>
              </w:rPr>
              <w:t xml:space="preserve">, nr. </w:t>
            </w:r>
            <w:r w:rsidRPr="00FD6B1D">
              <w:rPr>
                <w:rFonts w:ascii="Verdana" w:hAnsi="Verdana"/>
                <w:sz w:val="18"/>
                <w:szCs w:val="18"/>
              </w:rPr>
              <w:t>1175</w:t>
            </w:r>
            <w:r>
              <w:rPr>
                <w:rFonts w:ascii="Verdana" w:hAnsi="Verdana"/>
                <w:sz w:val="18"/>
                <w:szCs w:val="18"/>
              </w:rPr>
              <w:t>)</w:t>
            </w:r>
            <w:r w:rsidRPr="0082026A">
              <w:rPr>
                <w:rFonts w:ascii="Verdana" w:hAnsi="Verdana"/>
                <w:sz w:val="18"/>
                <w:szCs w:val="18"/>
              </w:rPr>
              <w:t>.</w:t>
            </w:r>
            <w:r w:rsidRPr="0082026A">
              <w:rPr>
                <w:rFonts w:ascii="Verdana" w:hAnsi="Verdana"/>
                <w:sz w:val="18"/>
                <w:szCs w:val="18"/>
              </w:rPr>
              <w:br/>
            </w:r>
          </w:p>
        </w:tc>
      </w:tr>
      <w:tr w:rsidRPr="0082026A" w:rsidR="00686E88" w:rsidTr="00CE20D1" w14:paraId="4A00EC29" w14:textId="77777777">
        <w:tc>
          <w:tcPr>
            <w:tcW w:w="0" w:type="auto"/>
          </w:tcPr>
          <w:p w:rsidRPr="0082026A" w:rsidR="00686E88" w:rsidP="00CE20D1" w:rsidRDefault="00686E88" w14:paraId="068F9897" w14:textId="77777777">
            <w:pPr>
              <w:rPr>
                <w:rFonts w:ascii="Verdana" w:hAnsi="Verdana"/>
                <w:sz w:val="18"/>
                <w:szCs w:val="18"/>
              </w:rPr>
            </w:pPr>
            <w:r w:rsidRPr="0082026A">
              <w:rPr>
                <w:rFonts w:ascii="Verdana" w:hAnsi="Verdana"/>
                <w:sz w:val="18"/>
                <w:szCs w:val="18"/>
              </w:rPr>
              <w:t>54</w:t>
            </w:r>
          </w:p>
        </w:tc>
        <w:tc>
          <w:tcPr>
            <w:tcW w:w="0" w:type="auto"/>
            <w:gridSpan w:val="2"/>
          </w:tcPr>
          <w:p w:rsidRPr="0082026A" w:rsidR="00686E88" w:rsidP="00CE20D1" w:rsidRDefault="00686E88" w14:paraId="4DDD9DF0" w14:textId="77777777">
            <w:pPr>
              <w:rPr>
                <w:rFonts w:ascii="Verdana" w:hAnsi="Verdana"/>
                <w:sz w:val="18"/>
                <w:szCs w:val="18"/>
              </w:rPr>
            </w:pPr>
            <w:r w:rsidRPr="0082026A">
              <w:rPr>
                <w:rFonts w:ascii="Verdana" w:hAnsi="Verdana"/>
                <w:b/>
                <w:sz w:val="18"/>
                <w:szCs w:val="18"/>
              </w:rPr>
              <w:t>Vraag:</w:t>
            </w:r>
            <w:r w:rsidRPr="0082026A">
              <w:rPr>
                <w:rFonts w:ascii="Verdana" w:hAnsi="Verdana"/>
                <w:sz w:val="18"/>
                <w:szCs w:val="18"/>
              </w:rPr>
              <w:br/>
              <w:t>Kunt u aangeven op welke wijze actuele kennis wordt betrokken bij het thema gedragsbeïnvloeding?</w:t>
            </w:r>
            <w:r w:rsidRPr="0082026A">
              <w:rPr>
                <w:rFonts w:ascii="Verdana" w:hAnsi="Verdana"/>
                <w:sz w:val="18"/>
                <w:szCs w:val="18"/>
              </w:rPr>
              <w:br/>
            </w:r>
            <w:r w:rsidRPr="0082026A">
              <w:rPr>
                <w:rFonts w:ascii="Verdana" w:hAnsi="Verdana"/>
                <w:sz w:val="18"/>
                <w:szCs w:val="18"/>
              </w:rPr>
              <w:br/>
            </w:r>
            <w:r w:rsidRPr="0082026A">
              <w:rPr>
                <w:rFonts w:ascii="Verdana" w:hAnsi="Verdana"/>
                <w:b/>
                <w:sz w:val="18"/>
                <w:szCs w:val="18"/>
              </w:rPr>
              <w:t>Antwoord:</w:t>
            </w:r>
            <w:r w:rsidRPr="0082026A">
              <w:rPr>
                <w:rFonts w:ascii="Verdana" w:hAnsi="Verdana"/>
                <w:sz w:val="18"/>
                <w:szCs w:val="18"/>
              </w:rPr>
              <w:br/>
              <w:t>In aanloop naar nieuwe campagnes wordt altijd gedragskundig advies ingewonnen, wordt de doelgroep betrokken en worden onderzoeksresultaten uit eerdere/andere bonnen betrokken. Zo sluiten de interventies zo goed mogelijk aan bij de doelgroep. Daarnaast worden de grotere campagnes zoals Bob en MONO na elke periode geëvalueerd. Op basis van waardering, houding en zelfgerapporteerd gedrag wordt een campagne dan eventueel bijgesteld. </w:t>
            </w:r>
            <w:r w:rsidRPr="0082026A">
              <w:rPr>
                <w:rFonts w:ascii="Verdana" w:hAnsi="Verdana"/>
                <w:sz w:val="18"/>
                <w:szCs w:val="18"/>
              </w:rPr>
              <w:br/>
            </w:r>
          </w:p>
        </w:tc>
      </w:tr>
      <w:tr w:rsidRPr="0082026A" w:rsidR="00686E88" w:rsidTr="00CE20D1" w14:paraId="186FC6CF" w14:textId="77777777">
        <w:tc>
          <w:tcPr>
            <w:tcW w:w="0" w:type="auto"/>
          </w:tcPr>
          <w:p w:rsidRPr="0082026A" w:rsidR="00686E88" w:rsidP="00CE20D1" w:rsidRDefault="00686E88" w14:paraId="2070B0EC" w14:textId="77777777">
            <w:pPr>
              <w:rPr>
                <w:rFonts w:ascii="Verdana" w:hAnsi="Verdana"/>
                <w:sz w:val="18"/>
                <w:szCs w:val="18"/>
              </w:rPr>
            </w:pPr>
            <w:r w:rsidRPr="0082026A">
              <w:rPr>
                <w:rFonts w:ascii="Verdana" w:hAnsi="Verdana"/>
                <w:sz w:val="18"/>
                <w:szCs w:val="18"/>
              </w:rPr>
              <w:t>55</w:t>
            </w:r>
          </w:p>
        </w:tc>
        <w:tc>
          <w:tcPr>
            <w:tcW w:w="0" w:type="auto"/>
            <w:gridSpan w:val="2"/>
          </w:tcPr>
          <w:p w:rsidRPr="0082026A" w:rsidR="00686E88" w:rsidP="00CE20D1" w:rsidRDefault="00686E88" w14:paraId="1E4000EA" w14:textId="77777777">
            <w:pPr>
              <w:rPr>
                <w:rFonts w:ascii="Verdana" w:hAnsi="Verdana"/>
                <w:sz w:val="18"/>
                <w:szCs w:val="18"/>
              </w:rPr>
            </w:pPr>
            <w:r w:rsidRPr="0082026A">
              <w:rPr>
                <w:rFonts w:ascii="Verdana" w:hAnsi="Verdana"/>
                <w:b/>
                <w:sz w:val="18"/>
                <w:szCs w:val="18"/>
              </w:rPr>
              <w:t>Vraag:</w:t>
            </w:r>
            <w:r w:rsidRPr="0082026A">
              <w:rPr>
                <w:rFonts w:ascii="Verdana" w:hAnsi="Verdana"/>
                <w:sz w:val="18"/>
                <w:szCs w:val="18"/>
              </w:rPr>
              <w:br/>
              <w:t>Constaterende dat onder 'opdrachten' onderzoeken en activiteiten in het kader van het Landelijk Actieprogramma Verkeersveiligheid vallen, onderdeel van het Strategisch Plan Verkeersveiligheid 2030, en dat dit o.a. beleidsontwikkeling voor beginnende bestuurders (0,1 miljoen euro), maatregelen fietsveiligheid (0,4 miljoen euro) en het verbeteren van de verkeersveiligheid voor specifieke doelgroepen zoals ouderen betreft; kunt u toelichten hoe deze middelen concreet worden ingezet en wat de verwachte effecten zijn?</w:t>
            </w:r>
            <w:r w:rsidRPr="0082026A">
              <w:rPr>
                <w:rFonts w:ascii="Verdana" w:hAnsi="Verdana"/>
                <w:sz w:val="18"/>
                <w:szCs w:val="18"/>
              </w:rPr>
              <w:br/>
            </w:r>
            <w:r w:rsidRPr="0082026A">
              <w:rPr>
                <w:rFonts w:ascii="Verdana" w:hAnsi="Verdana"/>
                <w:sz w:val="18"/>
                <w:szCs w:val="18"/>
              </w:rPr>
              <w:br/>
            </w:r>
            <w:r w:rsidRPr="0082026A">
              <w:rPr>
                <w:rFonts w:ascii="Verdana" w:hAnsi="Verdana"/>
                <w:b/>
                <w:sz w:val="18"/>
                <w:szCs w:val="18"/>
              </w:rPr>
              <w:t>Antwoord:</w:t>
            </w:r>
            <w:r w:rsidRPr="0082026A">
              <w:rPr>
                <w:rFonts w:ascii="Verdana" w:hAnsi="Verdana"/>
                <w:sz w:val="18"/>
                <w:szCs w:val="18"/>
              </w:rPr>
              <w:br/>
              <w:t>Onder ‘Opdrachten verkeersveiligheid’ (</w:t>
            </w:r>
            <w:r>
              <w:rPr>
                <w:rFonts w:ascii="Verdana" w:hAnsi="Verdana"/>
                <w:sz w:val="18"/>
                <w:szCs w:val="18"/>
              </w:rPr>
              <w:t xml:space="preserve">Kamerstukken 36 800-XII, nr. 2, </w:t>
            </w:r>
            <w:r w:rsidRPr="0082026A">
              <w:rPr>
                <w:rFonts w:ascii="Verdana" w:hAnsi="Verdana"/>
                <w:sz w:val="18"/>
                <w:szCs w:val="18"/>
              </w:rPr>
              <w:t>p. 80) is per abuis een tekst uit een eerdere begroting opgenomen. De middelen uit het opdrachtenbudget voor verkeersveiligheid worden eind dit jaar definitief toegewezen aan de verschillende beleidsdossiers. Hierbij wordt zo veel mogelijk ingezet op actuele risico’s en ontwikkelingen op het gebied van verkeersveiligheid. </w:t>
            </w:r>
            <w:r w:rsidRPr="0082026A">
              <w:rPr>
                <w:rFonts w:ascii="Verdana" w:hAnsi="Verdana"/>
                <w:sz w:val="18"/>
                <w:szCs w:val="18"/>
              </w:rPr>
              <w:br/>
            </w:r>
          </w:p>
        </w:tc>
      </w:tr>
      <w:tr w:rsidRPr="0082026A" w:rsidR="00686E88" w:rsidTr="00CE20D1" w14:paraId="4A4EA84F" w14:textId="77777777">
        <w:tc>
          <w:tcPr>
            <w:tcW w:w="0" w:type="auto"/>
          </w:tcPr>
          <w:p w:rsidRPr="0082026A" w:rsidR="00686E88" w:rsidP="00CE20D1" w:rsidRDefault="00686E88" w14:paraId="132AB6B6" w14:textId="77777777">
            <w:pPr>
              <w:rPr>
                <w:rFonts w:ascii="Verdana" w:hAnsi="Verdana"/>
                <w:sz w:val="18"/>
                <w:szCs w:val="18"/>
              </w:rPr>
            </w:pPr>
            <w:r w:rsidRPr="0082026A">
              <w:rPr>
                <w:rFonts w:ascii="Verdana" w:hAnsi="Verdana"/>
                <w:sz w:val="18"/>
                <w:szCs w:val="18"/>
              </w:rPr>
              <w:t>56</w:t>
            </w:r>
          </w:p>
        </w:tc>
        <w:tc>
          <w:tcPr>
            <w:tcW w:w="0" w:type="auto"/>
            <w:gridSpan w:val="2"/>
          </w:tcPr>
          <w:p w:rsidRPr="0082026A" w:rsidR="00686E88" w:rsidP="00CE20D1" w:rsidRDefault="00686E88" w14:paraId="68B030D7" w14:textId="77777777">
            <w:pPr>
              <w:rPr>
                <w:rFonts w:ascii="Verdana" w:hAnsi="Verdana"/>
                <w:sz w:val="18"/>
                <w:szCs w:val="18"/>
              </w:rPr>
            </w:pPr>
            <w:r w:rsidRPr="0082026A">
              <w:rPr>
                <w:rFonts w:ascii="Verdana" w:hAnsi="Verdana"/>
                <w:b/>
                <w:sz w:val="18"/>
                <w:szCs w:val="18"/>
              </w:rPr>
              <w:t>Vraag:</w:t>
            </w:r>
            <w:r w:rsidRPr="0082026A">
              <w:rPr>
                <w:rFonts w:ascii="Verdana" w:hAnsi="Verdana"/>
                <w:sz w:val="18"/>
                <w:szCs w:val="18"/>
              </w:rPr>
              <w:br/>
              <w:t>Kunt u specifieker aangeven hoe de bedragen verdeeld zijn?</w:t>
            </w:r>
            <w:r w:rsidRPr="0082026A">
              <w:rPr>
                <w:rFonts w:ascii="Verdana" w:hAnsi="Verdana"/>
                <w:sz w:val="18"/>
                <w:szCs w:val="18"/>
              </w:rPr>
              <w:br/>
            </w:r>
            <w:r w:rsidRPr="0082026A">
              <w:rPr>
                <w:rFonts w:ascii="Verdana" w:hAnsi="Verdana"/>
                <w:sz w:val="18"/>
                <w:szCs w:val="18"/>
              </w:rPr>
              <w:br/>
            </w:r>
            <w:r w:rsidRPr="0082026A">
              <w:rPr>
                <w:rFonts w:ascii="Verdana" w:hAnsi="Verdana"/>
                <w:b/>
                <w:sz w:val="18"/>
                <w:szCs w:val="18"/>
              </w:rPr>
              <w:t>Antwoord:</w:t>
            </w:r>
            <w:r w:rsidRPr="0082026A">
              <w:rPr>
                <w:rFonts w:ascii="Verdana" w:hAnsi="Verdana"/>
                <w:sz w:val="18"/>
                <w:szCs w:val="18"/>
              </w:rPr>
              <w:br/>
            </w:r>
            <w:r>
              <w:rPr>
                <w:rFonts w:ascii="Verdana" w:hAnsi="Verdana"/>
                <w:sz w:val="18"/>
                <w:szCs w:val="18"/>
              </w:rPr>
              <w:t>Zie het antwoord op vraag 55.</w:t>
            </w:r>
            <w:r w:rsidRPr="0082026A">
              <w:rPr>
                <w:rFonts w:ascii="Verdana" w:hAnsi="Verdana"/>
                <w:sz w:val="18"/>
                <w:szCs w:val="18"/>
              </w:rPr>
              <w:br/>
            </w:r>
          </w:p>
        </w:tc>
      </w:tr>
      <w:tr w:rsidRPr="0082026A" w:rsidR="00686E88" w:rsidTr="00CE20D1" w14:paraId="2A513D25" w14:textId="77777777">
        <w:tc>
          <w:tcPr>
            <w:tcW w:w="0" w:type="auto"/>
          </w:tcPr>
          <w:p w:rsidRPr="0082026A" w:rsidR="00686E88" w:rsidP="00CE20D1" w:rsidRDefault="00686E88" w14:paraId="469BB05F" w14:textId="77777777">
            <w:pPr>
              <w:rPr>
                <w:rFonts w:ascii="Verdana" w:hAnsi="Verdana"/>
                <w:sz w:val="18"/>
                <w:szCs w:val="18"/>
              </w:rPr>
            </w:pPr>
            <w:r w:rsidRPr="0082026A">
              <w:rPr>
                <w:rFonts w:ascii="Verdana" w:hAnsi="Verdana"/>
                <w:sz w:val="18"/>
                <w:szCs w:val="18"/>
              </w:rPr>
              <w:t>57</w:t>
            </w:r>
          </w:p>
        </w:tc>
        <w:tc>
          <w:tcPr>
            <w:tcW w:w="0" w:type="auto"/>
            <w:gridSpan w:val="2"/>
          </w:tcPr>
          <w:p w:rsidRPr="0082026A" w:rsidR="00686E88" w:rsidP="00CE20D1" w:rsidRDefault="00686E88" w14:paraId="5DCA05E6" w14:textId="77777777">
            <w:pPr>
              <w:rPr>
                <w:rFonts w:ascii="Verdana" w:hAnsi="Verdana"/>
                <w:sz w:val="18"/>
                <w:szCs w:val="18"/>
              </w:rPr>
            </w:pPr>
            <w:r w:rsidRPr="0082026A">
              <w:rPr>
                <w:rFonts w:ascii="Verdana" w:hAnsi="Verdana"/>
                <w:b/>
                <w:sz w:val="18"/>
                <w:szCs w:val="18"/>
              </w:rPr>
              <w:t>Vraag:</w:t>
            </w:r>
            <w:r w:rsidRPr="0082026A">
              <w:rPr>
                <w:rFonts w:ascii="Verdana" w:hAnsi="Verdana"/>
                <w:sz w:val="18"/>
                <w:szCs w:val="18"/>
              </w:rPr>
              <w:br/>
              <w:t>Kunt u aangeven welke andere doelgroepen dan ouderen in beeld zijn?</w:t>
            </w:r>
            <w:r w:rsidRPr="0082026A">
              <w:rPr>
                <w:rFonts w:ascii="Verdana" w:hAnsi="Verdana"/>
                <w:sz w:val="18"/>
                <w:szCs w:val="18"/>
              </w:rPr>
              <w:br/>
            </w:r>
            <w:r w:rsidRPr="0082026A">
              <w:rPr>
                <w:rFonts w:ascii="Verdana" w:hAnsi="Verdana"/>
                <w:sz w:val="18"/>
                <w:szCs w:val="18"/>
              </w:rPr>
              <w:br/>
            </w:r>
            <w:r w:rsidRPr="0082026A">
              <w:rPr>
                <w:rFonts w:ascii="Verdana" w:hAnsi="Verdana"/>
                <w:b/>
                <w:sz w:val="18"/>
                <w:szCs w:val="18"/>
              </w:rPr>
              <w:t>Antwoord:</w:t>
            </w:r>
            <w:r w:rsidRPr="0082026A">
              <w:rPr>
                <w:rFonts w:ascii="Verdana" w:hAnsi="Verdana"/>
                <w:sz w:val="18"/>
                <w:szCs w:val="18"/>
              </w:rPr>
              <w:br/>
              <w:t>In het kader van het Strategisch Plan Verkeersveiligheid en Landelijk Actieplan Verkeersveiligheid wordt ingezet op een breed scala aan doelgroepen. Er zijn bijvoorbeeld ook interventies die specifiek gericht zijn op de doelgroepen fietsers, scholieren en zware overtreders. </w:t>
            </w:r>
            <w:r w:rsidRPr="0082026A">
              <w:rPr>
                <w:rFonts w:ascii="Verdana" w:hAnsi="Verdana"/>
                <w:sz w:val="18"/>
                <w:szCs w:val="18"/>
              </w:rPr>
              <w:br/>
            </w:r>
          </w:p>
        </w:tc>
      </w:tr>
      <w:tr w:rsidRPr="0082026A" w:rsidR="00686E88" w:rsidTr="00CE20D1" w14:paraId="3B4CA7F6" w14:textId="77777777">
        <w:tc>
          <w:tcPr>
            <w:tcW w:w="0" w:type="auto"/>
          </w:tcPr>
          <w:p w:rsidRPr="0082026A" w:rsidR="00686E88" w:rsidP="00CE20D1" w:rsidRDefault="00686E88" w14:paraId="09A38033" w14:textId="77777777">
            <w:pPr>
              <w:rPr>
                <w:rFonts w:ascii="Verdana" w:hAnsi="Verdana"/>
                <w:sz w:val="18"/>
                <w:szCs w:val="18"/>
              </w:rPr>
            </w:pPr>
            <w:r w:rsidRPr="0082026A">
              <w:rPr>
                <w:rFonts w:ascii="Verdana" w:hAnsi="Verdana"/>
                <w:sz w:val="18"/>
                <w:szCs w:val="18"/>
              </w:rPr>
              <w:t>58</w:t>
            </w:r>
          </w:p>
        </w:tc>
        <w:tc>
          <w:tcPr>
            <w:tcW w:w="0" w:type="auto"/>
            <w:gridSpan w:val="2"/>
          </w:tcPr>
          <w:p w:rsidRPr="0082026A" w:rsidR="00686E88" w:rsidP="00CE20D1" w:rsidRDefault="00686E88" w14:paraId="6079CA24" w14:textId="77777777">
            <w:pPr>
              <w:rPr>
                <w:rFonts w:ascii="Verdana" w:hAnsi="Verdana"/>
                <w:sz w:val="18"/>
                <w:szCs w:val="18"/>
              </w:rPr>
            </w:pPr>
            <w:r w:rsidRPr="0082026A">
              <w:rPr>
                <w:rFonts w:ascii="Verdana" w:hAnsi="Verdana"/>
                <w:b/>
                <w:sz w:val="18"/>
                <w:szCs w:val="18"/>
              </w:rPr>
              <w:t>Vraag:</w:t>
            </w:r>
            <w:r w:rsidRPr="0082026A">
              <w:rPr>
                <w:rFonts w:ascii="Verdana" w:hAnsi="Verdana"/>
                <w:sz w:val="18"/>
                <w:szCs w:val="18"/>
              </w:rPr>
              <w:br/>
              <w:t>Wat is de staat van de haven van West-Terschelling?</w:t>
            </w:r>
            <w:r w:rsidRPr="0082026A">
              <w:rPr>
                <w:rFonts w:ascii="Verdana" w:hAnsi="Verdana"/>
                <w:sz w:val="18"/>
                <w:szCs w:val="18"/>
              </w:rPr>
              <w:br/>
            </w:r>
            <w:r w:rsidRPr="0082026A">
              <w:rPr>
                <w:rFonts w:ascii="Verdana" w:hAnsi="Verdana"/>
                <w:sz w:val="18"/>
                <w:szCs w:val="18"/>
              </w:rPr>
              <w:br/>
            </w:r>
            <w:r w:rsidRPr="0082026A">
              <w:rPr>
                <w:rFonts w:ascii="Verdana" w:hAnsi="Verdana"/>
                <w:b/>
                <w:sz w:val="18"/>
                <w:szCs w:val="18"/>
              </w:rPr>
              <w:t>Antwoord:</w:t>
            </w:r>
            <w:r w:rsidRPr="0082026A">
              <w:rPr>
                <w:rFonts w:ascii="Verdana" w:hAnsi="Verdana"/>
                <w:sz w:val="18"/>
                <w:szCs w:val="18"/>
              </w:rPr>
              <w:br/>
              <w:t xml:space="preserve">Zoals in de brief van 14 juli 2025 aan </w:t>
            </w:r>
            <w:r>
              <w:rPr>
                <w:rFonts w:ascii="Verdana" w:hAnsi="Verdana"/>
                <w:sz w:val="18"/>
                <w:szCs w:val="18"/>
              </w:rPr>
              <w:t>de</w:t>
            </w:r>
            <w:r w:rsidRPr="0082026A">
              <w:rPr>
                <w:rFonts w:ascii="Verdana" w:hAnsi="Verdana"/>
                <w:sz w:val="18"/>
                <w:szCs w:val="18"/>
              </w:rPr>
              <w:t xml:space="preserve"> Kamer gemeld (Kamerstuk</w:t>
            </w:r>
            <w:r>
              <w:rPr>
                <w:rFonts w:ascii="Verdana" w:hAnsi="Verdana"/>
                <w:sz w:val="18"/>
                <w:szCs w:val="18"/>
              </w:rPr>
              <w:t>ken</w:t>
            </w:r>
            <w:r w:rsidRPr="0082026A">
              <w:rPr>
                <w:rFonts w:ascii="Verdana" w:hAnsi="Verdana"/>
                <w:sz w:val="18"/>
                <w:szCs w:val="18"/>
              </w:rPr>
              <w:t xml:space="preserve"> 29 684, nr. 294) heeft de gemeente Terschelling voor haar deel van de haven van West-Terschelling geconstateerd dat de kades en damwanden aan het einde van hun levensduur zijn. De gemeente werkt daarom aan de voorbereiding van de vervanging en renovatie hiervan. Naast de vervangingsopgave werkt de gemeente aan een mobiliteitsvisie voor het havengebied, zodat de bereikbaarheid van de haven op de lange termijn gewaarborgd blijft. De gemeente heeft aan het Ministerie van Infrastructuur en Waterstaat aangegeven dat zij een grote en urgente opgave op zich af ziet komen die de gemeente Terschelling overstijgt. Het Ministerie heeft aangeboden om hierbij mee te denken. Het Ministerie van Infrastructuur en Waterstaat, de Provinsje Fryslân en de gemeente zijn hierover in gesprek.</w:t>
            </w:r>
            <w:r w:rsidRPr="0082026A">
              <w:rPr>
                <w:rFonts w:ascii="Verdana" w:hAnsi="Verdana"/>
                <w:sz w:val="18"/>
                <w:szCs w:val="18"/>
              </w:rPr>
              <w:br/>
            </w:r>
          </w:p>
        </w:tc>
      </w:tr>
      <w:tr w:rsidRPr="0082026A" w:rsidR="00686E88" w:rsidTr="00CE20D1" w14:paraId="381A6B40" w14:textId="77777777">
        <w:tc>
          <w:tcPr>
            <w:tcW w:w="0" w:type="auto"/>
          </w:tcPr>
          <w:p w:rsidRPr="0082026A" w:rsidR="00686E88" w:rsidP="00CE20D1" w:rsidRDefault="00686E88" w14:paraId="06D45CE4" w14:textId="77777777">
            <w:pPr>
              <w:rPr>
                <w:rFonts w:ascii="Verdana" w:hAnsi="Verdana"/>
                <w:sz w:val="18"/>
                <w:szCs w:val="18"/>
              </w:rPr>
            </w:pPr>
            <w:r w:rsidRPr="0082026A">
              <w:rPr>
                <w:rFonts w:ascii="Verdana" w:hAnsi="Verdana"/>
                <w:sz w:val="18"/>
                <w:szCs w:val="18"/>
              </w:rPr>
              <w:t>59</w:t>
            </w:r>
          </w:p>
        </w:tc>
        <w:tc>
          <w:tcPr>
            <w:tcW w:w="0" w:type="auto"/>
            <w:gridSpan w:val="2"/>
          </w:tcPr>
          <w:p w:rsidRPr="0082026A" w:rsidR="00686E88" w:rsidP="00CE20D1" w:rsidRDefault="00686E88" w14:paraId="1BFC461C" w14:textId="77777777">
            <w:pPr>
              <w:rPr>
                <w:rFonts w:ascii="Verdana" w:hAnsi="Verdana"/>
                <w:sz w:val="18"/>
                <w:szCs w:val="18"/>
              </w:rPr>
            </w:pPr>
            <w:r w:rsidRPr="0082026A">
              <w:rPr>
                <w:rFonts w:ascii="Verdana" w:hAnsi="Verdana"/>
                <w:b/>
                <w:sz w:val="18"/>
                <w:szCs w:val="18"/>
              </w:rPr>
              <w:t>Vraag:</w:t>
            </w:r>
            <w:r w:rsidRPr="0082026A">
              <w:rPr>
                <w:rFonts w:ascii="Verdana" w:hAnsi="Verdana"/>
                <w:sz w:val="18"/>
                <w:szCs w:val="18"/>
              </w:rPr>
              <w:br/>
              <w:t>Wat is de mogelijke invloed van stagnatie in de renovatieplannen van de haven van West-Terschelling op de bereikbaarheid van het eiland?</w:t>
            </w:r>
            <w:r w:rsidRPr="0082026A">
              <w:rPr>
                <w:rFonts w:ascii="Verdana" w:hAnsi="Verdana"/>
                <w:sz w:val="18"/>
                <w:szCs w:val="18"/>
              </w:rPr>
              <w:br/>
            </w:r>
            <w:r w:rsidRPr="0082026A">
              <w:rPr>
                <w:rFonts w:ascii="Verdana" w:hAnsi="Verdana"/>
                <w:sz w:val="18"/>
                <w:szCs w:val="18"/>
              </w:rPr>
              <w:br/>
            </w:r>
            <w:r w:rsidRPr="0082026A">
              <w:rPr>
                <w:rFonts w:ascii="Verdana" w:hAnsi="Verdana"/>
                <w:b/>
                <w:sz w:val="18"/>
                <w:szCs w:val="18"/>
              </w:rPr>
              <w:t>Antwoord:</w:t>
            </w:r>
            <w:r w:rsidRPr="0082026A">
              <w:rPr>
                <w:rFonts w:ascii="Verdana" w:hAnsi="Verdana"/>
                <w:sz w:val="18"/>
                <w:szCs w:val="18"/>
              </w:rPr>
              <w:br/>
              <w:t>De kade van gemeente Terschelling nadert einde levensduur. Als het project van de gemeente stagneert, zal Terschelling mogelijk minder goed bereikbaar worden voor gemotoriseerd vervoer en vracht. Dit heeft ook gevolgen voor de veerdienst.</w:t>
            </w:r>
            <w:r w:rsidRPr="0082026A">
              <w:rPr>
                <w:rFonts w:ascii="Verdana" w:hAnsi="Verdana"/>
                <w:sz w:val="18"/>
                <w:szCs w:val="18"/>
              </w:rPr>
              <w:br/>
            </w:r>
            <w:r w:rsidRPr="0082026A">
              <w:rPr>
                <w:rFonts w:ascii="Verdana" w:hAnsi="Verdana"/>
                <w:sz w:val="18"/>
                <w:szCs w:val="18"/>
              </w:rPr>
              <w:br/>
              <w:t xml:space="preserve">Stagnatie kan optreden door uitstel van de keuze of bij onvoldoende financieringsmogelijkheden van de gemeente Terschelling. IenW is geen eigenaar van deze kade en heeft daarom geen middelen gereserveerd op de begroting. </w:t>
            </w:r>
            <w:r>
              <w:rPr>
                <w:rFonts w:ascii="Verdana" w:hAnsi="Verdana"/>
                <w:sz w:val="18"/>
                <w:szCs w:val="18"/>
              </w:rPr>
              <w:t>Zie ook het antwoord bij vraag 58.</w:t>
            </w:r>
            <w:r w:rsidRPr="0082026A">
              <w:rPr>
                <w:rFonts w:ascii="Verdana" w:hAnsi="Verdana"/>
                <w:sz w:val="18"/>
                <w:szCs w:val="18"/>
              </w:rPr>
              <w:br/>
            </w:r>
          </w:p>
        </w:tc>
      </w:tr>
      <w:tr w:rsidRPr="0082026A" w:rsidR="00686E88" w:rsidTr="00CE20D1" w14:paraId="3A22841C" w14:textId="77777777">
        <w:tc>
          <w:tcPr>
            <w:tcW w:w="0" w:type="auto"/>
          </w:tcPr>
          <w:p w:rsidRPr="0082026A" w:rsidR="00686E88" w:rsidP="00CE20D1" w:rsidRDefault="00686E88" w14:paraId="6891503D" w14:textId="77777777">
            <w:pPr>
              <w:rPr>
                <w:rFonts w:ascii="Verdana" w:hAnsi="Verdana"/>
                <w:sz w:val="18"/>
                <w:szCs w:val="18"/>
              </w:rPr>
            </w:pPr>
            <w:r w:rsidRPr="0082026A">
              <w:rPr>
                <w:rFonts w:ascii="Verdana" w:hAnsi="Verdana"/>
                <w:sz w:val="18"/>
                <w:szCs w:val="18"/>
              </w:rPr>
              <w:t>60</w:t>
            </w:r>
          </w:p>
        </w:tc>
        <w:tc>
          <w:tcPr>
            <w:tcW w:w="0" w:type="auto"/>
            <w:gridSpan w:val="2"/>
          </w:tcPr>
          <w:p w:rsidR="00686E88" w:rsidP="00CE20D1" w:rsidRDefault="00686E88" w14:paraId="29C013C5" w14:textId="77777777">
            <w:pPr>
              <w:rPr>
                <w:rFonts w:ascii="Verdana" w:hAnsi="Verdana"/>
                <w:sz w:val="18"/>
                <w:szCs w:val="18"/>
              </w:rPr>
            </w:pPr>
            <w:r w:rsidRPr="0082026A">
              <w:rPr>
                <w:rFonts w:ascii="Verdana" w:hAnsi="Verdana"/>
                <w:b/>
                <w:sz w:val="18"/>
                <w:szCs w:val="18"/>
              </w:rPr>
              <w:t>Vraag:</w:t>
            </w:r>
            <w:r w:rsidRPr="0082026A">
              <w:rPr>
                <w:rFonts w:ascii="Verdana" w:hAnsi="Verdana"/>
                <w:sz w:val="18"/>
                <w:szCs w:val="18"/>
              </w:rPr>
              <w:br/>
              <w:t>Zijn er voldoende middelen gereserveerd om de veerinstallaties aan wal van de Waddenveren in een goede staat te behouden, gezien het groot aantal reizigers dat er gebruik van maakt, bijvoorbeeld de walinstallatie op Texel?</w:t>
            </w:r>
            <w:r w:rsidRPr="0082026A">
              <w:rPr>
                <w:rFonts w:ascii="Verdana" w:hAnsi="Verdana"/>
                <w:sz w:val="18"/>
                <w:szCs w:val="18"/>
              </w:rPr>
              <w:br/>
            </w:r>
            <w:r w:rsidRPr="0082026A">
              <w:rPr>
                <w:rFonts w:ascii="Verdana" w:hAnsi="Verdana"/>
                <w:sz w:val="18"/>
                <w:szCs w:val="18"/>
              </w:rPr>
              <w:br/>
            </w:r>
            <w:r w:rsidRPr="0082026A">
              <w:rPr>
                <w:rFonts w:ascii="Verdana" w:hAnsi="Verdana"/>
                <w:b/>
                <w:sz w:val="18"/>
                <w:szCs w:val="18"/>
              </w:rPr>
              <w:t>Antwoord:</w:t>
            </w:r>
            <w:r w:rsidRPr="0082026A">
              <w:rPr>
                <w:rFonts w:ascii="Verdana" w:hAnsi="Verdana"/>
                <w:sz w:val="18"/>
                <w:szCs w:val="18"/>
              </w:rPr>
              <w:br/>
              <w:t xml:space="preserve">De veerinstallaties worden op verschillende momenten vernieuwd. Aan de veerinstallaties vindt regelmatig regulier en groot onderhoud plaats. Dit is nodig om de veerinstallaties tot het moment van vernieuwing in gebruik te houden. </w:t>
            </w:r>
          </w:p>
          <w:p w:rsidR="00686E88" w:rsidP="00CE20D1" w:rsidRDefault="00686E88" w14:paraId="48C33DB7" w14:textId="77777777">
            <w:pPr>
              <w:rPr>
                <w:rFonts w:ascii="Verdana" w:hAnsi="Verdana"/>
                <w:sz w:val="18"/>
                <w:szCs w:val="18"/>
              </w:rPr>
            </w:pPr>
            <w:r w:rsidRPr="0082026A">
              <w:rPr>
                <w:rFonts w:ascii="Verdana" w:hAnsi="Verdana"/>
                <w:sz w:val="18"/>
                <w:szCs w:val="18"/>
              </w:rPr>
              <w:t xml:space="preserve">Met uitzondering van de veerinstallaties op Ameland en Texel – Den Helder bevindt de vernieuwing van de veerinstallaties zich in de afrondende fase. Deze worden volgend jaar afgerond. De start van de vernieuwing van de veerinstallatie op Ameland staat voor volgend jaar gepland. </w:t>
            </w:r>
          </w:p>
          <w:p w:rsidR="00686E88" w:rsidP="00CE20D1" w:rsidRDefault="00686E88" w14:paraId="05236475" w14:textId="77777777">
            <w:pPr>
              <w:rPr>
                <w:rFonts w:ascii="Verdana" w:hAnsi="Verdana"/>
                <w:sz w:val="18"/>
                <w:szCs w:val="18"/>
              </w:rPr>
            </w:pPr>
          </w:p>
          <w:p w:rsidRPr="0082026A" w:rsidR="00686E88" w:rsidP="00CE20D1" w:rsidRDefault="00686E88" w14:paraId="39D1A137" w14:textId="77777777">
            <w:pPr>
              <w:rPr>
                <w:rFonts w:ascii="Verdana" w:hAnsi="Verdana"/>
                <w:sz w:val="18"/>
                <w:szCs w:val="18"/>
              </w:rPr>
            </w:pPr>
            <w:r w:rsidRPr="0082026A">
              <w:rPr>
                <w:rFonts w:ascii="Verdana" w:hAnsi="Verdana"/>
                <w:sz w:val="18"/>
                <w:szCs w:val="18"/>
              </w:rPr>
              <w:t xml:space="preserve">De vernieuwing van de veerinstallaties Texel – Den Helder is gepland in 2030. Hiervoor is momenteel nog geen zicht op financiering. Uiteraard is er de wens om deze financiering zo snel mogelijk rond te krijgen, maar dat kan niet los gezien worden van de bredere opgave op de instandhouding van de Rijksinfrastructuur als geheel. Rijkswaterstaat werkt aan de grootste instandhoudingsopgave ooit. Deze opgave is vele malen groter dan er aan budget beschikbaar is. De beheersorganisatie zorgt dat de veiligheid voor de gebruikers geborgd blijft en de beschikbaarheid beheersbaar blijft. Dat gebeurt aan de hand van een op maat gemaakte overbruggingsstrategie. De voorbereiding is inmiddels gestart om de veerinstallaties Texel – Den Helder in 2030 te vernieuwen. Dit zodat Rijkswaterstaat met de vernieuwing aan de slag kan, zodra de financiële dekking er is.  </w:t>
            </w:r>
            <w:r w:rsidRPr="0082026A">
              <w:rPr>
                <w:rFonts w:ascii="Verdana" w:hAnsi="Verdana"/>
                <w:sz w:val="18"/>
                <w:szCs w:val="18"/>
              </w:rPr>
              <w:br/>
            </w:r>
          </w:p>
        </w:tc>
      </w:tr>
      <w:tr w:rsidRPr="0082026A" w:rsidR="00686E88" w:rsidTr="00CE20D1" w14:paraId="1EBA567D" w14:textId="77777777">
        <w:tc>
          <w:tcPr>
            <w:tcW w:w="0" w:type="auto"/>
          </w:tcPr>
          <w:p w:rsidRPr="0082026A" w:rsidR="00686E88" w:rsidP="00CE20D1" w:rsidRDefault="00686E88" w14:paraId="59330ACD" w14:textId="77777777">
            <w:pPr>
              <w:rPr>
                <w:rFonts w:ascii="Verdana" w:hAnsi="Verdana"/>
                <w:sz w:val="18"/>
                <w:szCs w:val="18"/>
              </w:rPr>
            </w:pPr>
            <w:r w:rsidRPr="0082026A">
              <w:rPr>
                <w:rFonts w:ascii="Verdana" w:hAnsi="Verdana"/>
                <w:sz w:val="18"/>
                <w:szCs w:val="18"/>
              </w:rPr>
              <w:t>61</w:t>
            </w:r>
          </w:p>
        </w:tc>
        <w:tc>
          <w:tcPr>
            <w:tcW w:w="0" w:type="auto"/>
            <w:gridSpan w:val="2"/>
          </w:tcPr>
          <w:p w:rsidRPr="0082026A" w:rsidR="00686E88" w:rsidP="00CE20D1" w:rsidRDefault="00686E88" w14:paraId="16323224" w14:textId="77777777">
            <w:pPr>
              <w:rPr>
                <w:rFonts w:ascii="Verdana" w:hAnsi="Verdana"/>
                <w:sz w:val="18"/>
                <w:szCs w:val="18"/>
              </w:rPr>
            </w:pPr>
            <w:r w:rsidRPr="0082026A">
              <w:rPr>
                <w:rFonts w:ascii="Verdana" w:hAnsi="Verdana"/>
                <w:b/>
                <w:sz w:val="18"/>
                <w:szCs w:val="18"/>
              </w:rPr>
              <w:t>Vraag:</w:t>
            </w:r>
            <w:r w:rsidRPr="0082026A">
              <w:rPr>
                <w:rFonts w:ascii="Verdana" w:hAnsi="Verdana"/>
                <w:sz w:val="18"/>
                <w:szCs w:val="18"/>
              </w:rPr>
              <w:br/>
              <w:t>Hoe gaat u ervoor zorgen dat overal in Nederland aan de aangescherpte EU-grenswaarden in 2030 wordt voldaan? En hoe zorgt u ervoor dat, ondanks het teruggebrachte budget, de doelstellingen nog steeds behaald worden?</w:t>
            </w:r>
            <w:r w:rsidRPr="0082026A">
              <w:rPr>
                <w:rFonts w:ascii="Verdana" w:hAnsi="Verdana"/>
                <w:sz w:val="18"/>
                <w:szCs w:val="18"/>
              </w:rPr>
              <w:br/>
            </w:r>
            <w:r w:rsidRPr="0082026A">
              <w:rPr>
                <w:rFonts w:ascii="Verdana" w:hAnsi="Verdana"/>
                <w:sz w:val="18"/>
                <w:szCs w:val="18"/>
              </w:rPr>
              <w:br/>
            </w:r>
            <w:r w:rsidRPr="0082026A">
              <w:rPr>
                <w:rFonts w:ascii="Verdana" w:hAnsi="Verdana"/>
                <w:b/>
                <w:sz w:val="18"/>
                <w:szCs w:val="18"/>
              </w:rPr>
              <w:t>Antwoord:</w:t>
            </w:r>
            <w:r w:rsidRPr="0082026A">
              <w:rPr>
                <w:rFonts w:ascii="Verdana" w:hAnsi="Verdana"/>
                <w:sz w:val="18"/>
                <w:szCs w:val="18"/>
              </w:rPr>
              <w:br/>
              <w:t>Uit de tussenanalyse van het RIVM</w:t>
            </w:r>
            <w:r>
              <w:rPr>
                <w:rStyle w:val="FootnoteReference"/>
                <w:rFonts w:ascii="Verdana" w:hAnsi="Verdana"/>
                <w:sz w:val="18"/>
                <w:szCs w:val="18"/>
              </w:rPr>
              <w:footnoteReference w:id="3"/>
            </w:r>
            <w:r w:rsidRPr="0082026A">
              <w:rPr>
                <w:rFonts w:ascii="Verdana" w:hAnsi="Verdana"/>
                <w:sz w:val="18"/>
                <w:szCs w:val="18"/>
              </w:rPr>
              <w:t xml:space="preserve"> komt naar voren dat we naar verwachting nog niet overal in Nederland in 2030 de aangescherpte Europese grenswaarden halen. Het RIVM geeft aan dat dit het geval is in een aantal binnensteden, bij een aantal veehouderij locaties en sterk geïndustrialiseerde gebieden en langs snelwegen. Er wordt op dit moment in beeld gebracht via scenario’s met welke type pakketten aan maatregelen de grenswaarden tijdig kunnen worden gehaald en welk extra benodigd budget (bandbreedte) daarbij hoort. Hier is momenteel geen financiële dekking voor. De maatregelen zullen uiteindelijk worden vastgelegd in zogeheten routekaart(en), mits uitvoerbaar en financiële middelen beschikbaar zij</w:t>
            </w:r>
            <w:r>
              <w:rPr>
                <w:rFonts w:ascii="Verdana" w:hAnsi="Verdana"/>
                <w:sz w:val="18"/>
                <w:szCs w:val="18"/>
              </w:rPr>
              <w:t xml:space="preserve">n (zie ook Kamerstukken </w:t>
            </w:r>
            <w:r w:rsidRPr="0082026A">
              <w:rPr>
                <w:rFonts w:ascii="Verdana" w:hAnsi="Verdana"/>
                <w:sz w:val="18"/>
                <w:szCs w:val="18"/>
              </w:rPr>
              <w:t>21109, nr. 274</w:t>
            </w:r>
            <w:r>
              <w:rPr>
                <w:rFonts w:ascii="Verdana" w:hAnsi="Verdana"/>
                <w:sz w:val="18"/>
                <w:szCs w:val="18"/>
              </w:rPr>
              <w:t>)</w:t>
            </w:r>
            <w:r w:rsidRPr="0082026A">
              <w:rPr>
                <w:rFonts w:ascii="Verdana" w:hAnsi="Verdana"/>
                <w:sz w:val="18"/>
                <w:szCs w:val="18"/>
              </w:rPr>
              <w:br/>
            </w:r>
          </w:p>
        </w:tc>
      </w:tr>
      <w:tr w:rsidRPr="0082026A" w:rsidR="00686E88" w:rsidTr="00CE20D1" w14:paraId="6424CE62" w14:textId="77777777">
        <w:tc>
          <w:tcPr>
            <w:tcW w:w="0" w:type="auto"/>
          </w:tcPr>
          <w:p w:rsidRPr="0082026A" w:rsidR="00686E88" w:rsidP="00CE20D1" w:rsidRDefault="00686E88" w14:paraId="6D94B0DB" w14:textId="77777777">
            <w:pPr>
              <w:rPr>
                <w:rFonts w:ascii="Verdana" w:hAnsi="Verdana"/>
                <w:sz w:val="18"/>
                <w:szCs w:val="18"/>
              </w:rPr>
            </w:pPr>
            <w:r w:rsidRPr="0082026A">
              <w:rPr>
                <w:rFonts w:ascii="Verdana" w:hAnsi="Verdana"/>
                <w:sz w:val="18"/>
                <w:szCs w:val="18"/>
              </w:rPr>
              <w:t>62</w:t>
            </w:r>
          </w:p>
        </w:tc>
        <w:tc>
          <w:tcPr>
            <w:tcW w:w="0" w:type="auto"/>
            <w:gridSpan w:val="2"/>
          </w:tcPr>
          <w:p w:rsidRPr="0082026A" w:rsidR="00686E88" w:rsidP="00CE20D1" w:rsidRDefault="00686E88" w14:paraId="7C51AB47" w14:textId="2CACC4E5">
            <w:pPr>
              <w:rPr>
                <w:rFonts w:ascii="Verdana" w:hAnsi="Verdana"/>
                <w:sz w:val="18"/>
                <w:szCs w:val="18"/>
              </w:rPr>
            </w:pPr>
            <w:r w:rsidRPr="0082026A">
              <w:rPr>
                <w:rFonts w:ascii="Verdana" w:hAnsi="Verdana"/>
                <w:b/>
                <w:sz w:val="18"/>
                <w:szCs w:val="18"/>
              </w:rPr>
              <w:t>Vraag:</w:t>
            </w:r>
            <w:r w:rsidRPr="0082026A">
              <w:rPr>
                <w:rFonts w:ascii="Verdana" w:hAnsi="Verdana"/>
                <w:sz w:val="18"/>
                <w:szCs w:val="18"/>
              </w:rPr>
              <w:br/>
              <w:t>In hoeverre vindt u dat de Europese richtlijn Luchtkwaliteit aansluit bij de advieswaarden van de Wereldgezondheidsorganisatie (WHO) uit 2021?</w:t>
            </w:r>
            <w:r w:rsidRPr="0082026A">
              <w:rPr>
                <w:rFonts w:ascii="Verdana" w:hAnsi="Verdana"/>
                <w:sz w:val="18"/>
                <w:szCs w:val="18"/>
              </w:rPr>
              <w:br/>
            </w:r>
            <w:r w:rsidRPr="0082026A">
              <w:rPr>
                <w:rFonts w:ascii="Verdana" w:hAnsi="Verdana"/>
                <w:sz w:val="18"/>
                <w:szCs w:val="18"/>
              </w:rPr>
              <w:br/>
            </w:r>
            <w:r w:rsidRPr="0082026A">
              <w:rPr>
                <w:rFonts w:ascii="Verdana" w:hAnsi="Verdana"/>
                <w:b/>
                <w:sz w:val="18"/>
                <w:szCs w:val="18"/>
              </w:rPr>
              <w:t>Antwoord:</w:t>
            </w:r>
            <w:r w:rsidRPr="0082026A">
              <w:rPr>
                <w:rFonts w:ascii="Verdana" w:hAnsi="Verdana"/>
                <w:sz w:val="18"/>
                <w:szCs w:val="18"/>
              </w:rPr>
              <w:br/>
              <w:t>In 2024 is de richtlijn luchtkwaliteit herzien. Met deze herziening is de richtlijn luchtkwaliteit in lijn gebracht met de nieuwste advieswaarden van de WHO uit 2021. De in deze richtlijn afgesproken normen voor 2030 komen overeen met het door de WHO geadviseerde </w:t>
            </w:r>
            <w:r w:rsidRPr="0082026A">
              <w:rPr>
                <w:rFonts w:ascii="Verdana" w:hAnsi="Verdana"/>
                <w:i/>
                <w:sz w:val="18"/>
                <w:szCs w:val="18"/>
              </w:rPr>
              <w:t>interim target</w:t>
            </w:r>
            <w:r w:rsidRPr="0082026A">
              <w:rPr>
                <w:rFonts w:ascii="Verdana" w:hAnsi="Verdana"/>
                <w:sz w:val="18"/>
                <w:szCs w:val="18"/>
              </w:rPr>
              <w:t xml:space="preserve"> (tussendoel). </w:t>
            </w:r>
            <w:r w:rsidRPr="0082026A">
              <w:rPr>
                <w:rFonts w:ascii="Verdana" w:hAnsi="Verdana"/>
                <w:sz w:val="18"/>
                <w:szCs w:val="18"/>
              </w:rPr>
              <w:br/>
            </w:r>
          </w:p>
        </w:tc>
      </w:tr>
      <w:tr w:rsidRPr="0082026A" w:rsidR="00686E88" w:rsidTr="00CE20D1" w14:paraId="12FF4B72" w14:textId="77777777">
        <w:tc>
          <w:tcPr>
            <w:tcW w:w="0" w:type="auto"/>
          </w:tcPr>
          <w:p w:rsidRPr="0082026A" w:rsidR="00686E88" w:rsidP="00CE20D1" w:rsidRDefault="00686E88" w14:paraId="730E6EB9" w14:textId="77777777">
            <w:pPr>
              <w:rPr>
                <w:rFonts w:ascii="Verdana" w:hAnsi="Verdana"/>
                <w:sz w:val="18"/>
                <w:szCs w:val="18"/>
              </w:rPr>
            </w:pPr>
            <w:r w:rsidRPr="0082026A">
              <w:rPr>
                <w:rFonts w:ascii="Verdana" w:hAnsi="Verdana"/>
                <w:sz w:val="18"/>
                <w:szCs w:val="18"/>
              </w:rPr>
              <w:t>63</w:t>
            </w:r>
          </w:p>
        </w:tc>
        <w:tc>
          <w:tcPr>
            <w:tcW w:w="0" w:type="auto"/>
            <w:gridSpan w:val="2"/>
          </w:tcPr>
          <w:p w:rsidRPr="0082026A" w:rsidR="00686E88" w:rsidP="00CE20D1" w:rsidRDefault="00686E88" w14:paraId="0BBAA958" w14:textId="77777777">
            <w:pPr>
              <w:rPr>
                <w:rFonts w:ascii="Verdana" w:hAnsi="Verdana"/>
                <w:sz w:val="18"/>
                <w:szCs w:val="18"/>
              </w:rPr>
            </w:pPr>
            <w:r w:rsidRPr="0082026A">
              <w:rPr>
                <w:rFonts w:ascii="Verdana" w:hAnsi="Verdana"/>
                <w:b/>
                <w:sz w:val="18"/>
                <w:szCs w:val="18"/>
              </w:rPr>
              <w:t>Vraag:</w:t>
            </w:r>
            <w:r w:rsidRPr="0082026A">
              <w:rPr>
                <w:rFonts w:ascii="Verdana" w:hAnsi="Verdana"/>
                <w:sz w:val="18"/>
                <w:szCs w:val="18"/>
              </w:rPr>
              <w:br/>
              <w:t>Ziet u een rol voor organisaties, zoals het Longfonds, KWF Kankerbestrijding en Natuur &amp; Milieu, om te helpen bij het effectiever maken en behalen van de streefwaarden en doelstellingen omtrent luchtkwaliteit en de uitvoering van het Schone Lucht Akkoord?</w:t>
            </w:r>
            <w:r w:rsidRPr="0082026A">
              <w:rPr>
                <w:rFonts w:ascii="Verdana" w:hAnsi="Verdana"/>
                <w:sz w:val="18"/>
                <w:szCs w:val="18"/>
              </w:rPr>
              <w:br/>
            </w:r>
            <w:r w:rsidRPr="0082026A">
              <w:rPr>
                <w:rFonts w:ascii="Verdana" w:hAnsi="Verdana"/>
                <w:sz w:val="18"/>
                <w:szCs w:val="18"/>
              </w:rPr>
              <w:br/>
            </w:r>
            <w:r w:rsidRPr="0082026A">
              <w:rPr>
                <w:rFonts w:ascii="Verdana" w:hAnsi="Verdana"/>
                <w:b/>
                <w:sz w:val="18"/>
                <w:szCs w:val="18"/>
              </w:rPr>
              <w:t>Antwoord:</w:t>
            </w:r>
            <w:r w:rsidRPr="0082026A">
              <w:rPr>
                <w:rFonts w:ascii="Verdana" w:hAnsi="Verdana"/>
                <w:sz w:val="18"/>
                <w:szCs w:val="18"/>
              </w:rPr>
              <w:br/>
              <w:t>Ja, de genoemde organisaties hebben zeker een rol. Het ministerie van IenW heeft regelmatig contact met diverse maatschappelijke organisaties zoals het Longfonds, KWF Kankerbestrijding en Natuur en Milieu. Zij vervullen een waardevolle rol in bijvoorbeeld het informeren van de samenleving over het belang van schone lucht en het geven van praktische tips over wat burgers zelf kunnen doen. Ook vertegenwoordigen zij patiënten en/of stimuleren zij wetenschappelijk onderzoek. Hun kennis en adviezen kunnen worden ingebracht bij het maken van beleid ten aanzien van schone lucht, evenals de kennis en adviezen van bijvoorbeeld andere overheden en bedrijfsleven.</w:t>
            </w:r>
            <w:r w:rsidRPr="0082026A">
              <w:rPr>
                <w:rFonts w:ascii="Verdana" w:hAnsi="Verdana"/>
                <w:sz w:val="18"/>
                <w:szCs w:val="18"/>
              </w:rPr>
              <w:br/>
            </w:r>
          </w:p>
        </w:tc>
      </w:tr>
      <w:tr w:rsidRPr="0082026A" w:rsidR="00686E88" w:rsidTr="00CE20D1" w14:paraId="6C5C32CD" w14:textId="77777777">
        <w:tc>
          <w:tcPr>
            <w:tcW w:w="0" w:type="auto"/>
          </w:tcPr>
          <w:p w:rsidRPr="0082026A" w:rsidR="00686E88" w:rsidP="00CE20D1" w:rsidRDefault="00686E88" w14:paraId="66FE09E9" w14:textId="77777777">
            <w:pPr>
              <w:rPr>
                <w:rFonts w:ascii="Verdana" w:hAnsi="Verdana"/>
                <w:sz w:val="18"/>
                <w:szCs w:val="18"/>
              </w:rPr>
            </w:pPr>
            <w:r w:rsidRPr="0082026A">
              <w:rPr>
                <w:rFonts w:ascii="Verdana" w:hAnsi="Verdana"/>
                <w:sz w:val="18"/>
                <w:szCs w:val="18"/>
              </w:rPr>
              <w:t>64</w:t>
            </w:r>
          </w:p>
        </w:tc>
        <w:tc>
          <w:tcPr>
            <w:tcW w:w="0" w:type="auto"/>
            <w:gridSpan w:val="2"/>
          </w:tcPr>
          <w:p w:rsidR="00686E88" w:rsidP="00CE20D1" w:rsidRDefault="00686E88" w14:paraId="3ACF2402" w14:textId="77777777">
            <w:pPr>
              <w:rPr>
                <w:rFonts w:ascii="Verdana" w:hAnsi="Verdana"/>
                <w:sz w:val="18"/>
                <w:szCs w:val="18"/>
              </w:rPr>
            </w:pPr>
            <w:r w:rsidRPr="0082026A">
              <w:rPr>
                <w:rFonts w:ascii="Verdana" w:hAnsi="Verdana"/>
                <w:b/>
                <w:sz w:val="18"/>
                <w:szCs w:val="18"/>
              </w:rPr>
              <w:t>Vraag:</w:t>
            </w:r>
            <w:r w:rsidRPr="0082026A">
              <w:rPr>
                <w:rFonts w:ascii="Verdana" w:hAnsi="Verdana"/>
                <w:sz w:val="18"/>
                <w:szCs w:val="18"/>
              </w:rPr>
              <w:br/>
              <w:t>Welke stappen onderneemt u om de toelating van biologische gewasbeschermingsmiddelen te versnellen, gezien de knelpunten en vertragingen bij het College voor de toelating van gewasbeschermingsmiddelen en biociden (Ctgb) en de Europese toelatingsprocedures en de herziening van de biocidenverordening in 2026?</w:t>
            </w:r>
            <w:r w:rsidRPr="0082026A">
              <w:rPr>
                <w:rFonts w:ascii="Verdana" w:hAnsi="Verdana"/>
                <w:sz w:val="18"/>
                <w:szCs w:val="18"/>
              </w:rPr>
              <w:br/>
            </w:r>
            <w:r w:rsidRPr="0082026A">
              <w:rPr>
                <w:rFonts w:ascii="Verdana" w:hAnsi="Verdana"/>
                <w:sz w:val="18"/>
                <w:szCs w:val="18"/>
              </w:rPr>
              <w:br/>
            </w:r>
            <w:r w:rsidRPr="0082026A">
              <w:rPr>
                <w:rFonts w:ascii="Verdana" w:hAnsi="Verdana"/>
                <w:b/>
                <w:sz w:val="18"/>
                <w:szCs w:val="18"/>
              </w:rPr>
              <w:t>Antwoord:</w:t>
            </w:r>
            <w:r w:rsidRPr="0082026A">
              <w:rPr>
                <w:rFonts w:ascii="Verdana" w:hAnsi="Verdana"/>
                <w:sz w:val="18"/>
                <w:szCs w:val="18"/>
              </w:rPr>
              <w:br/>
              <w:t>Nederland zet zich, samen met het College voor de Toelating van Gewasbeschermingsmiddelen en biociden (Ctgb) in EU-verband in om draagvlak te verkrijgen voor een efficiëntere en meer passende beoordeling van biologische middelen, die beter aansluit bij de aard en kenmerken ervan. Dit heeft begin 2025 geleid tot een publicatie van een vernieuwende risicobeoordeling</w:t>
            </w:r>
            <w:r w:rsidRPr="00FD6B1D">
              <w:rPr>
                <w:rFonts w:ascii="Verdana" w:hAnsi="Verdana"/>
                <w:i/>
                <w:iCs/>
                <w:sz w:val="18"/>
                <w:szCs w:val="18"/>
              </w:rPr>
              <w:t>: “Using problem formulation for an efficient, fit-for-purpose risk assessment of microbial plant protection products”.</w:t>
            </w:r>
            <w:r w:rsidRPr="0082026A">
              <w:rPr>
                <w:rFonts w:ascii="Verdana" w:hAnsi="Verdana"/>
                <w:sz w:val="18"/>
                <w:szCs w:val="18"/>
              </w:rPr>
              <w:t xml:space="preserve"> </w:t>
            </w:r>
          </w:p>
          <w:p w:rsidR="00686E88" w:rsidP="00CE20D1" w:rsidRDefault="00686E88" w14:paraId="37A53DF0" w14:textId="77777777">
            <w:pPr>
              <w:rPr>
                <w:rFonts w:ascii="Verdana" w:hAnsi="Verdana"/>
                <w:sz w:val="18"/>
                <w:szCs w:val="18"/>
              </w:rPr>
            </w:pPr>
          </w:p>
          <w:p w:rsidRPr="0082026A" w:rsidR="00686E88" w:rsidP="00CE20D1" w:rsidRDefault="00686E88" w14:paraId="5945F887" w14:textId="77777777">
            <w:pPr>
              <w:rPr>
                <w:rFonts w:ascii="Verdana" w:hAnsi="Verdana"/>
                <w:sz w:val="18"/>
                <w:szCs w:val="18"/>
              </w:rPr>
            </w:pPr>
            <w:r w:rsidRPr="0082026A">
              <w:rPr>
                <w:rFonts w:ascii="Verdana" w:hAnsi="Verdana"/>
                <w:sz w:val="18"/>
                <w:szCs w:val="18"/>
              </w:rPr>
              <w:t>De Europese Commissie heeft aangekondigd dit najaar met een Omnibus</w:t>
            </w:r>
            <w:r>
              <w:rPr>
                <w:rFonts w:ascii="Verdana" w:hAnsi="Verdana"/>
                <w:sz w:val="18"/>
                <w:szCs w:val="18"/>
              </w:rPr>
              <w:t>-</w:t>
            </w:r>
            <w:r w:rsidRPr="0082026A">
              <w:rPr>
                <w:rFonts w:ascii="Verdana" w:hAnsi="Verdana"/>
                <w:sz w:val="18"/>
                <w:szCs w:val="18"/>
              </w:rPr>
              <w:t xml:space="preserve">wetsvoorstel te komen die onder meer moet voorzien in concrete wijzigingen van de Verordening Gewasbeschermingsmiddelen (EU) 1107/2009 om de beschikbaarheid van biologische gewasbeschermingsmiddelen te versnellen. Hiervoor heeft de Europese Commissie op 16 september jl. een zogeheten </w:t>
            </w:r>
            <w:r w:rsidRPr="00FD6B1D">
              <w:rPr>
                <w:rFonts w:ascii="Verdana" w:hAnsi="Verdana"/>
                <w:i/>
                <w:iCs/>
                <w:sz w:val="18"/>
                <w:szCs w:val="18"/>
              </w:rPr>
              <w:t>call for evidence</w:t>
            </w:r>
            <w:r w:rsidRPr="0082026A">
              <w:rPr>
                <w:rFonts w:ascii="Verdana" w:hAnsi="Verdana"/>
                <w:sz w:val="18"/>
                <w:szCs w:val="18"/>
              </w:rPr>
              <w:t xml:space="preserve"> gepubliceerd om input te ontvangen van belanghebbenden op gewenste vereenvoudiging, verduidelijking en modernisering. Ook Nederland heeft input geleverd. De minister van LVVN stuurt </w:t>
            </w:r>
            <w:r>
              <w:rPr>
                <w:rFonts w:ascii="Verdana" w:hAnsi="Verdana"/>
                <w:sz w:val="18"/>
                <w:szCs w:val="18"/>
              </w:rPr>
              <w:t>de Kamer</w:t>
            </w:r>
            <w:r w:rsidRPr="0082026A">
              <w:rPr>
                <w:rFonts w:ascii="Verdana" w:hAnsi="Verdana"/>
                <w:sz w:val="18"/>
                <w:szCs w:val="18"/>
              </w:rPr>
              <w:t xml:space="preserve"> de volledige reactie op de call for evidence toe. Eén van de punten die Nederland voorstelt voor gewasbeschermingsmiddelen is om binnen de EU één zone aan te houden voor de toelating van producten die werkzame stoffen of microbiële stoffen met een laag risico bevatten. Nederland blijft actief bijdragen aan dit traject.</w:t>
            </w:r>
            <w:r w:rsidRPr="0082026A">
              <w:rPr>
                <w:rFonts w:ascii="Verdana" w:hAnsi="Verdana"/>
                <w:sz w:val="18"/>
                <w:szCs w:val="18"/>
              </w:rPr>
              <w:br/>
              <w:t> </w:t>
            </w:r>
            <w:r w:rsidRPr="0082026A">
              <w:rPr>
                <w:rFonts w:ascii="Verdana" w:hAnsi="Verdana"/>
                <w:sz w:val="18"/>
                <w:szCs w:val="18"/>
              </w:rPr>
              <w:br/>
              <w:t xml:space="preserve">Daarnaast heeft de Europese Commissie aangekondigd aan het eind van 2025 een evaluatie van het functioneren van de Biocidenverordening te starten met een publieke raadgeving. Het kabinet bereidt zich al voor op deze evaluatie. Het zal in lijn met het strategisch kader biociden </w:t>
            </w:r>
            <w:r>
              <w:rPr>
                <w:rFonts w:ascii="Verdana" w:hAnsi="Verdana"/>
                <w:sz w:val="18"/>
                <w:szCs w:val="18"/>
              </w:rPr>
              <w:t xml:space="preserve">(Kamerstukken 27 858, nr. 637) </w:t>
            </w:r>
            <w:r w:rsidRPr="0082026A">
              <w:rPr>
                <w:rFonts w:ascii="Verdana" w:hAnsi="Verdana"/>
                <w:sz w:val="18"/>
                <w:szCs w:val="18"/>
              </w:rPr>
              <w:t>op de aangekondigde publieke raadpleging reageren. Daarbij zal het de knelpunten en vertragingen in het Europese toelatingssysteem aankaarten en aandringen op verbetering, vereenvoudiging en versnelling van de wetgeving zonder dat dit ten koste gaat van de beschermdoelen van deze verordening.</w:t>
            </w:r>
            <w:r w:rsidRPr="0082026A">
              <w:rPr>
                <w:rFonts w:ascii="Verdana" w:hAnsi="Verdana"/>
                <w:sz w:val="18"/>
                <w:szCs w:val="18"/>
              </w:rPr>
              <w:br/>
            </w:r>
          </w:p>
        </w:tc>
      </w:tr>
      <w:tr w:rsidRPr="0082026A" w:rsidR="00686E88" w:rsidTr="00CE20D1" w14:paraId="11E04BE8" w14:textId="77777777">
        <w:tc>
          <w:tcPr>
            <w:tcW w:w="0" w:type="auto"/>
          </w:tcPr>
          <w:p w:rsidRPr="0082026A" w:rsidR="00686E88" w:rsidP="00CE20D1" w:rsidRDefault="00686E88" w14:paraId="2815C18F" w14:textId="77777777">
            <w:pPr>
              <w:rPr>
                <w:rFonts w:ascii="Verdana" w:hAnsi="Verdana"/>
                <w:sz w:val="18"/>
                <w:szCs w:val="18"/>
              </w:rPr>
            </w:pPr>
            <w:r w:rsidRPr="0082026A">
              <w:rPr>
                <w:rFonts w:ascii="Verdana" w:hAnsi="Verdana"/>
                <w:sz w:val="18"/>
                <w:szCs w:val="18"/>
              </w:rPr>
              <w:t>65</w:t>
            </w:r>
          </w:p>
        </w:tc>
        <w:tc>
          <w:tcPr>
            <w:tcW w:w="0" w:type="auto"/>
            <w:gridSpan w:val="2"/>
          </w:tcPr>
          <w:p w:rsidRPr="0082026A" w:rsidR="00686E88" w:rsidP="00CE20D1" w:rsidRDefault="00686E88" w14:paraId="65AF51C1" w14:textId="77777777">
            <w:pPr>
              <w:rPr>
                <w:rFonts w:ascii="Verdana" w:hAnsi="Verdana"/>
                <w:sz w:val="18"/>
                <w:szCs w:val="18"/>
              </w:rPr>
            </w:pPr>
            <w:r w:rsidRPr="0082026A">
              <w:rPr>
                <w:rFonts w:ascii="Verdana" w:hAnsi="Verdana"/>
                <w:b/>
                <w:sz w:val="18"/>
                <w:szCs w:val="18"/>
              </w:rPr>
              <w:t>Vraag:</w:t>
            </w:r>
            <w:r w:rsidRPr="0082026A">
              <w:rPr>
                <w:rFonts w:ascii="Verdana" w:hAnsi="Verdana"/>
                <w:sz w:val="18"/>
                <w:szCs w:val="18"/>
              </w:rPr>
              <w:br/>
              <w:t>Is de huidige capaciteit bij de vergunningverlenende instanties (zoals RIVM/Bureau GGO en COGEM) voldoende om de aantallen aanvragen, zoals weergegeven in tabel 97 tijdig te verwerken? Wordt er rekening gehouden met een mogelijke toename van aanvragen door nieuwe Europese regelgeving (zoals de Biotech Act of NGT-wetgeving)?</w:t>
            </w:r>
            <w:r w:rsidRPr="0082026A">
              <w:rPr>
                <w:rFonts w:ascii="Verdana" w:hAnsi="Verdana"/>
                <w:sz w:val="18"/>
                <w:szCs w:val="18"/>
              </w:rPr>
              <w:br/>
            </w:r>
            <w:r w:rsidRPr="0082026A">
              <w:rPr>
                <w:rFonts w:ascii="Verdana" w:hAnsi="Verdana"/>
                <w:sz w:val="18"/>
                <w:szCs w:val="18"/>
              </w:rPr>
              <w:br/>
            </w:r>
            <w:r w:rsidRPr="0082026A">
              <w:rPr>
                <w:rFonts w:ascii="Verdana" w:hAnsi="Verdana"/>
                <w:b/>
                <w:sz w:val="18"/>
                <w:szCs w:val="18"/>
              </w:rPr>
              <w:t>Antwoord:</w:t>
            </w:r>
            <w:r w:rsidRPr="0082026A">
              <w:rPr>
                <w:rFonts w:ascii="Verdana" w:hAnsi="Verdana"/>
                <w:sz w:val="18"/>
                <w:szCs w:val="18"/>
              </w:rPr>
              <w:br/>
              <w:t>Op dit moment is het met de huidige capaciteit van de betrokken instanties bij de ggo-vergunningverlening in nagenoeg alle gevallen mogelijk om de aanvragen tijdig te verwerken. Om de beschikbare capaciteit bij deze instanties en bij de aanvragers zo efficiënt mogelijk in te zetten, zijn er de afgelopen jaren onder andere mogelijkheden geïntroduceerd om bredere aanvragen in te kunnen dienen en is het proces van indienen en behandelen van de aanvragen, inclusief de introductie van een nieuw ICT-systeem dat dit ondersteunt, verder geoptimaliseerd. Daarbij zien de betrokken organisaties dat de complexiteit van de aanvragen toeneemt, wat de beoordeling intensiever maakt.</w:t>
            </w:r>
            <w:r w:rsidRPr="0082026A">
              <w:rPr>
                <w:rFonts w:ascii="Verdana" w:hAnsi="Verdana"/>
                <w:sz w:val="18"/>
                <w:szCs w:val="18"/>
              </w:rPr>
              <w:br/>
              <w:t> </w:t>
            </w:r>
            <w:r w:rsidRPr="0082026A">
              <w:rPr>
                <w:rFonts w:ascii="Verdana" w:hAnsi="Verdana"/>
                <w:sz w:val="18"/>
                <w:szCs w:val="18"/>
              </w:rPr>
              <w:br/>
              <w:t>Het is lastig om op dit moment</w:t>
            </w:r>
            <w:r w:rsidRPr="0082026A">
              <w:rPr>
                <w:rFonts w:ascii="Verdana" w:hAnsi="Verdana"/>
                <w:b/>
                <w:sz w:val="18"/>
                <w:szCs w:val="18"/>
              </w:rPr>
              <w:t> </w:t>
            </w:r>
            <w:r w:rsidRPr="0082026A">
              <w:rPr>
                <w:rFonts w:ascii="Verdana" w:hAnsi="Verdana"/>
                <w:sz w:val="18"/>
                <w:szCs w:val="18"/>
              </w:rPr>
              <w:t>te voorspellen wanneer de aangekondigde (deels overkoepelende) nieuwe Europese regelgeving exact in werking treedt en welke invloed dit heeft op het aantal en de complexiteit van de aanvragen. Het ministerie van Infrastructuur en Waterstaat bereidt zich, in samenwerking met de andere betrokken ministeries, hierop voor door bij relevante Europese overleggen aan te sluiten en het Nederlandse standpunt te behartigen. Naast de inhoudelijke inzet op het borgen van milieuveiligheid in nieuwe Europese regelgeving, is de inzet óók om procedures zo efficiënt mogelijk in te richten, zowel voor de aanvragers als voor de vergunningverlenende instanties.</w:t>
            </w:r>
            <w:r w:rsidRPr="0082026A">
              <w:rPr>
                <w:rFonts w:ascii="Verdana" w:hAnsi="Verdana"/>
                <w:sz w:val="18"/>
                <w:szCs w:val="18"/>
              </w:rPr>
              <w:br/>
            </w:r>
          </w:p>
        </w:tc>
      </w:tr>
      <w:tr w:rsidRPr="0082026A" w:rsidR="00686E88" w:rsidTr="00CE20D1" w14:paraId="10BD2DE4" w14:textId="77777777">
        <w:tc>
          <w:tcPr>
            <w:tcW w:w="0" w:type="auto"/>
          </w:tcPr>
          <w:p w:rsidRPr="0082026A" w:rsidR="00686E88" w:rsidP="00CE20D1" w:rsidRDefault="00686E88" w14:paraId="64CCC13F" w14:textId="77777777">
            <w:pPr>
              <w:rPr>
                <w:rFonts w:ascii="Verdana" w:hAnsi="Verdana"/>
                <w:sz w:val="18"/>
                <w:szCs w:val="18"/>
              </w:rPr>
            </w:pPr>
            <w:r w:rsidRPr="0082026A">
              <w:rPr>
                <w:rFonts w:ascii="Verdana" w:hAnsi="Verdana"/>
                <w:sz w:val="18"/>
                <w:szCs w:val="18"/>
              </w:rPr>
              <w:t>66</w:t>
            </w:r>
          </w:p>
        </w:tc>
        <w:tc>
          <w:tcPr>
            <w:tcW w:w="0" w:type="auto"/>
            <w:gridSpan w:val="2"/>
          </w:tcPr>
          <w:p w:rsidRPr="0082026A" w:rsidR="00686E88" w:rsidP="00CE20D1" w:rsidRDefault="00686E88" w14:paraId="1E1E700C" w14:textId="77777777">
            <w:pPr>
              <w:rPr>
                <w:rFonts w:ascii="Verdana" w:hAnsi="Verdana"/>
                <w:sz w:val="18"/>
                <w:szCs w:val="18"/>
              </w:rPr>
            </w:pPr>
            <w:r w:rsidRPr="0082026A">
              <w:rPr>
                <w:rFonts w:ascii="Verdana" w:hAnsi="Verdana"/>
                <w:b/>
                <w:sz w:val="18"/>
                <w:szCs w:val="18"/>
              </w:rPr>
              <w:t>Vraag:</w:t>
            </w:r>
            <w:r w:rsidRPr="0082026A">
              <w:rPr>
                <w:rFonts w:ascii="Verdana" w:hAnsi="Verdana"/>
                <w:sz w:val="18"/>
                <w:szCs w:val="18"/>
              </w:rPr>
              <w:br/>
              <w:t>Welk deel van de apparaatsuitgaven van het ministerie heeft betrekking op apparaatskosten voor infrastructurele ontsluiting van woningbouw? Is de meerjarenraming hiervan in de afgelopen maanden ineens significant gestegen en, zo ja, waarom?</w:t>
            </w:r>
            <w:r w:rsidRPr="0082026A">
              <w:rPr>
                <w:rFonts w:ascii="Verdana" w:hAnsi="Verdana"/>
                <w:sz w:val="18"/>
                <w:szCs w:val="18"/>
              </w:rPr>
              <w:br/>
            </w:r>
            <w:r w:rsidRPr="0082026A">
              <w:rPr>
                <w:rFonts w:ascii="Verdana" w:hAnsi="Verdana"/>
                <w:sz w:val="18"/>
                <w:szCs w:val="18"/>
              </w:rPr>
              <w:br/>
            </w:r>
            <w:r w:rsidRPr="0082026A">
              <w:rPr>
                <w:rFonts w:ascii="Verdana" w:hAnsi="Verdana"/>
                <w:b/>
                <w:sz w:val="18"/>
                <w:szCs w:val="18"/>
              </w:rPr>
              <w:t>Antwoord:</w:t>
            </w:r>
            <w:r w:rsidRPr="0082026A">
              <w:rPr>
                <w:rFonts w:ascii="Verdana" w:hAnsi="Verdana"/>
                <w:sz w:val="18"/>
                <w:szCs w:val="18"/>
              </w:rPr>
              <w:br/>
              <w:t>De met het programma Woningbouw en Mobiliteit beoogde resultaten vragen de nodige inzet. Het is van belang dat gemeenten ondersteund worden en dat de juiste randvoorwaarden voor succesvolle uitvoering van het programma worden gecreëerd. Daarnaast is het van belang om grip te hebben en houden op de uitvoering van een belangrijk en omvangrijk programma als dat van Woningbouw en Mobiliteit. Onder deze uitvoerings- en beheersingskosten vallen kosten zoals ondersteuning van gemeenten, bijvoorbeeld door de inzet van experts bij knelpunten; inzet van RWS en ProRail; monitoring van voortgang en uitkomsten; inzet van specialisten op juridisch-, financieel-, woningbouw- en mobiliteitsterrein; kosten voor rapportage, onderzoek, informeren en kennisuitwisseling; (tussentijdse) evaluatie en de kosten van het programmateam. Voor de kosten tot en met 2040 is 4% van het budget van € 2,5 miljard gereserveerd (i.c. 100 miljoen). De apparaatskosten voor de infrastructurele ontsluiting van woningbouw zijn niet structureel en daarom niet goed te vergelijken met de structurele apparaatskosten van het ministerie.</w:t>
            </w:r>
            <w:r w:rsidRPr="0082026A">
              <w:rPr>
                <w:rFonts w:ascii="Verdana" w:hAnsi="Verdana"/>
                <w:sz w:val="18"/>
                <w:szCs w:val="18"/>
              </w:rPr>
              <w:br/>
            </w:r>
            <w:r w:rsidRPr="0082026A">
              <w:rPr>
                <w:rFonts w:ascii="Verdana" w:hAnsi="Verdana"/>
                <w:sz w:val="18"/>
                <w:szCs w:val="18"/>
              </w:rPr>
              <w:br/>
              <w:t>Zie ook het antwoord op vraag 9 bij de ontwerpbegroting 2026 van het Mobiliteitsfonds.</w:t>
            </w:r>
            <w:r w:rsidRPr="0082026A">
              <w:rPr>
                <w:rFonts w:ascii="Verdana" w:hAnsi="Verdana"/>
                <w:sz w:val="18"/>
                <w:szCs w:val="18"/>
              </w:rPr>
              <w:br/>
            </w:r>
          </w:p>
        </w:tc>
      </w:tr>
      <w:tr w:rsidRPr="0082026A" w:rsidR="00686E88" w:rsidTr="00CE20D1" w14:paraId="16E03583" w14:textId="77777777">
        <w:tc>
          <w:tcPr>
            <w:tcW w:w="0" w:type="auto"/>
          </w:tcPr>
          <w:p w:rsidRPr="0082026A" w:rsidR="00686E88" w:rsidP="00CE20D1" w:rsidRDefault="00686E88" w14:paraId="449639C7" w14:textId="77777777">
            <w:pPr>
              <w:rPr>
                <w:rFonts w:ascii="Verdana" w:hAnsi="Verdana"/>
                <w:sz w:val="18"/>
                <w:szCs w:val="18"/>
              </w:rPr>
            </w:pPr>
            <w:r w:rsidRPr="0082026A">
              <w:rPr>
                <w:rFonts w:ascii="Verdana" w:hAnsi="Verdana"/>
                <w:sz w:val="18"/>
                <w:szCs w:val="18"/>
              </w:rPr>
              <w:t>67</w:t>
            </w:r>
          </w:p>
        </w:tc>
        <w:tc>
          <w:tcPr>
            <w:tcW w:w="0" w:type="auto"/>
            <w:gridSpan w:val="2"/>
          </w:tcPr>
          <w:p w:rsidRPr="0082026A" w:rsidR="00686E88" w:rsidP="00CE20D1" w:rsidRDefault="00686E88" w14:paraId="523358BD" w14:textId="77777777">
            <w:pPr>
              <w:rPr>
                <w:rFonts w:ascii="Verdana" w:hAnsi="Verdana"/>
                <w:sz w:val="18"/>
                <w:szCs w:val="18"/>
              </w:rPr>
            </w:pPr>
            <w:r w:rsidRPr="0082026A">
              <w:rPr>
                <w:rFonts w:ascii="Verdana" w:hAnsi="Verdana"/>
                <w:b/>
                <w:sz w:val="18"/>
                <w:szCs w:val="18"/>
              </w:rPr>
              <w:t>Vraag:</w:t>
            </w:r>
            <w:r w:rsidRPr="0082026A">
              <w:rPr>
                <w:rFonts w:ascii="Verdana" w:hAnsi="Verdana"/>
                <w:sz w:val="18"/>
                <w:szCs w:val="18"/>
              </w:rPr>
              <w:br/>
              <w:t>Kan worden aangegeven op welke (sub)artikelen in welke jaren de bedragen die gemoeid zijn met zijn met een overboeking naar de beleidsbegroting HXII vanuit de Reservering Woningbouwmiddelen à 100 miljoen euro in de jaren 2025-2031, bedoeld voor de apparaatskosten voor woningbouw, terug te vinden zijn in de IenW-begroting, voor de dekking van welke apparaatskosten deze bestemd zijn, en op welk moment het inzicht is ontstaan dat deze (extra) apparaatskosten bestaan (zie ook blz. 79 in de memorie van toelichting bij de begroting 2026 van het Mobiliteitsfonds)?</w:t>
            </w:r>
            <w:r w:rsidRPr="0082026A">
              <w:rPr>
                <w:rFonts w:ascii="Verdana" w:hAnsi="Verdana"/>
                <w:sz w:val="18"/>
                <w:szCs w:val="18"/>
              </w:rPr>
              <w:br/>
            </w:r>
            <w:r w:rsidRPr="0082026A">
              <w:rPr>
                <w:rFonts w:ascii="Verdana" w:hAnsi="Verdana"/>
                <w:sz w:val="18"/>
                <w:szCs w:val="18"/>
              </w:rPr>
              <w:br/>
            </w:r>
            <w:r w:rsidRPr="0082026A">
              <w:rPr>
                <w:rFonts w:ascii="Verdana" w:hAnsi="Verdana"/>
                <w:b/>
                <w:sz w:val="18"/>
                <w:szCs w:val="18"/>
              </w:rPr>
              <w:t>Antwoord:</w:t>
            </w:r>
            <w:r w:rsidRPr="0082026A">
              <w:rPr>
                <w:rFonts w:ascii="Verdana" w:hAnsi="Verdana"/>
                <w:sz w:val="18"/>
                <w:szCs w:val="18"/>
              </w:rPr>
              <w:br/>
              <w:t>Deze middelen zijn onder de jaren 2025-2031 opgenomen onder artikel 98.1 van de IenW-begroting (XII), zoals nader toegelicht onder vraag 66.</w:t>
            </w:r>
            <w:r w:rsidRPr="0082026A">
              <w:rPr>
                <w:rFonts w:ascii="Verdana" w:hAnsi="Verdana"/>
                <w:sz w:val="18"/>
                <w:szCs w:val="18"/>
              </w:rPr>
              <w:br/>
              <w:t>Deze middelen waren al in beeld bij het door middel van een bestedingsplan opvragen van de middelen uit het Hoofdlijnenakkoord vanaf de Aanvullende Post van het ministerie van Financiën. Zie ook het antwoord op vraag 9 bij de ontwerpbegroting 2026 van het Mobiliteitsfonds.</w:t>
            </w:r>
            <w:r w:rsidRPr="0082026A">
              <w:rPr>
                <w:rFonts w:ascii="Verdana" w:hAnsi="Verdana"/>
                <w:sz w:val="18"/>
                <w:szCs w:val="18"/>
              </w:rPr>
              <w:br/>
            </w:r>
          </w:p>
        </w:tc>
      </w:tr>
      <w:tr w:rsidRPr="0082026A" w:rsidR="00686E88" w:rsidTr="00CE20D1" w14:paraId="673D1020" w14:textId="77777777">
        <w:tc>
          <w:tcPr>
            <w:tcW w:w="0" w:type="auto"/>
          </w:tcPr>
          <w:p w:rsidRPr="0082026A" w:rsidR="00686E88" w:rsidP="00CE20D1" w:rsidRDefault="00686E88" w14:paraId="327196D1" w14:textId="77777777">
            <w:pPr>
              <w:rPr>
                <w:rFonts w:ascii="Verdana" w:hAnsi="Verdana"/>
                <w:sz w:val="18"/>
                <w:szCs w:val="18"/>
              </w:rPr>
            </w:pPr>
            <w:r w:rsidRPr="0082026A">
              <w:rPr>
                <w:rFonts w:ascii="Verdana" w:hAnsi="Verdana"/>
                <w:sz w:val="18"/>
                <w:szCs w:val="18"/>
              </w:rPr>
              <w:t>68</w:t>
            </w:r>
          </w:p>
        </w:tc>
        <w:tc>
          <w:tcPr>
            <w:tcW w:w="0" w:type="auto"/>
            <w:gridSpan w:val="2"/>
          </w:tcPr>
          <w:p w:rsidRPr="0082026A" w:rsidR="00686E88" w:rsidP="00CE20D1" w:rsidRDefault="00686E88" w14:paraId="4AB39A8E" w14:textId="77777777">
            <w:pPr>
              <w:rPr>
                <w:rFonts w:ascii="Verdana" w:hAnsi="Verdana"/>
                <w:sz w:val="18"/>
                <w:szCs w:val="18"/>
              </w:rPr>
            </w:pPr>
            <w:r w:rsidRPr="0082026A">
              <w:rPr>
                <w:rFonts w:ascii="Verdana" w:hAnsi="Verdana"/>
                <w:b/>
                <w:sz w:val="18"/>
                <w:szCs w:val="18"/>
              </w:rPr>
              <w:t>Vraag:</w:t>
            </w:r>
            <w:r w:rsidRPr="0082026A">
              <w:rPr>
                <w:rFonts w:ascii="Verdana" w:hAnsi="Verdana"/>
                <w:sz w:val="18"/>
                <w:szCs w:val="18"/>
              </w:rPr>
              <w:br/>
              <w:t>Welke specifieke uitkeringen (SPUK’s) die van belang zijn voor de infrastructurele ontsluiting van woningbouw zijn niet structureel, welke daarvan lopen ergens in de jaren 2026 t/m 2030 af, wat zijn de consequenties hiervan (hoeveel budget valt er weg en wat kan daardoor niet meer gerealiseerd worden?) en wat zijn in die gevallen de vooruitzichten en eventuele plannen of alternatieven?</w:t>
            </w:r>
            <w:r w:rsidRPr="0082026A">
              <w:rPr>
                <w:rFonts w:ascii="Verdana" w:hAnsi="Verdana"/>
                <w:sz w:val="18"/>
                <w:szCs w:val="18"/>
              </w:rPr>
              <w:br/>
            </w:r>
            <w:r w:rsidRPr="0082026A">
              <w:rPr>
                <w:rFonts w:ascii="Verdana" w:hAnsi="Verdana"/>
                <w:sz w:val="18"/>
                <w:szCs w:val="18"/>
              </w:rPr>
              <w:br/>
            </w:r>
            <w:r w:rsidRPr="0082026A">
              <w:rPr>
                <w:rFonts w:ascii="Verdana" w:hAnsi="Verdana"/>
                <w:b/>
                <w:sz w:val="18"/>
                <w:szCs w:val="18"/>
              </w:rPr>
              <w:t>Antwoord:</w:t>
            </w:r>
            <w:r w:rsidRPr="0082026A">
              <w:rPr>
                <w:rFonts w:ascii="Verdana" w:hAnsi="Verdana"/>
                <w:sz w:val="18"/>
                <w:szCs w:val="18"/>
              </w:rPr>
              <w:br/>
              <w:t>Geen van de specifieke uitkeringen onder het programma Woningbouw en Mobiliteit is structureel.</w:t>
            </w:r>
            <w:r w:rsidRPr="0082026A">
              <w:rPr>
                <w:rFonts w:ascii="Verdana" w:hAnsi="Verdana"/>
                <w:sz w:val="18"/>
                <w:szCs w:val="18"/>
              </w:rPr>
              <w:br/>
              <w:t>De looptijd van alle SPUK’s onder de regeling 'specifieke uitkering woningbouw op korte termijn' en onder de tijdelijke regeling 'specifieke uitkering mobiliteitspakketten' is tenminste tot en met 2035. Dat is het jaar wanneer de realisatie van alle infrastructurele voorzieningen en mobiliteitsmaatregelen dient te zijn afgerond.</w:t>
            </w:r>
            <w:r w:rsidRPr="0082026A">
              <w:rPr>
                <w:rFonts w:ascii="Verdana" w:hAnsi="Verdana"/>
                <w:sz w:val="18"/>
                <w:szCs w:val="18"/>
              </w:rPr>
              <w:br/>
              <w:t>Het grootste deel van de middelen is reeds aan de gemeenten bevoorschot. Eind 2028 zullen ook de laatste termijnbedragen met voorschotten aan gemeenten zijn overgemaakt.</w:t>
            </w:r>
            <w:r w:rsidRPr="0082026A">
              <w:rPr>
                <w:rFonts w:ascii="Verdana" w:hAnsi="Verdana"/>
                <w:sz w:val="18"/>
                <w:szCs w:val="18"/>
              </w:rPr>
              <w:br/>
            </w:r>
          </w:p>
        </w:tc>
      </w:tr>
    </w:tbl>
    <w:p w:rsidR="00686E88" w:rsidP="00686E88" w:rsidRDefault="00686E88" w14:paraId="2CA093F6" w14:textId="77777777">
      <w:pPr>
        <w:rPr>
          <w:rFonts w:ascii="Verdana" w:hAnsi="Verdana"/>
          <w:sz w:val="18"/>
          <w:szCs w:val="18"/>
        </w:rPr>
      </w:pPr>
    </w:p>
    <w:p w:rsidR="00686E88" w:rsidP="00686E88" w:rsidRDefault="00686E88" w14:paraId="27591345" w14:textId="77777777">
      <w:pPr>
        <w:rPr>
          <w:rFonts w:ascii="Verdana" w:hAnsi="Verdana"/>
          <w:sz w:val="18"/>
          <w:szCs w:val="18"/>
        </w:rPr>
      </w:pPr>
      <w:r>
        <w:rPr>
          <w:rFonts w:ascii="Verdana" w:hAnsi="Verdana"/>
          <w:sz w:val="18"/>
          <w:szCs w:val="18"/>
        </w:rPr>
        <w:br w:type="page"/>
      </w:r>
    </w:p>
    <w:p w:rsidR="00686E88" w:rsidP="00686E88" w:rsidRDefault="00686E88" w14:paraId="1F44FBCF" w14:textId="77777777">
      <w:pPr>
        <w:rPr>
          <w:rFonts w:ascii="Verdana" w:hAnsi="Verdana"/>
          <w:b/>
          <w:bCs/>
          <w:sz w:val="18"/>
          <w:szCs w:val="18"/>
        </w:rPr>
      </w:pPr>
      <w:r>
        <w:rPr>
          <w:rFonts w:ascii="Verdana" w:hAnsi="Verdana"/>
          <w:b/>
          <w:bCs/>
          <w:sz w:val="18"/>
          <w:szCs w:val="18"/>
        </w:rPr>
        <w:t xml:space="preserve">Bijlage </w:t>
      </w:r>
    </w:p>
    <w:p w:rsidRPr="00D44BE3" w:rsidR="00686E88" w:rsidP="00686E88" w:rsidRDefault="00686E88" w14:paraId="347D0174" w14:textId="77777777">
      <w:pPr>
        <w:rPr>
          <w:rFonts w:ascii="Verdana" w:hAnsi="Verdana"/>
          <w:b/>
          <w:bCs/>
          <w:sz w:val="18"/>
          <w:szCs w:val="18"/>
        </w:rPr>
      </w:pPr>
      <w:r w:rsidRPr="00D44BE3">
        <w:rPr>
          <w:rFonts w:ascii="Verdana" w:hAnsi="Verdana"/>
          <w:b/>
          <w:bCs/>
          <w:sz w:val="18"/>
          <w:szCs w:val="18"/>
        </w:rPr>
        <w:t>Tabel</w:t>
      </w:r>
      <w:r>
        <w:rPr>
          <w:rFonts w:ascii="Verdana" w:hAnsi="Verdana"/>
          <w:b/>
          <w:bCs/>
          <w:sz w:val="18"/>
          <w:szCs w:val="18"/>
        </w:rPr>
        <w:t xml:space="preserve"> 1 - behorend</w:t>
      </w:r>
      <w:r w:rsidRPr="00D44BE3">
        <w:rPr>
          <w:rFonts w:ascii="Verdana" w:hAnsi="Verdana"/>
          <w:b/>
          <w:bCs/>
          <w:sz w:val="18"/>
          <w:szCs w:val="18"/>
        </w:rPr>
        <w:t xml:space="preserve"> bij </w:t>
      </w:r>
      <w:r>
        <w:rPr>
          <w:rFonts w:ascii="Verdana" w:hAnsi="Verdana"/>
          <w:b/>
          <w:bCs/>
          <w:sz w:val="18"/>
          <w:szCs w:val="18"/>
        </w:rPr>
        <w:t>v</w:t>
      </w:r>
      <w:r w:rsidRPr="00D44BE3">
        <w:rPr>
          <w:rFonts w:ascii="Verdana" w:hAnsi="Verdana"/>
          <w:b/>
          <w:bCs/>
          <w:sz w:val="18"/>
          <w:szCs w:val="18"/>
        </w:rPr>
        <w:t>raag 1</w:t>
      </w:r>
    </w:p>
    <w:p w:rsidRPr="00D44BE3" w:rsidR="00686E88" w:rsidP="00686E88" w:rsidRDefault="00686E88" w14:paraId="3AAD7D08" w14:textId="77777777">
      <w:pPr>
        <w:rPr>
          <w:rFonts w:ascii="Verdana" w:hAnsi="Verdana"/>
          <w:sz w:val="18"/>
          <w:szCs w:val="18"/>
        </w:rPr>
      </w:pPr>
      <w:bookmarkStart w:name="_Hlk210819735" w:id="1"/>
      <w:bookmarkStart w:name="_Hlk210813302" w:id="2"/>
      <w:r w:rsidRPr="00D44BE3">
        <w:rPr>
          <w:rFonts w:ascii="Verdana" w:hAnsi="Verdana"/>
          <w:sz w:val="18"/>
          <w:szCs w:val="18"/>
        </w:rPr>
        <w:t xml:space="preserve">De bezuiniging op apparaatslasten vanuit het regeerprogramma voor </w:t>
      </w:r>
      <w:bookmarkEnd w:id="1"/>
      <w:r w:rsidRPr="00D44BE3">
        <w:rPr>
          <w:rFonts w:ascii="Verdana" w:hAnsi="Verdana"/>
          <w:sz w:val="18"/>
          <w:szCs w:val="18"/>
        </w:rPr>
        <w:t>hoofdstuk XII slaat neer op de volgende organisatieonderdelen:</w:t>
      </w:r>
    </w:p>
    <w:tbl>
      <w:tblPr>
        <w:tblStyle w:val="TableGrid"/>
        <w:tblW w:w="9384" w:type="dxa"/>
        <w:tblInd w:w="-5" w:type="dxa"/>
        <w:tblLook w:val="04A0" w:firstRow="1" w:lastRow="0" w:firstColumn="1" w:lastColumn="0" w:noHBand="0" w:noVBand="1"/>
      </w:tblPr>
      <w:tblGrid>
        <w:gridCol w:w="2166"/>
        <w:gridCol w:w="1740"/>
        <w:gridCol w:w="1623"/>
        <w:gridCol w:w="2789"/>
        <w:gridCol w:w="1066"/>
      </w:tblGrid>
      <w:tr w:rsidRPr="00D44BE3" w:rsidR="00686E88" w:rsidTr="00CE20D1" w14:paraId="0A84590A" w14:textId="77777777">
        <w:trPr>
          <w:trHeight w:val="232"/>
        </w:trPr>
        <w:tc>
          <w:tcPr>
            <w:tcW w:w="2166" w:type="dxa"/>
            <w:tcBorders>
              <w:top w:val="single" w:color="auto" w:sz="4" w:space="0"/>
              <w:left w:val="single" w:color="auto" w:sz="4" w:space="0"/>
              <w:bottom w:val="single" w:color="auto" w:sz="4" w:space="0"/>
              <w:right w:val="single" w:color="auto" w:sz="4" w:space="0"/>
            </w:tcBorders>
            <w:noWrap/>
            <w:hideMark/>
          </w:tcPr>
          <w:bookmarkEnd w:id="2"/>
          <w:p w:rsidRPr="00D44BE3" w:rsidR="00686E88" w:rsidP="00CE20D1" w:rsidRDefault="00686E88" w14:paraId="2CA27718" w14:textId="77777777">
            <w:pPr>
              <w:spacing w:after="160" w:line="278" w:lineRule="auto"/>
              <w:rPr>
                <w:rFonts w:ascii="Verdana" w:hAnsi="Verdana"/>
                <w:b/>
                <w:bCs/>
                <w:sz w:val="18"/>
                <w:szCs w:val="18"/>
                <w:lang w:val="en-US"/>
              </w:rPr>
            </w:pPr>
            <w:r w:rsidRPr="00D44BE3">
              <w:rPr>
                <w:rFonts w:ascii="Verdana" w:hAnsi="Verdana"/>
                <w:b/>
                <w:bCs/>
                <w:sz w:val="18"/>
                <w:szCs w:val="18"/>
                <w:lang w:val="en-US"/>
              </w:rPr>
              <w:t>Organisatie-onderdelen:</w:t>
            </w:r>
          </w:p>
        </w:tc>
        <w:tc>
          <w:tcPr>
            <w:tcW w:w="1740" w:type="dxa"/>
            <w:tcBorders>
              <w:top w:val="single" w:color="auto" w:sz="4" w:space="0"/>
              <w:left w:val="single" w:color="auto" w:sz="4" w:space="0"/>
              <w:bottom w:val="single" w:color="auto" w:sz="4" w:space="0"/>
              <w:right w:val="single" w:color="auto" w:sz="4" w:space="0"/>
            </w:tcBorders>
            <w:hideMark/>
          </w:tcPr>
          <w:p w:rsidRPr="00D44BE3" w:rsidR="00686E88" w:rsidP="00CE20D1" w:rsidRDefault="00686E88" w14:paraId="6FBFAFBA" w14:textId="77777777">
            <w:pPr>
              <w:spacing w:after="160" w:line="278" w:lineRule="auto"/>
              <w:rPr>
                <w:rFonts w:ascii="Verdana" w:hAnsi="Verdana"/>
                <w:b/>
                <w:bCs/>
                <w:sz w:val="18"/>
                <w:szCs w:val="18"/>
                <w:lang w:val="en-US"/>
              </w:rPr>
            </w:pPr>
            <w:r w:rsidRPr="00D44BE3">
              <w:rPr>
                <w:rFonts w:ascii="Verdana" w:hAnsi="Verdana"/>
                <w:b/>
                <w:bCs/>
                <w:sz w:val="18"/>
                <w:szCs w:val="18"/>
                <w:lang w:val="en-US"/>
              </w:rPr>
              <w:t>Bezuiniging</w:t>
            </w:r>
          </w:p>
        </w:tc>
        <w:tc>
          <w:tcPr>
            <w:tcW w:w="1623" w:type="dxa"/>
            <w:tcBorders>
              <w:top w:val="single" w:color="auto" w:sz="4" w:space="0"/>
              <w:left w:val="single" w:color="auto" w:sz="4" w:space="0"/>
              <w:bottom w:val="single" w:color="auto" w:sz="4" w:space="0"/>
              <w:right w:val="single" w:color="auto" w:sz="4" w:space="0"/>
            </w:tcBorders>
            <w:hideMark/>
          </w:tcPr>
          <w:p w:rsidRPr="00D44BE3" w:rsidR="00686E88" w:rsidP="00CE20D1" w:rsidRDefault="00686E88" w14:paraId="27C574DF" w14:textId="77777777">
            <w:pPr>
              <w:spacing w:after="160" w:line="278" w:lineRule="auto"/>
              <w:rPr>
                <w:rFonts w:ascii="Verdana" w:hAnsi="Verdana"/>
                <w:b/>
                <w:bCs/>
                <w:sz w:val="18"/>
                <w:szCs w:val="18"/>
                <w:lang w:val="en-US"/>
              </w:rPr>
            </w:pPr>
            <w:r w:rsidRPr="00D44BE3">
              <w:rPr>
                <w:rFonts w:ascii="Verdana" w:hAnsi="Verdana"/>
                <w:b/>
                <w:bCs/>
                <w:sz w:val="18"/>
                <w:szCs w:val="18"/>
                <w:lang w:val="en-US"/>
              </w:rPr>
              <w:t>Externe inhuur</w:t>
            </w:r>
          </w:p>
        </w:tc>
        <w:tc>
          <w:tcPr>
            <w:tcW w:w="2789" w:type="dxa"/>
            <w:tcBorders>
              <w:top w:val="single" w:color="auto" w:sz="4" w:space="0"/>
              <w:left w:val="single" w:color="auto" w:sz="4" w:space="0"/>
              <w:bottom w:val="single" w:color="auto" w:sz="4" w:space="0"/>
              <w:right w:val="single" w:color="auto" w:sz="4" w:space="0"/>
            </w:tcBorders>
            <w:hideMark/>
          </w:tcPr>
          <w:p w:rsidRPr="00D44BE3" w:rsidR="00686E88" w:rsidP="00CE20D1" w:rsidRDefault="00686E88" w14:paraId="5D21640E" w14:textId="77777777">
            <w:pPr>
              <w:spacing w:after="160" w:line="278" w:lineRule="auto"/>
              <w:rPr>
                <w:rFonts w:ascii="Verdana" w:hAnsi="Verdana"/>
                <w:b/>
                <w:bCs/>
                <w:sz w:val="18"/>
                <w:szCs w:val="18"/>
                <w:lang w:val="en-US"/>
              </w:rPr>
            </w:pPr>
            <w:r w:rsidRPr="00D44BE3">
              <w:rPr>
                <w:rFonts w:ascii="Verdana" w:hAnsi="Verdana"/>
                <w:b/>
                <w:bCs/>
                <w:sz w:val="18"/>
                <w:szCs w:val="18"/>
                <w:lang w:val="en-US"/>
              </w:rPr>
              <w:t>Aantal fte</w:t>
            </w:r>
          </w:p>
        </w:tc>
        <w:tc>
          <w:tcPr>
            <w:tcW w:w="1066" w:type="dxa"/>
            <w:tcBorders>
              <w:top w:val="single" w:color="auto" w:sz="4" w:space="0"/>
              <w:left w:val="single" w:color="auto" w:sz="4" w:space="0"/>
              <w:bottom w:val="single" w:color="auto" w:sz="4" w:space="0"/>
              <w:right w:val="single" w:color="auto" w:sz="4" w:space="0"/>
            </w:tcBorders>
            <w:hideMark/>
          </w:tcPr>
          <w:p w:rsidRPr="00D44BE3" w:rsidR="00686E88" w:rsidP="00CE20D1" w:rsidRDefault="00686E88" w14:paraId="65084D24" w14:textId="77777777">
            <w:pPr>
              <w:spacing w:after="160" w:line="278" w:lineRule="auto"/>
              <w:rPr>
                <w:rFonts w:ascii="Verdana" w:hAnsi="Verdana"/>
                <w:b/>
                <w:bCs/>
                <w:sz w:val="18"/>
                <w:szCs w:val="18"/>
                <w:lang w:val="en-US"/>
              </w:rPr>
            </w:pPr>
            <w:r w:rsidRPr="00D44BE3">
              <w:rPr>
                <w:rFonts w:ascii="Verdana" w:hAnsi="Verdana"/>
                <w:b/>
                <w:bCs/>
                <w:sz w:val="18"/>
                <w:szCs w:val="18"/>
                <w:lang w:val="en-US"/>
              </w:rPr>
              <w:t>Type functies</w:t>
            </w:r>
          </w:p>
        </w:tc>
      </w:tr>
      <w:tr w:rsidRPr="00D44BE3" w:rsidR="00686E88" w:rsidTr="00CE20D1" w14:paraId="73163276" w14:textId="77777777">
        <w:trPr>
          <w:trHeight w:val="232"/>
        </w:trPr>
        <w:tc>
          <w:tcPr>
            <w:tcW w:w="2166" w:type="dxa"/>
            <w:tcBorders>
              <w:top w:val="single" w:color="auto" w:sz="4" w:space="0"/>
              <w:left w:val="single" w:color="auto" w:sz="4" w:space="0"/>
              <w:bottom w:val="single" w:color="auto" w:sz="4" w:space="0"/>
              <w:right w:val="single" w:color="auto" w:sz="4" w:space="0"/>
            </w:tcBorders>
            <w:noWrap/>
            <w:hideMark/>
          </w:tcPr>
          <w:p w:rsidRPr="00D44BE3" w:rsidR="00686E88" w:rsidP="00CE20D1" w:rsidRDefault="00686E88" w14:paraId="12588AE2" w14:textId="77777777">
            <w:pPr>
              <w:spacing w:after="160" w:line="278" w:lineRule="auto"/>
              <w:rPr>
                <w:rFonts w:ascii="Verdana" w:hAnsi="Verdana"/>
                <w:sz w:val="18"/>
                <w:szCs w:val="18"/>
                <w:lang w:val="en-US"/>
              </w:rPr>
            </w:pPr>
            <w:r w:rsidRPr="00D44BE3">
              <w:rPr>
                <w:rFonts w:ascii="Verdana" w:hAnsi="Verdana"/>
                <w:sz w:val="18"/>
                <w:szCs w:val="18"/>
                <w:lang w:val="en-US"/>
              </w:rPr>
              <w:t>DG Mobiliteit</w:t>
            </w:r>
          </w:p>
        </w:tc>
        <w:tc>
          <w:tcPr>
            <w:tcW w:w="1740" w:type="dxa"/>
            <w:vMerge w:val="restart"/>
            <w:tcBorders>
              <w:top w:val="single" w:color="auto" w:sz="4" w:space="0"/>
              <w:left w:val="single" w:color="auto" w:sz="4" w:space="0"/>
              <w:bottom w:val="single" w:color="auto" w:sz="4" w:space="0"/>
              <w:right w:val="single" w:color="auto" w:sz="4" w:space="0"/>
            </w:tcBorders>
            <w:hideMark/>
          </w:tcPr>
          <w:p w:rsidRPr="00D44BE3" w:rsidR="00686E88" w:rsidP="00CE20D1" w:rsidRDefault="00686E88" w14:paraId="69D4C70E" w14:textId="77777777">
            <w:pPr>
              <w:spacing w:after="160" w:line="278" w:lineRule="auto"/>
              <w:rPr>
                <w:rFonts w:ascii="Verdana" w:hAnsi="Verdana"/>
                <w:sz w:val="18"/>
                <w:szCs w:val="18"/>
                <w:lang w:val="en-US"/>
              </w:rPr>
            </w:pPr>
            <w:r w:rsidRPr="00D44BE3">
              <w:rPr>
                <w:rFonts w:ascii="Verdana" w:hAnsi="Verdana"/>
                <w:sz w:val="18"/>
                <w:szCs w:val="18"/>
                <w:lang w:val="en-US"/>
              </w:rPr>
              <w:t>9,7% van het apparaatsbudget 2029</w:t>
            </w:r>
          </w:p>
        </w:tc>
        <w:tc>
          <w:tcPr>
            <w:tcW w:w="1623" w:type="dxa"/>
            <w:vMerge w:val="restart"/>
            <w:tcBorders>
              <w:top w:val="single" w:color="auto" w:sz="4" w:space="0"/>
              <w:left w:val="single" w:color="auto" w:sz="4" w:space="0"/>
              <w:bottom w:val="single" w:color="auto" w:sz="4" w:space="0"/>
              <w:right w:val="single" w:color="auto" w:sz="4" w:space="0"/>
            </w:tcBorders>
            <w:hideMark/>
          </w:tcPr>
          <w:p w:rsidRPr="00D44BE3" w:rsidR="00686E88" w:rsidP="00CE20D1" w:rsidRDefault="00686E88" w14:paraId="22E564D1" w14:textId="77777777">
            <w:pPr>
              <w:spacing w:after="160" w:line="278" w:lineRule="auto"/>
              <w:rPr>
                <w:rFonts w:ascii="Verdana" w:hAnsi="Verdana"/>
                <w:sz w:val="18"/>
                <w:szCs w:val="18"/>
              </w:rPr>
            </w:pPr>
            <w:r w:rsidRPr="00D44BE3">
              <w:rPr>
                <w:rFonts w:ascii="Verdana" w:hAnsi="Verdana"/>
                <w:sz w:val="18"/>
                <w:szCs w:val="18"/>
              </w:rPr>
              <w:t>Bij alle onderdelen wordt de externe inhuur gereduceerd minimaal naar de Roemer-norm van maximaal 10% van de personele uitgaven.</w:t>
            </w:r>
          </w:p>
        </w:tc>
        <w:tc>
          <w:tcPr>
            <w:tcW w:w="2789" w:type="dxa"/>
            <w:vMerge w:val="restart"/>
            <w:tcBorders>
              <w:top w:val="single" w:color="auto" w:sz="4" w:space="0"/>
              <w:left w:val="single" w:color="auto" w:sz="4" w:space="0"/>
              <w:bottom w:val="single" w:color="auto" w:sz="4" w:space="0"/>
              <w:right w:val="single" w:color="auto" w:sz="4" w:space="0"/>
            </w:tcBorders>
            <w:hideMark/>
          </w:tcPr>
          <w:p w:rsidRPr="00D44BE3" w:rsidR="00686E88" w:rsidP="00CE20D1" w:rsidRDefault="00686E88" w14:paraId="55595BA6" w14:textId="77777777">
            <w:pPr>
              <w:spacing w:after="160" w:line="278" w:lineRule="auto"/>
              <w:rPr>
                <w:rFonts w:ascii="Verdana" w:hAnsi="Verdana"/>
                <w:sz w:val="18"/>
                <w:szCs w:val="18"/>
              </w:rPr>
            </w:pPr>
            <w:r w:rsidRPr="00D44BE3">
              <w:rPr>
                <w:rFonts w:ascii="Verdana" w:hAnsi="Verdana"/>
                <w:sz w:val="18"/>
                <w:szCs w:val="18"/>
              </w:rPr>
              <w:t xml:space="preserve">Voor de invulling van de bezuiniging zijn inhoudelijke keuzes gemaakt welke taken verminderd of gestopt worden. De besparingen die hieruit volgen hebben gevolgen voor de omvang van IenW die zich op dit moment nog niet laten kwantificeren in reductie van het aantal fte. De gekozen oplossingen leiden op zichzelf tot een vermindering van het aantal fte. In hoeverre er, per saldo, sprake zal zijn van een krimp van het aantal fte, is afhankelijk van, onder andere, eventuele nieuwe taken en van de mate van verambtelijking van externe inhuur. </w:t>
            </w:r>
          </w:p>
        </w:tc>
        <w:tc>
          <w:tcPr>
            <w:tcW w:w="1066" w:type="dxa"/>
            <w:vMerge w:val="restart"/>
            <w:tcBorders>
              <w:top w:val="single" w:color="auto" w:sz="4" w:space="0"/>
              <w:left w:val="single" w:color="auto" w:sz="4" w:space="0"/>
              <w:bottom w:val="single" w:color="auto" w:sz="4" w:space="0"/>
              <w:right w:val="single" w:color="auto" w:sz="4" w:space="0"/>
            </w:tcBorders>
            <w:hideMark/>
          </w:tcPr>
          <w:p w:rsidRPr="00D44BE3" w:rsidR="00686E88" w:rsidP="00CE20D1" w:rsidRDefault="00686E88" w14:paraId="601DD235" w14:textId="77777777">
            <w:pPr>
              <w:spacing w:after="160" w:line="278" w:lineRule="auto"/>
              <w:rPr>
                <w:rFonts w:ascii="Verdana" w:hAnsi="Verdana"/>
                <w:sz w:val="18"/>
                <w:szCs w:val="18"/>
              </w:rPr>
            </w:pPr>
            <w:r w:rsidRPr="00D44BE3">
              <w:rPr>
                <w:rFonts w:ascii="Verdana" w:hAnsi="Verdana"/>
                <w:sz w:val="18"/>
                <w:szCs w:val="18"/>
              </w:rPr>
              <w:t>Beleids- en bedrijfs-voerings-functies</w:t>
            </w:r>
          </w:p>
        </w:tc>
      </w:tr>
      <w:tr w:rsidRPr="00D44BE3" w:rsidR="00686E88" w:rsidTr="00CE20D1" w14:paraId="749E82DF" w14:textId="77777777">
        <w:trPr>
          <w:trHeight w:val="232"/>
        </w:trPr>
        <w:tc>
          <w:tcPr>
            <w:tcW w:w="2166" w:type="dxa"/>
            <w:tcBorders>
              <w:top w:val="single" w:color="auto" w:sz="4" w:space="0"/>
              <w:left w:val="single" w:color="auto" w:sz="4" w:space="0"/>
              <w:bottom w:val="single" w:color="auto" w:sz="4" w:space="0"/>
              <w:right w:val="single" w:color="auto" w:sz="4" w:space="0"/>
            </w:tcBorders>
            <w:noWrap/>
            <w:hideMark/>
          </w:tcPr>
          <w:p w:rsidRPr="00D44BE3" w:rsidR="00686E88" w:rsidP="00CE20D1" w:rsidRDefault="00686E88" w14:paraId="359AD8B2" w14:textId="77777777">
            <w:pPr>
              <w:spacing w:after="160" w:line="278" w:lineRule="auto"/>
              <w:rPr>
                <w:rFonts w:ascii="Verdana" w:hAnsi="Verdana"/>
                <w:sz w:val="18"/>
                <w:szCs w:val="18"/>
                <w:lang w:val="en-US"/>
              </w:rPr>
            </w:pPr>
            <w:r w:rsidRPr="00D44BE3">
              <w:rPr>
                <w:rFonts w:ascii="Verdana" w:hAnsi="Verdana"/>
                <w:sz w:val="18"/>
                <w:szCs w:val="18"/>
                <w:lang w:val="en-US"/>
              </w:rPr>
              <w:t>DG Luchtvaart en Maritiem</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D44BE3" w:rsidR="00686E88" w:rsidP="00CE20D1" w:rsidRDefault="00686E88" w14:paraId="1077FA03" w14:textId="77777777">
            <w:pPr>
              <w:spacing w:after="160" w:line="278" w:lineRule="auto"/>
              <w:rPr>
                <w:rFonts w:ascii="Verdana" w:hAnsi="Verdana"/>
                <w:sz w:val="18"/>
                <w:szCs w:val="18"/>
                <w:lang w:val="en-US"/>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D44BE3" w:rsidR="00686E88" w:rsidP="00CE20D1" w:rsidRDefault="00686E88" w14:paraId="65BEF44B" w14:textId="77777777">
            <w:pPr>
              <w:spacing w:after="160" w:line="278" w:lineRule="auto"/>
              <w:rPr>
                <w:rFonts w:ascii="Verdana" w:hAnsi="Verdana"/>
                <w:sz w:val="18"/>
                <w:szCs w:val="18"/>
                <w:lang w:val="en-US"/>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D44BE3" w:rsidR="00686E88" w:rsidP="00CE20D1" w:rsidRDefault="00686E88" w14:paraId="69AECBB8" w14:textId="77777777">
            <w:pPr>
              <w:spacing w:after="160" w:line="278" w:lineRule="auto"/>
              <w:rPr>
                <w:rFonts w:ascii="Verdana" w:hAnsi="Verdana"/>
                <w:sz w:val="18"/>
                <w:szCs w:val="18"/>
                <w:lang w:val="en-US"/>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D44BE3" w:rsidR="00686E88" w:rsidP="00CE20D1" w:rsidRDefault="00686E88" w14:paraId="71CA2FF3" w14:textId="77777777">
            <w:pPr>
              <w:spacing w:after="160" w:line="278" w:lineRule="auto"/>
              <w:rPr>
                <w:rFonts w:ascii="Verdana" w:hAnsi="Verdana"/>
                <w:sz w:val="18"/>
                <w:szCs w:val="18"/>
                <w:lang w:val="en-US"/>
              </w:rPr>
            </w:pPr>
          </w:p>
        </w:tc>
      </w:tr>
      <w:tr w:rsidRPr="00D44BE3" w:rsidR="00686E88" w:rsidTr="00CE20D1" w14:paraId="39A45A68" w14:textId="77777777">
        <w:trPr>
          <w:trHeight w:val="232"/>
        </w:trPr>
        <w:tc>
          <w:tcPr>
            <w:tcW w:w="2166" w:type="dxa"/>
            <w:tcBorders>
              <w:top w:val="single" w:color="auto" w:sz="4" w:space="0"/>
              <w:left w:val="single" w:color="auto" w:sz="4" w:space="0"/>
              <w:bottom w:val="single" w:color="auto" w:sz="4" w:space="0"/>
              <w:right w:val="single" w:color="auto" w:sz="4" w:space="0"/>
            </w:tcBorders>
            <w:noWrap/>
            <w:hideMark/>
          </w:tcPr>
          <w:p w:rsidRPr="00D44BE3" w:rsidR="00686E88" w:rsidP="00CE20D1" w:rsidRDefault="00686E88" w14:paraId="000FA020" w14:textId="77777777">
            <w:pPr>
              <w:spacing w:after="160" w:line="278" w:lineRule="auto"/>
              <w:rPr>
                <w:rFonts w:ascii="Verdana" w:hAnsi="Verdana"/>
                <w:sz w:val="18"/>
                <w:szCs w:val="18"/>
                <w:lang w:val="en-US"/>
              </w:rPr>
            </w:pPr>
            <w:r w:rsidRPr="00D44BE3">
              <w:rPr>
                <w:rFonts w:ascii="Verdana" w:hAnsi="Verdana"/>
                <w:sz w:val="18"/>
                <w:szCs w:val="18"/>
                <w:lang w:val="en-US"/>
              </w:rPr>
              <w:t>DG Milieu en Internationaal</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D44BE3" w:rsidR="00686E88" w:rsidP="00CE20D1" w:rsidRDefault="00686E88" w14:paraId="727E8985" w14:textId="77777777">
            <w:pPr>
              <w:spacing w:after="160" w:line="278" w:lineRule="auto"/>
              <w:rPr>
                <w:rFonts w:ascii="Verdana" w:hAnsi="Verdana"/>
                <w:sz w:val="18"/>
                <w:szCs w:val="18"/>
                <w:lang w:val="en-US"/>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D44BE3" w:rsidR="00686E88" w:rsidP="00CE20D1" w:rsidRDefault="00686E88" w14:paraId="7B6E9F5C" w14:textId="77777777">
            <w:pPr>
              <w:spacing w:after="160" w:line="278" w:lineRule="auto"/>
              <w:rPr>
                <w:rFonts w:ascii="Verdana" w:hAnsi="Verdana"/>
                <w:sz w:val="18"/>
                <w:szCs w:val="18"/>
                <w:lang w:val="en-US"/>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D44BE3" w:rsidR="00686E88" w:rsidP="00CE20D1" w:rsidRDefault="00686E88" w14:paraId="5DE49790" w14:textId="77777777">
            <w:pPr>
              <w:spacing w:after="160" w:line="278" w:lineRule="auto"/>
              <w:rPr>
                <w:rFonts w:ascii="Verdana" w:hAnsi="Verdana"/>
                <w:sz w:val="18"/>
                <w:szCs w:val="18"/>
                <w:lang w:val="en-US"/>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D44BE3" w:rsidR="00686E88" w:rsidP="00CE20D1" w:rsidRDefault="00686E88" w14:paraId="259754FE" w14:textId="77777777">
            <w:pPr>
              <w:spacing w:after="160" w:line="278" w:lineRule="auto"/>
              <w:rPr>
                <w:rFonts w:ascii="Verdana" w:hAnsi="Verdana"/>
                <w:sz w:val="18"/>
                <w:szCs w:val="18"/>
                <w:lang w:val="en-US"/>
              </w:rPr>
            </w:pPr>
          </w:p>
        </w:tc>
      </w:tr>
      <w:tr w:rsidRPr="00D44BE3" w:rsidR="00686E88" w:rsidTr="00CE20D1" w14:paraId="39F7FAC1" w14:textId="77777777">
        <w:trPr>
          <w:trHeight w:val="232"/>
        </w:trPr>
        <w:tc>
          <w:tcPr>
            <w:tcW w:w="2166" w:type="dxa"/>
            <w:tcBorders>
              <w:top w:val="single" w:color="auto" w:sz="4" w:space="0"/>
              <w:left w:val="single" w:color="auto" w:sz="4" w:space="0"/>
              <w:bottom w:val="single" w:color="auto" w:sz="4" w:space="0"/>
              <w:right w:val="single" w:color="auto" w:sz="4" w:space="0"/>
            </w:tcBorders>
            <w:noWrap/>
            <w:hideMark/>
          </w:tcPr>
          <w:p w:rsidRPr="00D44BE3" w:rsidR="00686E88" w:rsidP="00CE20D1" w:rsidRDefault="00686E88" w14:paraId="712D2238" w14:textId="77777777">
            <w:pPr>
              <w:spacing w:after="160" w:line="278" w:lineRule="auto"/>
              <w:rPr>
                <w:rFonts w:ascii="Verdana" w:hAnsi="Verdana"/>
                <w:sz w:val="18"/>
                <w:szCs w:val="18"/>
                <w:lang w:val="en-US"/>
              </w:rPr>
            </w:pPr>
            <w:r w:rsidRPr="00D44BE3">
              <w:rPr>
                <w:rFonts w:ascii="Verdana" w:hAnsi="Verdana"/>
                <w:sz w:val="18"/>
                <w:szCs w:val="18"/>
                <w:lang w:val="en-US"/>
              </w:rPr>
              <w:t>DG Water en Bodem</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D44BE3" w:rsidR="00686E88" w:rsidP="00CE20D1" w:rsidRDefault="00686E88" w14:paraId="6B86A166" w14:textId="77777777">
            <w:pPr>
              <w:spacing w:after="160" w:line="278" w:lineRule="auto"/>
              <w:rPr>
                <w:rFonts w:ascii="Verdana" w:hAnsi="Verdana"/>
                <w:sz w:val="18"/>
                <w:szCs w:val="18"/>
                <w:lang w:val="en-US"/>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D44BE3" w:rsidR="00686E88" w:rsidP="00CE20D1" w:rsidRDefault="00686E88" w14:paraId="26EAA4FE" w14:textId="77777777">
            <w:pPr>
              <w:spacing w:after="160" w:line="278" w:lineRule="auto"/>
              <w:rPr>
                <w:rFonts w:ascii="Verdana" w:hAnsi="Verdana"/>
                <w:sz w:val="18"/>
                <w:szCs w:val="18"/>
                <w:lang w:val="en-US"/>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D44BE3" w:rsidR="00686E88" w:rsidP="00CE20D1" w:rsidRDefault="00686E88" w14:paraId="12C85D26" w14:textId="77777777">
            <w:pPr>
              <w:spacing w:after="160" w:line="278" w:lineRule="auto"/>
              <w:rPr>
                <w:rFonts w:ascii="Verdana" w:hAnsi="Verdana"/>
                <w:sz w:val="18"/>
                <w:szCs w:val="18"/>
                <w:lang w:val="en-US"/>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D44BE3" w:rsidR="00686E88" w:rsidP="00CE20D1" w:rsidRDefault="00686E88" w14:paraId="2BAA291D" w14:textId="77777777">
            <w:pPr>
              <w:spacing w:after="160" w:line="278" w:lineRule="auto"/>
              <w:rPr>
                <w:rFonts w:ascii="Verdana" w:hAnsi="Verdana"/>
                <w:sz w:val="18"/>
                <w:szCs w:val="18"/>
                <w:lang w:val="en-US"/>
              </w:rPr>
            </w:pPr>
          </w:p>
        </w:tc>
      </w:tr>
      <w:tr w:rsidRPr="00D44BE3" w:rsidR="00686E88" w:rsidTr="00CE20D1" w14:paraId="6740E5E5" w14:textId="77777777">
        <w:trPr>
          <w:trHeight w:val="232"/>
        </w:trPr>
        <w:tc>
          <w:tcPr>
            <w:tcW w:w="2166" w:type="dxa"/>
            <w:tcBorders>
              <w:top w:val="single" w:color="auto" w:sz="4" w:space="0"/>
              <w:left w:val="single" w:color="auto" w:sz="4" w:space="0"/>
              <w:bottom w:val="single" w:color="auto" w:sz="4" w:space="0"/>
              <w:right w:val="single" w:color="auto" w:sz="4" w:space="0"/>
            </w:tcBorders>
            <w:noWrap/>
            <w:hideMark/>
          </w:tcPr>
          <w:p w:rsidRPr="00D44BE3" w:rsidR="00686E88" w:rsidP="00CE20D1" w:rsidRDefault="00686E88" w14:paraId="795B80F2" w14:textId="77777777">
            <w:pPr>
              <w:spacing w:after="160" w:line="278" w:lineRule="auto"/>
              <w:rPr>
                <w:rFonts w:ascii="Verdana" w:hAnsi="Verdana"/>
                <w:sz w:val="18"/>
                <w:szCs w:val="18"/>
                <w:lang w:val="en-US"/>
              </w:rPr>
            </w:pPr>
            <w:r w:rsidRPr="00D44BE3">
              <w:rPr>
                <w:rFonts w:ascii="Verdana" w:hAnsi="Verdana"/>
                <w:sz w:val="18"/>
                <w:szCs w:val="18"/>
                <w:lang w:val="en-US"/>
              </w:rPr>
              <w:t>Ondersteuning</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D44BE3" w:rsidR="00686E88" w:rsidP="00CE20D1" w:rsidRDefault="00686E88" w14:paraId="466EC504" w14:textId="77777777">
            <w:pPr>
              <w:spacing w:after="160" w:line="278" w:lineRule="auto"/>
              <w:rPr>
                <w:rFonts w:ascii="Verdana" w:hAnsi="Verdana"/>
                <w:sz w:val="18"/>
                <w:szCs w:val="18"/>
                <w:lang w:val="en-US"/>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D44BE3" w:rsidR="00686E88" w:rsidP="00CE20D1" w:rsidRDefault="00686E88" w14:paraId="22890318" w14:textId="77777777">
            <w:pPr>
              <w:spacing w:after="160" w:line="278" w:lineRule="auto"/>
              <w:rPr>
                <w:rFonts w:ascii="Verdana" w:hAnsi="Verdana"/>
                <w:sz w:val="18"/>
                <w:szCs w:val="18"/>
                <w:lang w:val="en-US"/>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D44BE3" w:rsidR="00686E88" w:rsidP="00CE20D1" w:rsidRDefault="00686E88" w14:paraId="7D4884FC" w14:textId="77777777">
            <w:pPr>
              <w:spacing w:after="160" w:line="278" w:lineRule="auto"/>
              <w:rPr>
                <w:rFonts w:ascii="Verdana" w:hAnsi="Verdana"/>
                <w:sz w:val="18"/>
                <w:szCs w:val="18"/>
                <w:lang w:val="en-US"/>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D44BE3" w:rsidR="00686E88" w:rsidP="00CE20D1" w:rsidRDefault="00686E88" w14:paraId="6222AC82" w14:textId="77777777">
            <w:pPr>
              <w:spacing w:after="160" w:line="278" w:lineRule="auto"/>
              <w:rPr>
                <w:rFonts w:ascii="Verdana" w:hAnsi="Verdana"/>
                <w:sz w:val="18"/>
                <w:szCs w:val="18"/>
                <w:lang w:val="en-US"/>
              </w:rPr>
            </w:pPr>
          </w:p>
        </w:tc>
      </w:tr>
      <w:tr w:rsidRPr="00D44BE3" w:rsidR="00686E88" w:rsidTr="00CE20D1" w14:paraId="3D62EDD8" w14:textId="77777777">
        <w:trPr>
          <w:trHeight w:val="232"/>
        </w:trPr>
        <w:tc>
          <w:tcPr>
            <w:tcW w:w="2166" w:type="dxa"/>
            <w:tcBorders>
              <w:top w:val="single" w:color="auto" w:sz="4" w:space="0"/>
              <w:left w:val="single" w:color="auto" w:sz="4" w:space="0"/>
              <w:bottom w:val="single" w:color="auto" w:sz="4" w:space="0"/>
              <w:right w:val="single" w:color="auto" w:sz="4" w:space="0"/>
            </w:tcBorders>
            <w:noWrap/>
            <w:hideMark/>
          </w:tcPr>
          <w:p w:rsidRPr="00D44BE3" w:rsidR="00686E88" w:rsidP="00CE20D1" w:rsidRDefault="00686E88" w14:paraId="3FC066E5" w14:textId="77777777">
            <w:pPr>
              <w:spacing w:after="160" w:line="278" w:lineRule="auto"/>
              <w:rPr>
                <w:rFonts w:ascii="Verdana" w:hAnsi="Verdana"/>
                <w:sz w:val="18"/>
                <w:szCs w:val="18"/>
              </w:rPr>
            </w:pPr>
            <w:r w:rsidRPr="00D44BE3">
              <w:rPr>
                <w:rFonts w:ascii="Verdana" w:hAnsi="Verdana"/>
                <w:sz w:val="18"/>
                <w:szCs w:val="18"/>
              </w:rPr>
              <w:t>Planbureau voor de Leefomgeving (PBL)</w:t>
            </w:r>
          </w:p>
        </w:tc>
        <w:tc>
          <w:tcPr>
            <w:tcW w:w="1740" w:type="dxa"/>
            <w:vMerge w:val="restart"/>
            <w:tcBorders>
              <w:top w:val="single" w:color="auto" w:sz="4" w:space="0"/>
              <w:left w:val="single" w:color="auto" w:sz="4" w:space="0"/>
              <w:bottom w:val="single" w:color="auto" w:sz="4" w:space="0"/>
              <w:right w:val="single" w:color="auto" w:sz="4" w:space="0"/>
            </w:tcBorders>
            <w:hideMark/>
          </w:tcPr>
          <w:p w:rsidRPr="00D44BE3" w:rsidR="00686E88" w:rsidP="00CE20D1" w:rsidRDefault="00686E88" w14:paraId="53383DD3" w14:textId="77777777">
            <w:pPr>
              <w:spacing w:after="160" w:line="278" w:lineRule="auto"/>
              <w:rPr>
                <w:rFonts w:ascii="Verdana" w:hAnsi="Verdana"/>
                <w:sz w:val="18"/>
                <w:szCs w:val="18"/>
                <w:lang w:val="en-US"/>
              </w:rPr>
            </w:pPr>
            <w:r w:rsidRPr="00D44BE3">
              <w:rPr>
                <w:rFonts w:ascii="Verdana" w:hAnsi="Verdana"/>
                <w:sz w:val="18"/>
                <w:szCs w:val="18"/>
                <w:lang w:val="en-US"/>
              </w:rPr>
              <w:t>2,5% van het apparaatsbudget 2029</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D44BE3" w:rsidR="00686E88" w:rsidP="00CE20D1" w:rsidRDefault="00686E88" w14:paraId="2FA8B14D" w14:textId="77777777">
            <w:pPr>
              <w:spacing w:after="160" w:line="278" w:lineRule="auto"/>
              <w:rPr>
                <w:rFonts w:ascii="Verdana" w:hAnsi="Verdana"/>
                <w:sz w:val="18"/>
                <w:szCs w:val="18"/>
                <w:lang w:val="en-US"/>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D44BE3" w:rsidR="00686E88" w:rsidP="00CE20D1" w:rsidRDefault="00686E88" w14:paraId="75A6B528" w14:textId="77777777">
            <w:pPr>
              <w:spacing w:after="160" w:line="278" w:lineRule="auto"/>
              <w:rPr>
                <w:rFonts w:ascii="Verdana" w:hAnsi="Verdana"/>
                <w:sz w:val="18"/>
                <w:szCs w:val="18"/>
                <w:lang w:val="en-US"/>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D44BE3" w:rsidR="00686E88" w:rsidP="00CE20D1" w:rsidRDefault="00686E88" w14:paraId="1780A5BC" w14:textId="77777777">
            <w:pPr>
              <w:spacing w:after="160" w:line="278" w:lineRule="auto"/>
              <w:rPr>
                <w:rFonts w:ascii="Verdana" w:hAnsi="Verdana"/>
                <w:sz w:val="18"/>
                <w:szCs w:val="18"/>
                <w:lang w:val="en-US"/>
              </w:rPr>
            </w:pPr>
          </w:p>
        </w:tc>
      </w:tr>
      <w:tr w:rsidRPr="00D44BE3" w:rsidR="00686E88" w:rsidTr="00CE20D1" w14:paraId="3E6B8783" w14:textId="77777777">
        <w:trPr>
          <w:trHeight w:val="232"/>
        </w:trPr>
        <w:tc>
          <w:tcPr>
            <w:tcW w:w="2166" w:type="dxa"/>
            <w:tcBorders>
              <w:top w:val="single" w:color="auto" w:sz="4" w:space="0"/>
              <w:left w:val="single" w:color="auto" w:sz="4" w:space="0"/>
              <w:bottom w:val="single" w:color="auto" w:sz="4" w:space="0"/>
              <w:right w:val="single" w:color="auto" w:sz="4" w:space="0"/>
            </w:tcBorders>
            <w:noWrap/>
            <w:hideMark/>
          </w:tcPr>
          <w:p w:rsidRPr="00D44BE3" w:rsidR="00686E88" w:rsidP="00CE20D1" w:rsidRDefault="00686E88" w14:paraId="174B5B6D" w14:textId="77777777">
            <w:pPr>
              <w:spacing w:after="160" w:line="278" w:lineRule="auto"/>
              <w:rPr>
                <w:rFonts w:ascii="Verdana" w:hAnsi="Verdana"/>
                <w:sz w:val="18"/>
                <w:szCs w:val="18"/>
              </w:rPr>
            </w:pPr>
            <w:r w:rsidRPr="00D44BE3">
              <w:rPr>
                <w:rFonts w:ascii="Verdana" w:hAnsi="Verdana"/>
                <w:sz w:val="18"/>
                <w:szCs w:val="18"/>
              </w:rPr>
              <w:t>Autoriteit Nucleaire Veiligheid en Stralingsbescherming (ANVS)</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D44BE3" w:rsidR="00686E88" w:rsidP="00CE20D1" w:rsidRDefault="00686E88" w14:paraId="40FF23EA" w14:textId="77777777">
            <w:pPr>
              <w:spacing w:after="160" w:line="278" w:lineRule="auto"/>
              <w:rPr>
                <w:rFonts w:ascii="Verdana" w:hAnsi="Verdana"/>
                <w:sz w:val="18"/>
                <w:szCs w:val="18"/>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D44BE3" w:rsidR="00686E88" w:rsidP="00CE20D1" w:rsidRDefault="00686E88" w14:paraId="17118E25" w14:textId="77777777">
            <w:pPr>
              <w:spacing w:after="160" w:line="278" w:lineRule="auto"/>
              <w:rPr>
                <w:rFonts w:ascii="Verdana" w:hAnsi="Verdana"/>
                <w:sz w:val="18"/>
                <w:szCs w:val="18"/>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D44BE3" w:rsidR="00686E88" w:rsidP="00CE20D1" w:rsidRDefault="00686E88" w14:paraId="1786D585" w14:textId="77777777">
            <w:pPr>
              <w:spacing w:after="160" w:line="278" w:lineRule="auto"/>
              <w:rPr>
                <w:rFonts w:ascii="Verdana" w:hAnsi="Verdana"/>
                <w:sz w:val="18"/>
                <w:szCs w:val="18"/>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D44BE3" w:rsidR="00686E88" w:rsidP="00CE20D1" w:rsidRDefault="00686E88" w14:paraId="2ABA0C03" w14:textId="77777777">
            <w:pPr>
              <w:spacing w:after="160" w:line="278" w:lineRule="auto"/>
              <w:rPr>
                <w:rFonts w:ascii="Verdana" w:hAnsi="Verdana"/>
                <w:sz w:val="18"/>
                <w:szCs w:val="18"/>
              </w:rPr>
            </w:pPr>
          </w:p>
        </w:tc>
      </w:tr>
      <w:tr w:rsidRPr="00D44BE3" w:rsidR="00686E88" w:rsidTr="00CE20D1" w14:paraId="3B17229A" w14:textId="77777777">
        <w:trPr>
          <w:trHeight w:val="232"/>
        </w:trPr>
        <w:tc>
          <w:tcPr>
            <w:tcW w:w="2166" w:type="dxa"/>
            <w:tcBorders>
              <w:top w:val="single" w:color="auto" w:sz="4" w:space="0"/>
              <w:left w:val="single" w:color="auto" w:sz="4" w:space="0"/>
              <w:bottom w:val="single" w:color="auto" w:sz="4" w:space="0"/>
              <w:right w:val="single" w:color="auto" w:sz="4" w:space="0"/>
            </w:tcBorders>
            <w:noWrap/>
            <w:hideMark/>
          </w:tcPr>
          <w:p w:rsidRPr="00D44BE3" w:rsidR="00686E88" w:rsidP="00CE20D1" w:rsidRDefault="00686E88" w14:paraId="3E3A7DD0" w14:textId="77777777">
            <w:pPr>
              <w:spacing w:after="160" w:line="278" w:lineRule="auto"/>
              <w:rPr>
                <w:rFonts w:ascii="Verdana" w:hAnsi="Verdana"/>
                <w:sz w:val="18"/>
                <w:szCs w:val="18"/>
              </w:rPr>
            </w:pPr>
            <w:r w:rsidRPr="00D44BE3">
              <w:rPr>
                <w:rFonts w:ascii="Verdana" w:hAnsi="Verdana"/>
                <w:sz w:val="18"/>
                <w:szCs w:val="18"/>
              </w:rPr>
              <w:t>Inspectie Leefomgeving en Transport (ILT)</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D44BE3" w:rsidR="00686E88" w:rsidP="00CE20D1" w:rsidRDefault="00686E88" w14:paraId="64F96A81" w14:textId="77777777">
            <w:pPr>
              <w:spacing w:after="160" w:line="278" w:lineRule="auto"/>
              <w:rPr>
                <w:rFonts w:ascii="Verdana" w:hAnsi="Verdana"/>
                <w:sz w:val="18"/>
                <w:szCs w:val="18"/>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D44BE3" w:rsidR="00686E88" w:rsidP="00CE20D1" w:rsidRDefault="00686E88" w14:paraId="4F77BDD0" w14:textId="77777777">
            <w:pPr>
              <w:spacing w:after="160" w:line="278" w:lineRule="auto"/>
              <w:rPr>
                <w:rFonts w:ascii="Verdana" w:hAnsi="Verdana"/>
                <w:sz w:val="18"/>
                <w:szCs w:val="18"/>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D44BE3" w:rsidR="00686E88" w:rsidP="00CE20D1" w:rsidRDefault="00686E88" w14:paraId="3FB9C46E" w14:textId="77777777">
            <w:pPr>
              <w:spacing w:after="160" w:line="278" w:lineRule="auto"/>
              <w:rPr>
                <w:rFonts w:ascii="Verdana" w:hAnsi="Verdana"/>
                <w:sz w:val="18"/>
                <w:szCs w:val="18"/>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D44BE3" w:rsidR="00686E88" w:rsidP="00CE20D1" w:rsidRDefault="00686E88" w14:paraId="54B19111" w14:textId="77777777">
            <w:pPr>
              <w:spacing w:after="160" w:line="278" w:lineRule="auto"/>
              <w:rPr>
                <w:rFonts w:ascii="Verdana" w:hAnsi="Verdana"/>
                <w:sz w:val="18"/>
                <w:szCs w:val="18"/>
              </w:rPr>
            </w:pPr>
          </w:p>
        </w:tc>
      </w:tr>
      <w:tr w:rsidRPr="00D44BE3" w:rsidR="00686E88" w:rsidTr="00CE20D1" w14:paraId="61AFC1F1" w14:textId="77777777">
        <w:trPr>
          <w:trHeight w:val="232"/>
        </w:trPr>
        <w:tc>
          <w:tcPr>
            <w:tcW w:w="2166" w:type="dxa"/>
            <w:tcBorders>
              <w:top w:val="single" w:color="auto" w:sz="4" w:space="0"/>
              <w:left w:val="single" w:color="auto" w:sz="4" w:space="0"/>
              <w:bottom w:val="single" w:color="auto" w:sz="4" w:space="0"/>
              <w:right w:val="single" w:color="auto" w:sz="4" w:space="0"/>
            </w:tcBorders>
            <w:noWrap/>
            <w:hideMark/>
          </w:tcPr>
          <w:p w:rsidRPr="00D44BE3" w:rsidR="00686E88" w:rsidP="00CE20D1" w:rsidRDefault="00686E88" w14:paraId="0197373B" w14:textId="77777777">
            <w:pPr>
              <w:spacing w:after="160" w:line="278" w:lineRule="auto"/>
              <w:rPr>
                <w:rFonts w:ascii="Verdana" w:hAnsi="Verdana"/>
                <w:sz w:val="18"/>
                <w:szCs w:val="18"/>
                <w:lang w:val="en-US"/>
              </w:rPr>
            </w:pPr>
            <w:r w:rsidRPr="00D44BE3">
              <w:rPr>
                <w:rFonts w:ascii="Verdana" w:hAnsi="Verdana"/>
                <w:sz w:val="18"/>
                <w:szCs w:val="18"/>
                <w:lang w:val="en-US"/>
              </w:rPr>
              <w:t>KNMI</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D44BE3" w:rsidR="00686E88" w:rsidP="00CE20D1" w:rsidRDefault="00686E88" w14:paraId="212E7846" w14:textId="77777777">
            <w:pPr>
              <w:spacing w:after="160" w:line="278" w:lineRule="auto"/>
              <w:rPr>
                <w:rFonts w:ascii="Verdana" w:hAnsi="Verdana"/>
                <w:sz w:val="18"/>
                <w:szCs w:val="18"/>
                <w:lang w:val="en-US"/>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D44BE3" w:rsidR="00686E88" w:rsidP="00CE20D1" w:rsidRDefault="00686E88" w14:paraId="0EC8E4DC" w14:textId="77777777">
            <w:pPr>
              <w:spacing w:after="160" w:line="278" w:lineRule="auto"/>
              <w:rPr>
                <w:rFonts w:ascii="Verdana" w:hAnsi="Verdana"/>
                <w:sz w:val="18"/>
                <w:szCs w:val="18"/>
                <w:lang w:val="en-US"/>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D44BE3" w:rsidR="00686E88" w:rsidP="00CE20D1" w:rsidRDefault="00686E88" w14:paraId="4C007937" w14:textId="77777777">
            <w:pPr>
              <w:spacing w:after="160" w:line="278" w:lineRule="auto"/>
              <w:rPr>
                <w:rFonts w:ascii="Verdana" w:hAnsi="Verdana"/>
                <w:sz w:val="18"/>
                <w:szCs w:val="18"/>
                <w:lang w:val="en-US"/>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D44BE3" w:rsidR="00686E88" w:rsidP="00CE20D1" w:rsidRDefault="00686E88" w14:paraId="49371865" w14:textId="77777777">
            <w:pPr>
              <w:spacing w:after="160" w:line="278" w:lineRule="auto"/>
              <w:rPr>
                <w:rFonts w:ascii="Verdana" w:hAnsi="Verdana"/>
                <w:sz w:val="18"/>
                <w:szCs w:val="18"/>
                <w:lang w:val="en-US"/>
              </w:rPr>
            </w:pPr>
          </w:p>
        </w:tc>
      </w:tr>
    </w:tbl>
    <w:p w:rsidRPr="00D44BE3" w:rsidR="00686E88" w:rsidP="00686E88" w:rsidRDefault="00686E88" w14:paraId="2EB01FEE" w14:textId="77777777">
      <w:pPr>
        <w:rPr>
          <w:rFonts w:ascii="Verdana" w:hAnsi="Verdana"/>
          <w:b/>
          <w:bCs/>
          <w:sz w:val="18"/>
          <w:szCs w:val="18"/>
        </w:rPr>
      </w:pPr>
    </w:p>
    <w:p w:rsidRPr="0097600D" w:rsidR="00686E88" w:rsidP="00686E88" w:rsidRDefault="00686E88" w14:paraId="35C5BE16" w14:textId="77777777">
      <w:pPr>
        <w:rPr>
          <w:rFonts w:ascii="Verdana" w:hAnsi="Verdana"/>
          <w:sz w:val="18"/>
          <w:szCs w:val="18"/>
        </w:rPr>
      </w:pPr>
      <w:r w:rsidRPr="00E544AD">
        <w:rPr>
          <w:rFonts w:ascii="Verdana" w:hAnsi="Verdana"/>
          <w:b/>
          <w:bCs/>
          <w:sz w:val="18"/>
          <w:szCs w:val="18"/>
        </w:rPr>
        <w:t xml:space="preserve">Tabel 2 – behorend bij </w:t>
      </w:r>
      <w:r>
        <w:rPr>
          <w:rFonts w:ascii="Verdana" w:hAnsi="Verdana"/>
          <w:b/>
          <w:bCs/>
          <w:sz w:val="18"/>
          <w:szCs w:val="18"/>
        </w:rPr>
        <w:t>vraag</w:t>
      </w:r>
      <w:r w:rsidRPr="00E544AD">
        <w:rPr>
          <w:rFonts w:ascii="Verdana" w:hAnsi="Verdana"/>
          <w:b/>
          <w:bCs/>
          <w:sz w:val="18"/>
          <w:szCs w:val="18"/>
        </w:rPr>
        <w:t xml:space="preserve"> 16</w:t>
      </w:r>
    </w:p>
    <w:p w:rsidR="00686E88" w:rsidP="00686E88" w:rsidRDefault="00686E88" w14:paraId="7E1A168C" w14:textId="77777777">
      <w:pPr>
        <w:rPr>
          <w:rFonts w:ascii="Verdana" w:hAnsi="Verdana"/>
          <w:sz w:val="18"/>
          <w:szCs w:val="18"/>
        </w:rPr>
      </w:pPr>
      <w:r>
        <w:rPr>
          <w:rFonts w:ascii="Verdana" w:hAnsi="Verdana"/>
          <w:sz w:val="18"/>
          <w:szCs w:val="18"/>
        </w:rPr>
        <w:t>Vanwege het afwijkende formaat is deze als losse bijlage toegevoegd.</w:t>
      </w:r>
    </w:p>
    <w:p w:rsidR="00686E88" w:rsidP="00686E88" w:rsidRDefault="00686E88" w14:paraId="49E000C7" w14:textId="77777777">
      <w:pPr>
        <w:rPr>
          <w:rFonts w:ascii="Verdana" w:hAnsi="Verdana"/>
          <w:sz w:val="18"/>
          <w:szCs w:val="18"/>
        </w:rPr>
      </w:pPr>
    </w:p>
    <w:p w:rsidR="00686E88" w:rsidP="00686E88" w:rsidRDefault="00686E88" w14:paraId="318ABF51" w14:textId="77777777">
      <w:pPr>
        <w:rPr>
          <w:rFonts w:ascii="Verdana" w:hAnsi="Verdana"/>
          <w:b/>
          <w:bCs/>
          <w:sz w:val="18"/>
          <w:szCs w:val="18"/>
        </w:rPr>
      </w:pPr>
      <w:r w:rsidRPr="00E74B4F">
        <w:rPr>
          <w:rFonts w:ascii="Verdana" w:hAnsi="Verdana"/>
          <w:b/>
          <w:bCs/>
          <w:sz w:val="18"/>
          <w:szCs w:val="18"/>
        </w:rPr>
        <w:t>Tabel 3 – behorend bij vraag 17</w:t>
      </w:r>
    </w:p>
    <w:p w:rsidRPr="00E544AD" w:rsidR="00686E88" w:rsidP="00686E88" w:rsidRDefault="00686E88" w14:paraId="32DA44EB" w14:textId="77777777">
      <w:pPr>
        <w:rPr>
          <w:rFonts w:ascii="Verdana" w:hAnsi="Verdana"/>
          <w:sz w:val="18"/>
          <w:szCs w:val="18"/>
        </w:rPr>
      </w:pPr>
      <w:r>
        <w:rPr>
          <w:rFonts w:ascii="Verdana" w:hAnsi="Verdana"/>
          <w:sz w:val="18"/>
          <w:szCs w:val="18"/>
        </w:rPr>
        <w:t>Vanwege het afwijkende formaat is deze als losse bijlage toegevoegd.</w:t>
      </w:r>
    </w:p>
    <w:p w:rsidR="00686E88" w:rsidP="00686E88" w:rsidRDefault="00686E88" w14:paraId="7A92B193" w14:textId="77777777">
      <w:pPr>
        <w:rPr>
          <w:rFonts w:ascii="Verdana" w:hAnsi="Verdana"/>
          <w:sz w:val="18"/>
          <w:szCs w:val="18"/>
        </w:rPr>
      </w:pPr>
    </w:p>
    <w:p w:rsidR="00686E88" w:rsidP="00686E88" w:rsidRDefault="00686E88" w14:paraId="68B35C2C" w14:textId="77777777">
      <w:pPr>
        <w:rPr>
          <w:rFonts w:ascii="Verdana" w:hAnsi="Verdana"/>
          <w:b/>
          <w:bCs/>
          <w:sz w:val="18"/>
          <w:szCs w:val="18"/>
        </w:rPr>
      </w:pPr>
      <w:r>
        <w:rPr>
          <w:rFonts w:ascii="Verdana" w:hAnsi="Verdana"/>
          <w:b/>
          <w:bCs/>
          <w:sz w:val="18"/>
          <w:szCs w:val="18"/>
        </w:rPr>
        <w:br w:type="page"/>
      </w:r>
    </w:p>
    <w:p w:rsidRPr="00E74B4F" w:rsidR="00686E88" w:rsidP="00686E88" w:rsidRDefault="00686E88" w14:paraId="43E3E2EB" w14:textId="77777777">
      <w:pPr>
        <w:rPr>
          <w:rFonts w:ascii="Verdana" w:hAnsi="Verdana"/>
          <w:b/>
          <w:bCs/>
          <w:sz w:val="18"/>
          <w:szCs w:val="18"/>
        </w:rPr>
      </w:pPr>
      <w:r w:rsidRPr="00E74B4F">
        <w:rPr>
          <w:rFonts w:ascii="Verdana" w:hAnsi="Verdana"/>
          <w:b/>
          <w:bCs/>
          <w:sz w:val="18"/>
          <w:szCs w:val="18"/>
        </w:rPr>
        <w:t>Tabel 4 – behorend bij vraag 41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5020"/>
        <w:gridCol w:w="1590"/>
        <w:gridCol w:w="818"/>
        <w:gridCol w:w="818"/>
        <w:gridCol w:w="816"/>
      </w:tblGrid>
      <w:tr w:rsidRPr="00E544AD" w:rsidR="00686E88" w:rsidTr="00CE20D1" w14:paraId="05712C5C"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E544AD" w:rsidR="00686E88" w:rsidP="00CE20D1" w:rsidRDefault="00686E88" w14:paraId="18853088" w14:textId="77777777">
            <w:pPr>
              <w:rPr>
                <w:rFonts w:ascii="Verdana" w:hAnsi="Verdana"/>
                <w:b/>
                <w:bCs/>
                <w:sz w:val="18"/>
                <w:szCs w:val="18"/>
              </w:rPr>
            </w:pPr>
            <w:r w:rsidRPr="00E544AD">
              <w:rPr>
                <w:rFonts w:ascii="Verdana" w:hAnsi="Verdana"/>
                <w:b/>
                <w:bCs/>
                <w:sz w:val="18"/>
                <w:szCs w:val="18"/>
              </w:rPr>
              <w:t>Exploitatiesubsidies</w:t>
            </w:r>
            <w:r>
              <w:rPr>
                <w:rStyle w:val="FootnoteReference"/>
                <w:rFonts w:ascii="Verdana" w:hAnsi="Verdana"/>
                <w:b/>
                <w:bCs/>
                <w:sz w:val="18"/>
                <w:szCs w:val="18"/>
              </w:rPr>
              <w:footnoteReference w:id="4"/>
            </w:r>
            <w:r w:rsidRPr="00E544AD">
              <w:rPr>
                <w:rFonts w:ascii="Verdana" w:hAnsi="Verdana"/>
                <w:b/>
                <w:bCs/>
                <w:sz w:val="18"/>
                <w:szCs w:val="18"/>
              </w:rPr>
              <w:t xml:space="preserve"> per concessie</w:t>
            </w:r>
          </w:p>
        </w:tc>
        <w:tc>
          <w:tcPr>
            <w:tcW w:w="886" w:type="pct"/>
            <w:tcBorders>
              <w:top w:val="single" w:color="auto" w:sz="4" w:space="0"/>
              <w:left w:val="single" w:color="auto" w:sz="4" w:space="0"/>
              <w:bottom w:val="single" w:color="auto" w:sz="4" w:space="0"/>
              <w:right w:val="single" w:color="auto" w:sz="4" w:space="0"/>
            </w:tcBorders>
            <w:shd w:val="clear" w:color="auto" w:fill="DCDCDC"/>
            <w:hideMark/>
          </w:tcPr>
          <w:p w:rsidRPr="00E544AD" w:rsidR="00686E88" w:rsidP="00CE20D1" w:rsidRDefault="00686E88" w14:paraId="48A39F1B" w14:textId="77777777">
            <w:pPr>
              <w:rPr>
                <w:rFonts w:ascii="Verdana" w:hAnsi="Verdana"/>
                <w:b/>
                <w:bCs/>
                <w:sz w:val="18"/>
                <w:szCs w:val="18"/>
              </w:rPr>
            </w:pPr>
            <w:r w:rsidRPr="00E544AD">
              <w:rPr>
                <w:rFonts w:ascii="Verdana" w:hAnsi="Verdana"/>
                <w:b/>
                <w:bCs/>
                <w:sz w:val="18"/>
                <w:szCs w:val="18"/>
              </w:rPr>
              <w:t>Overheid</w:t>
            </w:r>
          </w:p>
        </w:tc>
        <w:tc>
          <w:tcPr>
            <w:tcW w:w="460" w:type="pct"/>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E544AD" w:rsidR="00686E88" w:rsidP="00CE20D1" w:rsidRDefault="00686E88" w14:paraId="481BB682" w14:textId="77777777">
            <w:pPr>
              <w:rPr>
                <w:rFonts w:ascii="Verdana" w:hAnsi="Verdana"/>
                <w:b/>
                <w:bCs/>
                <w:sz w:val="18"/>
                <w:szCs w:val="18"/>
              </w:rPr>
            </w:pPr>
            <w:r w:rsidRPr="00E544AD">
              <w:rPr>
                <w:rFonts w:ascii="Verdana" w:hAnsi="Verdana"/>
                <w:b/>
                <w:bCs/>
                <w:sz w:val="18"/>
                <w:szCs w:val="18"/>
              </w:rPr>
              <w:t>2022</w:t>
            </w:r>
          </w:p>
        </w:tc>
        <w:tc>
          <w:tcPr>
            <w:tcW w:w="460" w:type="pct"/>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E544AD" w:rsidR="00686E88" w:rsidP="00CE20D1" w:rsidRDefault="00686E88" w14:paraId="6A35820D" w14:textId="77777777">
            <w:pPr>
              <w:rPr>
                <w:rFonts w:ascii="Verdana" w:hAnsi="Verdana"/>
                <w:b/>
                <w:bCs/>
                <w:sz w:val="18"/>
                <w:szCs w:val="18"/>
              </w:rPr>
            </w:pPr>
            <w:r w:rsidRPr="00E544AD">
              <w:rPr>
                <w:rFonts w:ascii="Verdana" w:hAnsi="Verdana"/>
                <w:b/>
                <w:bCs/>
                <w:sz w:val="18"/>
                <w:szCs w:val="18"/>
              </w:rPr>
              <w:t>2023</w:t>
            </w:r>
          </w:p>
        </w:tc>
        <w:tc>
          <w:tcPr>
            <w:tcW w:w="459" w:type="pct"/>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E544AD" w:rsidR="00686E88" w:rsidP="00CE20D1" w:rsidRDefault="00686E88" w14:paraId="21CB0AFC" w14:textId="77777777">
            <w:pPr>
              <w:rPr>
                <w:rFonts w:ascii="Verdana" w:hAnsi="Verdana"/>
                <w:b/>
                <w:bCs/>
                <w:sz w:val="18"/>
                <w:szCs w:val="18"/>
              </w:rPr>
            </w:pPr>
            <w:r w:rsidRPr="00E544AD">
              <w:rPr>
                <w:rFonts w:ascii="Verdana" w:hAnsi="Verdana"/>
                <w:b/>
                <w:bCs/>
                <w:sz w:val="18"/>
                <w:szCs w:val="18"/>
              </w:rPr>
              <w:t>2024</w:t>
            </w:r>
          </w:p>
        </w:tc>
      </w:tr>
      <w:tr w:rsidRPr="00E544AD" w:rsidR="00686E88" w:rsidTr="00CE20D1" w14:paraId="6B3B01AE"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E544AD" w:rsidR="00686E88" w:rsidP="00CE20D1" w:rsidRDefault="00686E88" w14:paraId="61BF6B7C" w14:textId="77777777">
            <w:pPr>
              <w:rPr>
                <w:rFonts w:ascii="Verdana" w:hAnsi="Verdana"/>
                <w:sz w:val="18"/>
                <w:szCs w:val="18"/>
              </w:rPr>
            </w:pPr>
            <w:r w:rsidRPr="00E544AD">
              <w:rPr>
                <w:rFonts w:ascii="Verdana" w:hAnsi="Verdana"/>
                <w:sz w:val="18"/>
                <w:szCs w:val="18"/>
              </w:rPr>
              <w:t>Hoofdrailnet</w:t>
            </w:r>
          </w:p>
        </w:tc>
        <w:tc>
          <w:tcPr>
            <w:tcW w:w="886" w:type="pct"/>
            <w:tcBorders>
              <w:top w:val="single" w:color="auto" w:sz="4" w:space="0"/>
              <w:left w:val="single" w:color="auto" w:sz="4" w:space="0"/>
              <w:bottom w:val="single" w:color="auto" w:sz="4" w:space="0"/>
              <w:right w:val="single" w:color="auto" w:sz="4" w:space="0"/>
            </w:tcBorders>
            <w:hideMark/>
          </w:tcPr>
          <w:p w:rsidRPr="00E544AD" w:rsidR="00686E88" w:rsidP="00CE20D1" w:rsidRDefault="00686E88" w14:paraId="078B5861" w14:textId="77777777">
            <w:pPr>
              <w:rPr>
                <w:rFonts w:ascii="Verdana" w:hAnsi="Verdana"/>
                <w:sz w:val="18"/>
                <w:szCs w:val="18"/>
              </w:rPr>
            </w:pPr>
            <w:r w:rsidRPr="00E544AD">
              <w:rPr>
                <w:rFonts w:ascii="Verdana" w:hAnsi="Verdana"/>
                <w:sz w:val="18"/>
                <w:szCs w:val="18"/>
              </w:rPr>
              <w:t>Ministerie IenW</w:t>
            </w:r>
          </w:p>
        </w:tc>
        <w:tc>
          <w:tcPr>
            <w:tcW w:w="460"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07CA3D09" w14:textId="77777777">
            <w:pPr>
              <w:jc w:val="right"/>
              <w:rPr>
                <w:rFonts w:ascii="Verdana" w:hAnsi="Verdana"/>
                <w:sz w:val="18"/>
                <w:szCs w:val="18"/>
              </w:rPr>
            </w:pPr>
            <w:r w:rsidRPr="00E544AD">
              <w:rPr>
                <w:rFonts w:ascii="Verdana" w:hAnsi="Verdana"/>
                <w:sz w:val="18"/>
                <w:szCs w:val="18"/>
              </w:rPr>
              <w:t>-183</w:t>
            </w:r>
          </w:p>
        </w:tc>
        <w:tc>
          <w:tcPr>
            <w:tcW w:w="460"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749433CB" w14:textId="77777777">
            <w:pPr>
              <w:jc w:val="right"/>
              <w:rPr>
                <w:rFonts w:ascii="Verdana" w:hAnsi="Verdana"/>
                <w:sz w:val="18"/>
                <w:szCs w:val="18"/>
              </w:rPr>
            </w:pPr>
            <w:r w:rsidRPr="00E544AD">
              <w:rPr>
                <w:rFonts w:ascii="Verdana" w:hAnsi="Verdana"/>
                <w:sz w:val="18"/>
                <w:szCs w:val="18"/>
              </w:rPr>
              <w:t>-204</w:t>
            </w:r>
          </w:p>
        </w:tc>
        <w:tc>
          <w:tcPr>
            <w:tcW w:w="459"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7493F56B" w14:textId="77777777">
            <w:pPr>
              <w:jc w:val="right"/>
              <w:rPr>
                <w:rFonts w:ascii="Verdana" w:hAnsi="Verdana"/>
                <w:sz w:val="18"/>
                <w:szCs w:val="18"/>
              </w:rPr>
            </w:pPr>
            <w:r w:rsidRPr="00E544AD">
              <w:rPr>
                <w:rFonts w:ascii="Verdana" w:hAnsi="Verdana"/>
                <w:sz w:val="18"/>
                <w:szCs w:val="18"/>
              </w:rPr>
              <w:t>-231</w:t>
            </w:r>
          </w:p>
        </w:tc>
      </w:tr>
      <w:tr w:rsidRPr="00E544AD" w:rsidR="00686E88" w:rsidTr="00CE20D1" w14:paraId="72987D13"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E544AD" w:rsidR="00686E88" w:rsidP="00CE20D1" w:rsidRDefault="00686E88" w14:paraId="51BC5B22" w14:textId="77777777">
            <w:pPr>
              <w:rPr>
                <w:rFonts w:ascii="Verdana" w:hAnsi="Verdana"/>
                <w:sz w:val="18"/>
                <w:szCs w:val="18"/>
              </w:rPr>
            </w:pPr>
            <w:r w:rsidRPr="00E544AD">
              <w:rPr>
                <w:rFonts w:ascii="Verdana" w:hAnsi="Verdana"/>
                <w:sz w:val="18"/>
                <w:szCs w:val="18"/>
              </w:rPr>
              <w:t>Zaanstreek-Waterland</w:t>
            </w:r>
          </w:p>
        </w:tc>
        <w:tc>
          <w:tcPr>
            <w:tcW w:w="886" w:type="pct"/>
            <w:tcBorders>
              <w:top w:val="single" w:color="auto" w:sz="4" w:space="0"/>
              <w:left w:val="single" w:color="auto" w:sz="4" w:space="0"/>
              <w:bottom w:val="single" w:color="auto" w:sz="4" w:space="0"/>
              <w:right w:val="single" w:color="auto" w:sz="4" w:space="0"/>
            </w:tcBorders>
            <w:hideMark/>
          </w:tcPr>
          <w:p w:rsidRPr="00E544AD" w:rsidR="00686E88" w:rsidP="00CE20D1" w:rsidRDefault="00686E88" w14:paraId="420108FC" w14:textId="77777777">
            <w:pPr>
              <w:rPr>
                <w:rFonts w:ascii="Verdana" w:hAnsi="Verdana"/>
                <w:sz w:val="18"/>
                <w:szCs w:val="18"/>
              </w:rPr>
            </w:pPr>
            <w:r w:rsidRPr="00E544AD">
              <w:rPr>
                <w:rFonts w:ascii="Verdana" w:hAnsi="Verdana"/>
                <w:sz w:val="18"/>
                <w:szCs w:val="18"/>
              </w:rPr>
              <w:t>Vervoerregio</w:t>
            </w:r>
          </w:p>
        </w:tc>
        <w:tc>
          <w:tcPr>
            <w:tcW w:w="460"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3CC27906" w14:textId="77777777">
            <w:pPr>
              <w:jc w:val="right"/>
              <w:rPr>
                <w:rFonts w:ascii="Verdana" w:hAnsi="Verdana"/>
                <w:sz w:val="18"/>
                <w:szCs w:val="18"/>
              </w:rPr>
            </w:pPr>
            <w:r w:rsidRPr="00E544AD">
              <w:rPr>
                <w:rFonts w:ascii="Verdana" w:hAnsi="Verdana"/>
                <w:sz w:val="18"/>
                <w:szCs w:val="18"/>
              </w:rPr>
              <w:t>35,3</w:t>
            </w:r>
          </w:p>
        </w:tc>
        <w:tc>
          <w:tcPr>
            <w:tcW w:w="460"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0BA9ADFB" w14:textId="77777777">
            <w:pPr>
              <w:jc w:val="right"/>
              <w:rPr>
                <w:rFonts w:ascii="Verdana" w:hAnsi="Verdana"/>
                <w:sz w:val="18"/>
                <w:szCs w:val="18"/>
              </w:rPr>
            </w:pPr>
            <w:r w:rsidRPr="00E544AD">
              <w:rPr>
                <w:rFonts w:ascii="Verdana" w:hAnsi="Verdana"/>
                <w:sz w:val="18"/>
                <w:szCs w:val="18"/>
              </w:rPr>
              <w:t>38,9</w:t>
            </w:r>
          </w:p>
        </w:tc>
        <w:tc>
          <w:tcPr>
            <w:tcW w:w="459"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07841EA6" w14:textId="77777777">
            <w:pPr>
              <w:jc w:val="right"/>
              <w:rPr>
                <w:rFonts w:ascii="Verdana" w:hAnsi="Verdana"/>
                <w:sz w:val="18"/>
                <w:szCs w:val="18"/>
              </w:rPr>
            </w:pPr>
            <w:r w:rsidRPr="00E544AD">
              <w:rPr>
                <w:rFonts w:ascii="Verdana" w:hAnsi="Verdana"/>
                <w:sz w:val="18"/>
                <w:szCs w:val="18"/>
              </w:rPr>
              <w:t>46,6</w:t>
            </w:r>
          </w:p>
        </w:tc>
      </w:tr>
      <w:tr w:rsidRPr="00E544AD" w:rsidR="00686E88" w:rsidTr="00CE20D1" w14:paraId="19643951"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E544AD" w:rsidR="00686E88" w:rsidP="00CE20D1" w:rsidRDefault="00686E88" w14:paraId="5F0339A3" w14:textId="77777777">
            <w:pPr>
              <w:rPr>
                <w:rFonts w:ascii="Verdana" w:hAnsi="Verdana"/>
                <w:sz w:val="18"/>
                <w:szCs w:val="18"/>
              </w:rPr>
            </w:pPr>
            <w:r w:rsidRPr="00E544AD">
              <w:rPr>
                <w:rFonts w:ascii="Verdana" w:hAnsi="Verdana"/>
                <w:sz w:val="18"/>
                <w:szCs w:val="18"/>
              </w:rPr>
              <w:t>Concessie Amsterdam</w:t>
            </w:r>
          </w:p>
        </w:tc>
        <w:tc>
          <w:tcPr>
            <w:tcW w:w="886" w:type="pct"/>
            <w:tcBorders>
              <w:top w:val="single" w:color="auto" w:sz="4" w:space="0"/>
              <w:left w:val="single" w:color="auto" w:sz="4" w:space="0"/>
              <w:bottom w:val="single" w:color="auto" w:sz="4" w:space="0"/>
              <w:right w:val="single" w:color="auto" w:sz="4" w:space="0"/>
            </w:tcBorders>
            <w:hideMark/>
          </w:tcPr>
          <w:p w:rsidRPr="00E544AD" w:rsidR="00686E88" w:rsidP="00CE20D1" w:rsidRDefault="00686E88" w14:paraId="19C7063F" w14:textId="77777777">
            <w:pPr>
              <w:rPr>
                <w:rFonts w:ascii="Verdana" w:hAnsi="Verdana"/>
                <w:sz w:val="18"/>
                <w:szCs w:val="18"/>
              </w:rPr>
            </w:pPr>
            <w:r w:rsidRPr="00E544AD">
              <w:rPr>
                <w:rFonts w:ascii="Verdana" w:hAnsi="Verdana"/>
                <w:sz w:val="18"/>
                <w:szCs w:val="18"/>
              </w:rPr>
              <w:t>Vervoerregio</w:t>
            </w:r>
          </w:p>
        </w:tc>
        <w:tc>
          <w:tcPr>
            <w:tcW w:w="460"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0347652C" w14:textId="77777777">
            <w:pPr>
              <w:jc w:val="right"/>
              <w:rPr>
                <w:rFonts w:ascii="Verdana" w:hAnsi="Verdana"/>
                <w:sz w:val="18"/>
                <w:szCs w:val="18"/>
              </w:rPr>
            </w:pPr>
            <w:r w:rsidRPr="00E544AD">
              <w:rPr>
                <w:rFonts w:ascii="Verdana" w:hAnsi="Verdana"/>
                <w:sz w:val="18"/>
                <w:szCs w:val="18"/>
              </w:rPr>
              <w:t>-14,4</w:t>
            </w:r>
          </w:p>
        </w:tc>
        <w:tc>
          <w:tcPr>
            <w:tcW w:w="460"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65010AFF" w14:textId="77777777">
            <w:pPr>
              <w:jc w:val="right"/>
              <w:rPr>
                <w:rFonts w:ascii="Verdana" w:hAnsi="Verdana"/>
                <w:sz w:val="18"/>
                <w:szCs w:val="18"/>
              </w:rPr>
            </w:pPr>
            <w:r w:rsidRPr="00E544AD">
              <w:rPr>
                <w:rFonts w:ascii="Verdana" w:hAnsi="Verdana"/>
                <w:sz w:val="18"/>
                <w:szCs w:val="18"/>
              </w:rPr>
              <w:t>-18,4</w:t>
            </w:r>
          </w:p>
        </w:tc>
        <w:tc>
          <w:tcPr>
            <w:tcW w:w="459"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740FB373" w14:textId="77777777">
            <w:pPr>
              <w:jc w:val="right"/>
              <w:rPr>
                <w:rFonts w:ascii="Verdana" w:hAnsi="Verdana"/>
                <w:sz w:val="18"/>
                <w:szCs w:val="18"/>
              </w:rPr>
            </w:pPr>
            <w:r w:rsidRPr="00E544AD">
              <w:rPr>
                <w:rFonts w:ascii="Verdana" w:hAnsi="Verdana"/>
                <w:sz w:val="18"/>
                <w:szCs w:val="18"/>
              </w:rPr>
              <w:t>18,3</w:t>
            </w:r>
          </w:p>
        </w:tc>
      </w:tr>
      <w:tr w:rsidRPr="00E544AD" w:rsidR="00686E88" w:rsidTr="00CE20D1" w14:paraId="78C834A4"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E544AD" w:rsidR="00686E88" w:rsidP="00CE20D1" w:rsidRDefault="00686E88" w14:paraId="34F799B0" w14:textId="77777777">
            <w:pPr>
              <w:rPr>
                <w:rFonts w:ascii="Verdana" w:hAnsi="Verdana"/>
                <w:sz w:val="18"/>
                <w:szCs w:val="18"/>
              </w:rPr>
            </w:pPr>
            <w:r w:rsidRPr="00E544AD">
              <w:rPr>
                <w:rFonts w:ascii="Verdana" w:hAnsi="Verdana"/>
                <w:sz w:val="18"/>
                <w:szCs w:val="18"/>
              </w:rPr>
              <w:t>Amstelland-Meerlanden</w:t>
            </w:r>
          </w:p>
        </w:tc>
        <w:tc>
          <w:tcPr>
            <w:tcW w:w="886" w:type="pct"/>
            <w:tcBorders>
              <w:top w:val="single" w:color="auto" w:sz="4" w:space="0"/>
              <w:left w:val="single" w:color="auto" w:sz="4" w:space="0"/>
              <w:bottom w:val="single" w:color="auto" w:sz="4" w:space="0"/>
              <w:right w:val="single" w:color="auto" w:sz="4" w:space="0"/>
            </w:tcBorders>
            <w:hideMark/>
          </w:tcPr>
          <w:p w:rsidRPr="00E544AD" w:rsidR="00686E88" w:rsidP="00CE20D1" w:rsidRDefault="00686E88" w14:paraId="19CFD6CC" w14:textId="77777777">
            <w:pPr>
              <w:rPr>
                <w:rFonts w:ascii="Verdana" w:hAnsi="Verdana"/>
                <w:sz w:val="18"/>
                <w:szCs w:val="18"/>
              </w:rPr>
            </w:pPr>
            <w:r w:rsidRPr="00E544AD">
              <w:rPr>
                <w:rFonts w:ascii="Verdana" w:hAnsi="Verdana"/>
                <w:sz w:val="18"/>
                <w:szCs w:val="18"/>
              </w:rPr>
              <w:t>Vervoerregio</w:t>
            </w:r>
          </w:p>
        </w:tc>
        <w:tc>
          <w:tcPr>
            <w:tcW w:w="460"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55700C20" w14:textId="77777777">
            <w:pPr>
              <w:jc w:val="right"/>
              <w:rPr>
                <w:rFonts w:ascii="Verdana" w:hAnsi="Verdana"/>
                <w:sz w:val="18"/>
                <w:szCs w:val="18"/>
              </w:rPr>
            </w:pPr>
            <w:r w:rsidRPr="00E544AD">
              <w:rPr>
                <w:rFonts w:ascii="Verdana" w:hAnsi="Verdana"/>
                <w:sz w:val="18"/>
                <w:szCs w:val="18"/>
              </w:rPr>
              <w:t>47,5</w:t>
            </w:r>
          </w:p>
        </w:tc>
        <w:tc>
          <w:tcPr>
            <w:tcW w:w="460"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468E146C" w14:textId="77777777">
            <w:pPr>
              <w:jc w:val="right"/>
              <w:rPr>
                <w:rFonts w:ascii="Verdana" w:hAnsi="Verdana"/>
                <w:sz w:val="18"/>
                <w:szCs w:val="18"/>
              </w:rPr>
            </w:pPr>
            <w:r w:rsidRPr="00E544AD">
              <w:rPr>
                <w:rFonts w:ascii="Verdana" w:hAnsi="Verdana"/>
                <w:sz w:val="18"/>
                <w:szCs w:val="18"/>
              </w:rPr>
              <w:t>52,4</w:t>
            </w:r>
          </w:p>
        </w:tc>
        <w:tc>
          <w:tcPr>
            <w:tcW w:w="459"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53B2432F" w14:textId="77777777">
            <w:pPr>
              <w:jc w:val="right"/>
              <w:rPr>
                <w:rFonts w:ascii="Verdana" w:hAnsi="Verdana"/>
                <w:sz w:val="18"/>
                <w:szCs w:val="18"/>
              </w:rPr>
            </w:pPr>
            <w:r w:rsidRPr="00E544AD">
              <w:rPr>
                <w:rFonts w:ascii="Verdana" w:hAnsi="Verdana"/>
                <w:sz w:val="18"/>
                <w:szCs w:val="18"/>
              </w:rPr>
              <w:t>58,5</w:t>
            </w:r>
          </w:p>
        </w:tc>
      </w:tr>
      <w:tr w:rsidRPr="00E544AD" w:rsidR="00686E88" w:rsidTr="00CE20D1" w14:paraId="24650A7C"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E544AD" w:rsidR="00686E88" w:rsidP="00CE20D1" w:rsidRDefault="00686E88" w14:paraId="33987E3A" w14:textId="77777777">
            <w:pPr>
              <w:rPr>
                <w:rFonts w:ascii="Verdana" w:hAnsi="Verdana"/>
                <w:sz w:val="18"/>
                <w:szCs w:val="18"/>
              </w:rPr>
            </w:pPr>
            <w:r w:rsidRPr="00E544AD">
              <w:rPr>
                <w:rFonts w:ascii="Verdana" w:hAnsi="Verdana"/>
                <w:sz w:val="18"/>
                <w:szCs w:val="18"/>
              </w:rPr>
              <w:t>Bus Haaglanden Stad</w:t>
            </w:r>
          </w:p>
        </w:tc>
        <w:tc>
          <w:tcPr>
            <w:tcW w:w="886" w:type="pct"/>
            <w:tcBorders>
              <w:top w:val="single" w:color="auto" w:sz="4" w:space="0"/>
              <w:left w:val="single" w:color="auto" w:sz="4" w:space="0"/>
              <w:bottom w:val="single" w:color="auto" w:sz="4" w:space="0"/>
              <w:right w:val="single" w:color="auto" w:sz="4" w:space="0"/>
            </w:tcBorders>
            <w:hideMark/>
          </w:tcPr>
          <w:p w:rsidRPr="00E544AD" w:rsidR="00686E88" w:rsidP="00CE20D1" w:rsidRDefault="00686E88" w14:paraId="7C2F3A47" w14:textId="77777777">
            <w:pPr>
              <w:rPr>
                <w:rFonts w:ascii="Verdana" w:hAnsi="Verdana"/>
                <w:sz w:val="18"/>
                <w:szCs w:val="18"/>
              </w:rPr>
            </w:pPr>
            <w:r w:rsidRPr="00E544AD">
              <w:rPr>
                <w:rFonts w:ascii="Verdana" w:hAnsi="Verdana"/>
                <w:sz w:val="18"/>
                <w:szCs w:val="18"/>
              </w:rPr>
              <w:t>Vervoerregio</w:t>
            </w:r>
          </w:p>
        </w:tc>
        <w:tc>
          <w:tcPr>
            <w:tcW w:w="460"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3ADBB360" w14:textId="77777777">
            <w:pPr>
              <w:jc w:val="right"/>
              <w:rPr>
                <w:rFonts w:ascii="Verdana" w:hAnsi="Verdana"/>
                <w:sz w:val="18"/>
                <w:szCs w:val="18"/>
              </w:rPr>
            </w:pPr>
            <w:r w:rsidRPr="00E544AD">
              <w:rPr>
                <w:rFonts w:ascii="Verdana" w:hAnsi="Verdana"/>
                <w:sz w:val="18"/>
                <w:szCs w:val="18"/>
              </w:rPr>
              <w:t>17,1</w:t>
            </w:r>
          </w:p>
        </w:tc>
        <w:tc>
          <w:tcPr>
            <w:tcW w:w="460"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197D2DD6" w14:textId="77777777">
            <w:pPr>
              <w:jc w:val="right"/>
              <w:rPr>
                <w:rFonts w:ascii="Verdana" w:hAnsi="Verdana"/>
                <w:sz w:val="18"/>
                <w:szCs w:val="18"/>
              </w:rPr>
            </w:pPr>
            <w:r w:rsidRPr="00E544AD">
              <w:rPr>
                <w:rFonts w:ascii="Verdana" w:hAnsi="Verdana"/>
                <w:sz w:val="18"/>
                <w:szCs w:val="18"/>
              </w:rPr>
              <w:t>26,2</w:t>
            </w:r>
          </w:p>
        </w:tc>
        <w:tc>
          <w:tcPr>
            <w:tcW w:w="459"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72543AEA" w14:textId="77777777">
            <w:pPr>
              <w:jc w:val="right"/>
              <w:rPr>
                <w:rFonts w:ascii="Verdana" w:hAnsi="Verdana"/>
                <w:sz w:val="18"/>
                <w:szCs w:val="18"/>
              </w:rPr>
            </w:pPr>
            <w:r w:rsidRPr="00E544AD">
              <w:rPr>
                <w:rFonts w:ascii="Verdana" w:hAnsi="Verdana"/>
                <w:sz w:val="18"/>
                <w:szCs w:val="18"/>
              </w:rPr>
              <w:t>22,4</w:t>
            </w:r>
          </w:p>
        </w:tc>
      </w:tr>
      <w:tr w:rsidRPr="00E544AD" w:rsidR="00686E88" w:rsidTr="00CE20D1" w14:paraId="5903E874"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E544AD" w:rsidR="00686E88" w:rsidP="00CE20D1" w:rsidRDefault="00686E88" w14:paraId="53500B0A" w14:textId="77777777">
            <w:pPr>
              <w:rPr>
                <w:rFonts w:ascii="Verdana" w:hAnsi="Verdana"/>
                <w:sz w:val="18"/>
                <w:szCs w:val="18"/>
              </w:rPr>
            </w:pPr>
            <w:r w:rsidRPr="00E544AD">
              <w:rPr>
                <w:rFonts w:ascii="Verdana" w:hAnsi="Verdana"/>
                <w:sz w:val="18"/>
                <w:szCs w:val="18"/>
              </w:rPr>
              <w:t>Concessie Rail Haaglanden</w:t>
            </w:r>
          </w:p>
        </w:tc>
        <w:tc>
          <w:tcPr>
            <w:tcW w:w="886" w:type="pct"/>
            <w:tcBorders>
              <w:top w:val="single" w:color="auto" w:sz="4" w:space="0"/>
              <w:left w:val="single" w:color="auto" w:sz="4" w:space="0"/>
              <w:bottom w:val="single" w:color="auto" w:sz="4" w:space="0"/>
              <w:right w:val="single" w:color="auto" w:sz="4" w:space="0"/>
            </w:tcBorders>
            <w:hideMark/>
          </w:tcPr>
          <w:p w:rsidRPr="00E544AD" w:rsidR="00686E88" w:rsidP="00CE20D1" w:rsidRDefault="00686E88" w14:paraId="40C47039" w14:textId="77777777">
            <w:pPr>
              <w:rPr>
                <w:rFonts w:ascii="Verdana" w:hAnsi="Verdana"/>
                <w:sz w:val="18"/>
                <w:szCs w:val="18"/>
              </w:rPr>
            </w:pPr>
            <w:r w:rsidRPr="00E544AD">
              <w:rPr>
                <w:rFonts w:ascii="Verdana" w:hAnsi="Verdana"/>
                <w:sz w:val="18"/>
                <w:szCs w:val="18"/>
              </w:rPr>
              <w:t>Vervoerregio</w:t>
            </w:r>
          </w:p>
        </w:tc>
        <w:tc>
          <w:tcPr>
            <w:tcW w:w="460"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4B1222A2" w14:textId="77777777">
            <w:pPr>
              <w:jc w:val="right"/>
              <w:rPr>
                <w:rFonts w:ascii="Verdana" w:hAnsi="Verdana"/>
                <w:sz w:val="18"/>
                <w:szCs w:val="18"/>
              </w:rPr>
            </w:pPr>
            <w:r w:rsidRPr="00E544AD">
              <w:rPr>
                <w:rFonts w:ascii="Verdana" w:hAnsi="Verdana"/>
                <w:sz w:val="18"/>
                <w:szCs w:val="18"/>
              </w:rPr>
              <w:t>11,2</w:t>
            </w:r>
          </w:p>
        </w:tc>
        <w:tc>
          <w:tcPr>
            <w:tcW w:w="460"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11C77839" w14:textId="77777777">
            <w:pPr>
              <w:jc w:val="right"/>
              <w:rPr>
                <w:rFonts w:ascii="Verdana" w:hAnsi="Verdana"/>
                <w:sz w:val="18"/>
                <w:szCs w:val="18"/>
              </w:rPr>
            </w:pPr>
            <w:r w:rsidRPr="00E544AD">
              <w:rPr>
                <w:rFonts w:ascii="Verdana" w:hAnsi="Verdana"/>
                <w:sz w:val="18"/>
                <w:szCs w:val="18"/>
              </w:rPr>
              <w:t>9,6</w:t>
            </w:r>
          </w:p>
        </w:tc>
        <w:tc>
          <w:tcPr>
            <w:tcW w:w="459"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2C5BCE3E" w14:textId="77777777">
            <w:pPr>
              <w:jc w:val="right"/>
              <w:rPr>
                <w:rFonts w:ascii="Verdana" w:hAnsi="Verdana"/>
                <w:sz w:val="18"/>
                <w:szCs w:val="18"/>
              </w:rPr>
            </w:pPr>
            <w:r w:rsidRPr="00E544AD">
              <w:rPr>
                <w:rFonts w:ascii="Verdana" w:hAnsi="Verdana"/>
                <w:sz w:val="18"/>
                <w:szCs w:val="18"/>
              </w:rPr>
              <w:t>22,7</w:t>
            </w:r>
          </w:p>
        </w:tc>
      </w:tr>
      <w:tr w:rsidRPr="00E544AD" w:rsidR="00686E88" w:rsidTr="00CE20D1" w14:paraId="5E93A669"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E544AD" w:rsidR="00686E88" w:rsidP="00CE20D1" w:rsidRDefault="00686E88" w14:paraId="05F9925F" w14:textId="77777777">
            <w:pPr>
              <w:rPr>
                <w:rFonts w:ascii="Verdana" w:hAnsi="Verdana"/>
                <w:sz w:val="18"/>
                <w:szCs w:val="18"/>
              </w:rPr>
            </w:pPr>
            <w:r w:rsidRPr="00E544AD">
              <w:rPr>
                <w:rFonts w:ascii="Verdana" w:hAnsi="Verdana"/>
                <w:sz w:val="18"/>
                <w:szCs w:val="18"/>
              </w:rPr>
              <w:t>Haaglanden Streek</w:t>
            </w:r>
          </w:p>
        </w:tc>
        <w:tc>
          <w:tcPr>
            <w:tcW w:w="886" w:type="pct"/>
            <w:tcBorders>
              <w:top w:val="single" w:color="auto" w:sz="4" w:space="0"/>
              <w:left w:val="single" w:color="auto" w:sz="4" w:space="0"/>
              <w:bottom w:val="single" w:color="auto" w:sz="4" w:space="0"/>
              <w:right w:val="single" w:color="auto" w:sz="4" w:space="0"/>
            </w:tcBorders>
            <w:hideMark/>
          </w:tcPr>
          <w:p w:rsidRPr="00E544AD" w:rsidR="00686E88" w:rsidP="00CE20D1" w:rsidRDefault="00686E88" w14:paraId="5270ED06" w14:textId="77777777">
            <w:pPr>
              <w:rPr>
                <w:rFonts w:ascii="Verdana" w:hAnsi="Verdana"/>
                <w:sz w:val="18"/>
                <w:szCs w:val="18"/>
              </w:rPr>
            </w:pPr>
            <w:r w:rsidRPr="00E544AD">
              <w:rPr>
                <w:rFonts w:ascii="Verdana" w:hAnsi="Verdana"/>
                <w:sz w:val="18"/>
                <w:szCs w:val="18"/>
              </w:rPr>
              <w:t>Vervoerregio</w:t>
            </w:r>
          </w:p>
        </w:tc>
        <w:tc>
          <w:tcPr>
            <w:tcW w:w="460"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5141E6F4" w14:textId="77777777">
            <w:pPr>
              <w:jc w:val="right"/>
              <w:rPr>
                <w:rFonts w:ascii="Verdana" w:hAnsi="Verdana"/>
                <w:sz w:val="18"/>
                <w:szCs w:val="18"/>
              </w:rPr>
            </w:pPr>
            <w:r w:rsidRPr="00E544AD">
              <w:rPr>
                <w:rFonts w:ascii="Verdana" w:hAnsi="Verdana"/>
                <w:sz w:val="18"/>
                <w:szCs w:val="18"/>
              </w:rPr>
              <w:t>20,2</w:t>
            </w:r>
          </w:p>
        </w:tc>
        <w:tc>
          <w:tcPr>
            <w:tcW w:w="460"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68460E6E" w14:textId="77777777">
            <w:pPr>
              <w:jc w:val="right"/>
              <w:rPr>
                <w:rFonts w:ascii="Verdana" w:hAnsi="Verdana"/>
                <w:sz w:val="18"/>
                <w:szCs w:val="18"/>
              </w:rPr>
            </w:pPr>
            <w:r w:rsidRPr="00E544AD">
              <w:rPr>
                <w:rFonts w:ascii="Verdana" w:hAnsi="Verdana"/>
                <w:sz w:val="18"/>
                <w:szCs w:val="18"/>
              </w:rPr>
              <w:t>23,9</w:t>
            </w:r>
          </w:p>
        </w:tc>
        <w:tc>
          <w:tcPr>
            <w:tcW w:w="459"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62A49276" w14:textId="77777777">
            <w:pPr>
              <w:jc w:val="right"/>
              <w:rPr>
                <w:rFonts w:ascii="Verdana" w:hAnsi="Verdana"/>
                <w:sz w:val="18"/>
                <w:szCs w:val="18"/>
              </w:rPr>
            </w:pPr>
            <w:r w:rsidRPr="00E544AD">
              <w:rPr>
                <w:rFonts w:ascii="Verdana" w:hAnsi="Verdana"/>
                <w:sz w:val="18"/>
                <w:szCs w:val="18"/>
              </w:rPr>
              <w:t>31,2</w:t>
            </w:r>
          </w:p>
        </w:tc>
      </w:tr>
      <w:tr w:rsidRPr="00E544AD" w:rsidR="00686E88" w:rsidTr="00CE20D1" w14:paraId="35C9D48B"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E544AD" w:rsidR="00686E88" w:rsidP="00CE20D1" w:rsidRDefault="00686E88" w14:paraId="6163F969" w14:textId="77777777">
            <w:pPr>
              <w:rPr>
                <w:rFonts w:ascii="Verdana" w:hAnsi="Verdana"/>
                <w:sz w:val="18"/>
                <w:szCs w:val="18"/>
              </w:rPr>
            </w:pPr>
            <w:r w:rsidRPr="00E544AD">
              <w:rPr>
                <w:rFonts w:ascii="Verdana" w:hAnsi="Verdana"/>
                <w:sz w:val="18"/>
                <w:szCs w:val="18"/>
              </w:rPr>
              <w:t>Concessie Rail Rotterdam</w:t>
            </w:r>
          </w:p>
        </w:tc>
        <w:tc>
          <w:tcPr>
            <w:tcW w:w="886" w:type="pct"/>
            <w:tcBorders>
              <w:top w:val="single" w:color="auto" w:sz="4" w:space="0"/>
              <w:left w:val="single" w:color="auto" w:sz="4" w:space="0"/>
              <w:bottom w:val="single" w:color="auto" w:sz="4" w:space="0"/>
              <w:right w:val="single" w:color="auto" w:sz="4" w:space="0"/>
            </w:tcBorders>
            <w:hideMark/>
          </w:tcPr>
          <w:p w:rsidRPr="00E544AD" w:rsidR="00686E88" w:rsidP="00CE20D1" w:rsidRDefault="00686E88" w14:paraId="5364273B" w14:textId="77777777">
            <w:pPr>
              <w:rPr>
                <w:rFonts w:ascii="Verdana" w:hAnsi="Verdana"/>
                <w:sz w:val="18"/>
                <w:szCs w:val="18"/>
              </w:rPr>
            </w:pPr>
            <w:r w:rsidRPr="00E544AD">
              <w:rPr>
                <w:rFonts w:ascii="Verdana" w:hAnsi="Verdana"/>
                <w:sz w:val="18"/>
                <w:szCs w:val="18"/>
              </w:rPr>
              <w:t>Vervoerregio</w:t>
            </w:r>
          </w:p>
        </w:tc>
        <w:tc>
          <w:tcPr>
            <w:tcW w:w="460"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4441E677" w14:textId="77777777">
            <w:pPr>
              <w:jc w:val="right"/>
              <w:rPr>
                <w:rFonts w:ascii="Verdana" w:hAnsi="Verdana"/>
                <w:sz w:val="18"/>
                <w:szCs w:val="18"/>
              </w:rPr>
            </w:pPr>
            <w:r w:rsidRPr="00E544AD">
              <w:rPr>
                <w:rFonts w:ascii="Verdana" w:hAnsi="Verdana"/>
                <w:sz w:val="18"/>
                <w:szCs w:val="18"/>
              </w:rPr>
              <w:t>-60</w:t>
            </w:r>
          </w:p>
        </w:tc>
        <w:tc>
          <w:tcPr>
            <w:tcW w:w="460"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2F332984" w14:textId="77777777">
            <w:pPr>
              <w:jc w:val="right"/>
              <w:rPr>
                <w:rFonts w:ascii="Verdana" w:hAnsi="Verdana"/>
                <w:sz w:val="18"/>
                <w:szCs w:val="18"/>
              </w:rPr>
            </w:pPr>
            <w:r w:rsidRPr="00E544AD">
              <w:rPr>
                <w:rFonts w:ascii="Verdana" w:hAnsi="Verdana"/>
                <w:sz w:val="18"/>
                <w:szCs w:val="18"/>
              </w:rPr>
              <w:t>-65,9</w:t>
            </w:r>
          </w:p>
        </w:tc>
        <w:tc>
          <w:tcPr>
            <w:tcW w:w="459"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58CC6EF7" w14:textId="77777777">
            <w:pPr>
              <w:jc w:val="right"/>
              <w:rPr>
                <w:rFonts w:ascii="Verdana" w:hAnsi="Verdana"/>
                <w:sz w:val="18"/>
                <w:szCs w:val="18"/>
              </w:rPr>
            </w:pPr>
            <w:r w:rsidRPr="00E544AD">
              <w:rPr>
                <w:rFonts w:ascii="Verdana" w:hAnsi="Verdana"/>
                <w:sz w:val="18"/>
                <w:szCs w:val="18"/>
              </w:rPr>
              <w:t>-67,9</w:t>
            </w:r>
          </w:p>
        </w:tc>
      </w:tr>
      <w:tr w:rsidRPr="00E544AD" w:rsidR="00686E88" w:rsidTr="00CE20D1" w14:paraId="6B571395"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E544AD" w:rsidR="00686E88" w:rsidP="00CE20D1" w:rsidRDefault="00686E88" w14:paraId="1AEBB808" w14:textId="77777777">
            <w:pPr>
              <w:rPr>
                <w:rFonts w:ascii="Verdana" w:hAnsi="Verdana"/>
                <w:sz w:val="18"/>
                <w:szCs w:val="18"/>
              </w:rPr>
            </w:pPr>
            <w:r w:rsidRPr="00E544AD">
              <w:rPr>
                <w:rFonts w:ascii="Verdana" w:hAnsi="Verdana"/>
                <w:sz w:val="18"/>
                <w:szCs w:val="18"/>
              </w:rPr>
              <w:t>Bus Rotterdam e.o</w:t>
            </w:r>
            <w:r>
              <w:rPr>
                <w:rFonts w:ascii="Verdana" w:hAnsi="Verdana"/>
                <w:sz w:val="18"/>
                <w:szCs w:val="18"/>
              </w:rPr>
              <w:t>.</w:t>
            </w:r>
          </w:p>
        </w:tc>
        <w:tc>
          <w:tcPr>
            <w:tcW w:w="886" w:type="pct"/>
            <w:tcBorders>
              <w:top w:val="single" w:color="auto" w:sz="4" w:space="0"/>
              <w:left w:val="single" w:color="auto" w:sz="4" w:space="0"/>
              <w:bottom w:val="single" w:color="auto" w:sz="4" w:space="0"/>
              <w:right w:val="single" w:color="auto" w:sz="4" w:space="0"/>
            </w:tcBorders>
            <w:hideMark/>
          </w:tcPr>
          <w:p w:rsidRPr="00E544AD" w:rsidR="00686E88" w:rsidP="00CE20D1" w:rsidRDefault="00686E88" w14:paraId="5FFFD515" w14:textId="77777777">
            <w:pPr>
              <w:rPr>
                <w:rFonts w:ascii="Verdana" w:hAnsi="Verdana"/>
                <w:sz w:val="18"/>
                <w:szCs w:val="18"/>
              </w:rPr>
            </w:pPr>
            <w:r w:rsidRPr="00E544AD">
              <w:rPr>
                <w:rFonts w:ascii="Verdana" w:hAnsi="Verdana"/>
                <w:sz w:val="18"/>
                <w:szCs w:val="18"/>
              </w:rPr>
              <w:t>Vervoerregio</w:t>
            </w:r>
          </w:p>
        </w:tc>
        <w:tc>
          <w:tcPr>
            <w:tcW w:w="460"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749E8016" w14:textId="77777777">
            <w:pPr>
              <w:jc w:val="right"/>
              <w:rPr>
                <w:rFonts w:ascii="Verdana" w:hAnsi="Verdana"/>
                <w:sz w:val="18"/>
                <w:szCs w:val="18"/>
              </w:rPr>
            </w:pPr>
            <w:r w:rsidRPr="00E544AD">
              <w:rPr>
                <w:rFonts w:ascii="Verdana" w:hAnsi="Verdana"/>
                <w:sz w:val="18"/>
                <w:szCs w:val="18"/>
              </w:rPr>
              <w:t>33,5</w:t>
            </w:r>
          </w:p>
        </w:tc>
        <w:tc>
          <w:tcPr>
            <w:tcW w:w="460"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7FA4B6B0" w14:textId="77777777">
            <w:pPr>
              <w:jc w:val="right"/>
              <w:rPr>
                <w:rFonts w:ascii="Verdana" w:hAnsi="Verdana"/>
                <w:sz w:val="18"/>
                <w:szCs w:val="18"/>
              </w:rPr>
            </w:pPr>
            <w:r w:rsidRPr="00E544AD">
              <w:rPr>
                <w:rFonts w:ascii="Verdana" w:hAnsi="Verdana"/>
                <w:sz w:val="18"/>
                <w:szCs w:val="18"/>
              </w:rPr>
              <w:t>36,5</w:t>
            </w:r>
          </w:p>
        </w:tc>
        <w:tc>
          <w:tcPr>
            <w:tcW w:w="459"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6D0170F3" w14:textId="77777777">
            <w:pPr>
              <w:jc w:val="right"/>
              <w:rPr>
                <w:rFonts w:ascii="Verdana" w:hAnsi="Verdana"/>
                <w:sz w:val="18"/>
                <w:szCs w:val="18"/>
              </w:rPr>
            </w:pPr>
            <w:r w:rsidRPr="00E544AD">
              <w:rPr>
                <w:rFonts w:ascii="Verdana" w:hAnsi="Verdana"/>
                <w:sz w:val="18"/>
                <w:szCs w:val="18"/>
              </w:rPr>
              <w:t>43,2</w:t>
            </w:r>
          </w:p>
        </w:tc>
      </w:tr>
      <w:tr w:rsidRPr="00E544AD" w:rsidR="00686E88" w:rsidTr="00CE20D1" w14:paraId="22DE6E42"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E544AD" w:rsidR="00686E88" w:rsidP="00CE20D1" w:rsidRDefault="00686E88" w14:paraId="06973E55" w14:textId="77777777">
            <w:pPr>
              <w:rPr>
                <w:rFonts w:ascii="Verdana" w:hAnsi="Verdana"/>
                <w:sz w:val="18"/>
                <w:szCs w:val="18"/>
              </w:rPr>
            </w:pPr>
            <w:r w:rsidRPr="00E544AD">
              <w:rPr>
                <w:rFonts w:ascii="Verdana" w:hAnsi="Verdana"/>
                <w:sz w:val="18"/>
                <w:szCs w:val="18"/>
              </w:rPr>
              <w:t>Voorne-Putten en Rozenburg</w:t>
            </w:r>
          </w:p>
        </w:tc>
        <w:tc>
          <w:tcPr>
            <w:tcW w:w="886" w:type="pct"/>
            <w:tcBorders>
              <w:top w:val="single" w:color="auto" w:sz="4" w:space="0"/>
              <w:left w:val="single" w:color="auto" w:sz="4" w:space="0"/>
              <w:bottom w:val="single" w:color="auto" w:sz="4" w:space="0"/>
              <w:right w:val="single" w:color="auto" w:sz="4" w:space="0"/>
            </w:tcBorders>
            <w:hideMark/>
          </w:tcPr>
          <w:p w:rsidRPr="00E544AD" w:rsidR="00686E88" w:rsidP="00CE20D1" w:rsidRDefault="00686E88" w14:paraId="733EF873" w14:textId="77777777">
            <w:pPr>
              <w:rPr>
                <w:rFonts w:ascii="Verdana" w:hAnsi="Verdana"/>
                <w:sz w:val="18"/>
                <w:szCs w:val="18"/>
              </w:rPr>
            </w:pPr>
            <w:r w:rsidRPr="00E544AD">
              <w:rPr>
                <w:rFonts w:ascii="Verdana" w:hAnsi="Verdana"/>
                <w:sz w:val="18"/>
                <w:szCs w:val="18"/>
              </w:rPr>
              <w:t>Vervoerregio</w:t>
            </w:r>
          </w:p>
        </w:tc>
        <w:tc>
          <w:tcPr>
            <w:tcW w:w="460"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51CE4F1C" w14:textId="77777777">
            <w:pPr>
              <w:jc w:val="right"/>
              <w:rPr>
                <w:rFonts w:ascii="Verdana" w:hAnsi="Verdana"/>
                <w:sz w:val="18"/>
                <w:szCs w:val="18"/>
              </w:rPr>
            </w:pPr>
            <w:r w:rsidRPr="00E544AD">
              <w:rPr>
                <w:rFonts w:ascii="Verdana" w:hAnsi="Verdana"/>
                <w:sz w:val="18"/>
                <w:szCs w:val="18"/>
              </w:rPr>
              <w:t>9,8</w:t>
            </w:r>
          </w:p>
        </w:tc>
        <w:tc>
          <w:tcPr>
            <w:tcW w:w="460"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72BDBE69" w14:textId="77777777">
            <w:pPr>
              <w:jc w:val="right"/>
              <w:rPr>
                <w:rFonts w:ascii="Verdana" w:hAnsi="Verdana"/>
                <w:sz w:val="18"/>
                <w:szCs w:val="18"/>
              </w:rPr>
            </w:pPr>
            <w:r w:rsidRPr="00E544AD">
              <w:rPr>
                <w:rFonts w:ascii="Verdana" w:hAnsi="Verdana"/>
                <w:sz w:val="18"/>
                <w:szCs w:val="18"/>
              </w:rPr>
              <w:t>11,7</w:t>
            </w:r>
          </w:p>
        </w:tc>
        <w:tc>
          <w:tcPr>
            <w:tcW w:w="459"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743EA8CB" w14:textId="77777777">
            <w:pPr>
              <w:jc w:val="right"/>
              <w:rPr>
                <w:rFonts w:ascii="Verdana" w:hAnsi="Verdana"/>
                <w:sz w:val="18"/>
                <w:szCs w:val="18"/>
              </w:rPr>
            </w:pPr>
            <w:r w:rsidRPr="00E544AD">
              <w:rPr>
                <w:rFonts w:ascii="Verdana" w:hAnsi="Verdana"/>
                <w:sz w:val="18"/>
                <w:szCs w:val="18"/>
              </w:rPr>
              <w:t>14,3</w:t>
            </w:r>
          </w:p>
        </w:tc>
      </w:tr>
      <w:tr w:rsidRPr="00E544AD" w:rsidR="00686E88" w:rsidTr="00CE20D1" w14:paraId="5F846C08"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E544AD" w:rsidR="00686E88" w:rsidP="00CE20D1" w:rsidRDefault="00686E88" w14:paraId="4A388CDA" w14:textId="77777777">
            <w:pPr>
              <w:rPr>
                <w:rFonts w:ascii="Verdana" w:hAnsi="Verdana"/>
                <w:sz w:val="18"/>
                <w:szCs w:val="18"/>
              </w:rPr>
            </w:pPr>
            <w:r w:rsidRPr="00E544AD">
              <w:rPr>
                <w:rFonts w:ascii="Verdana" w:hAnsi="Verdana"/>
                <w:sz w:val="18"/>
                <w:szCs w:val="18"/>
              </w:rPr>
              <w:t>GD-concessie</w:t>
            </w:r>
          </w:p>
        </w:tc>
        <w:tc>
          <w:tcPr>
            <w:tcW w:w="886" w:type="pct"/>
            <w:tcBorders>
              <w:top w:val="single" w:color="auto" w:sz="4" w:space="0"/>
              <w:left w:val="single" w:color="auto" w:sz="4" w:space="0"/>
              <w:bottom w:val="single" w:color="auto" w:sz="4" w:space="0"/>
              <w:right w:val="single" w:color="auto" w:sz="4" w:space="0"/>
            </w:tcBorders>
            <w:hideMark/>
          </w:tcPr>
          <w:p w:rsidRPr="00E544AD" w:rsidR="00686E88" w:rsidP="00CE20D1" w:rsidRDefault="00686E88" w14:paraId="76806DD8" w14:textId="77777777">
            <w:pPr>
              <w:rPr>
                <w:rFonts w:ascii="Verdana" w:hAnsi="Verdana"/>
                <w:sz w:val="18"/>
                <w:szCs w:val="18"/>
              </w:rPr>
            </w:pPr>
            <w:r w:rsidRPr="00E544AD">
              <w:rPr>
                <w:rFonts w:ascii="Verdana" w:hAnsi="Verdana"/>
                <w:sz w:val="18"/>
                <w:szCs w:val="18"/>
              </w:rPr>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3802F1D4" w14:textId="77777777">
            <w:pPr>
              <w:jc w:val="right"/>
              <w:rPr>
                <w:rFonts w:ascii="Verdana" w:hAnsi="Verdana"/>
                <w:sz w:val="18"/>
                <w:szCs w:val="18"/>
              </w:rPr>
            </w:pPr>
            <w:r w:rsidRPr="00E544AD">
              <w:rPr>
                <w:rFonts w:ascii="Verdana" w:hAnsi="Verdana"/>
                <w:sz w:val="18"/>
                <w:szCs w:val="18"/>
              </w:rPr>
              <w:t>58,7</w:t>
            </w:r>
          </w:p>
        </w:tc>
        <w:tc>
          <w:tcPr>
            <w:tcW w:w="460"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64041D51" w14:textId="77777777">
            <w:pPr>
              <w:jc w:val="right"/>
              <w:rPr>
                <w:rFonts w:ascii="Verdana" w:hAnsi="Verdana"/>
                <w:sz w:val="18"/>
                <w:szCs w:val="18"/>
              </w:rPr>
            </w:pPr>
            <w:r w:rsidRPr="00E544AD">
              <w:rPr>
                <w:rFonts w:ascii="Verdana" w:hAnsi="Verdana"/>
                <w:sz w:val="18"/>
                <w:szCs w:val="18"/>
              </w:rPr>
              <w:t>62,8</w:t>
            </w:r>
          </w:p>
        </w:tc>
        <w:tc>
          <w:tcPr>
            <w:tcW w:w="459"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0CE59B53" w14:textId="77777777">
            <w:pPr>
              <w:jc w:val="right"/>
              <w:rPr>
                <w:rFonts w:ascii="Verdana" w:hAnsi="Verdana"/>
                <w:sz w:val="18"/>
                <w:szCs w:val="18"/>
              </w:rPr>
            </w:pPr>
            <w:r w:rsidRPr="00E544AD">
              <w:rPr>
                <w:rFonts w:ascii="Verdana" w:hAnsi="Verdana"/>
                <w:sz w:val="18"/>
                <w:szCs w:val="18"/>
              </w:rPr>
              <w:t>67,6</w:t>
            </w:r>
          </w:p>
        </w:tc>
      </w:tr>
      <w:tr w:rsidRPr="00E544AD" w:rsidR="00686E88" w:rsidTr="00CE20D1" w14:paraId="2AB44C95"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E544AD" w:rsidR="00686E88" w:rsidP="00CE20D1" w:rsidRDefault="00686E88" w14:paraId="7631678A" w14:textId="77777777">
            <w:pPr>
              <w:rPr>
                <w:rFonts w:ascii="Verdana" w:hAnsi="Verdana"/>
                <w:sz w:val="18"/>
                <w:szCs w:val="18"/>
              </w:rPr>
            </w:pPr>
            <w:r w:rsidRPr="00E544AD">
              <w:rPr>
                <w:rFonts w:ascii="Verdana" w:hAnsi="Verdana"/>
                <w:sz w:val="18"/>
                <w:szCs w:val="18"/>
              </w:rPr>
              <w:t>Openbaar busvervoer Fryslân</w:t>
            </w:r>
          </w:p>
        </w:tc>
        <w:tc>
          <w:tcPr>
            <w:tcW w:w="886" w:type="pct"/>
            <w:tcBorders>
              <w:top w:val="single" w:color="auto" w:sz="4" w:space="0"/>
              <w:left w:val="single" w:color="auto" w:sz="4" w:space="0"/>
              <w:bottom w:val="single" w:color="auto" w:sz="4" w:space="0"/>
              <w:right w:val="single" w:color="auto" w:sz="4" w:space="0"/>
            </w:tcBorders>
            <w:hideMark/>
          </w:tcPr>
          <w:p w:rsidRPr="00E544AD" w:rsidR="00686E88" w:rsidP="00CE20D1" w:rsidRDefault="00686E88" w14:paraId="605E03E7" w14:textId="77777777">
            <w:pPr>
              <w:rPr>
                <w:rFonts w:ascii="Verdana" w:hAnsi="Verdana"/>
                <w:sz w:val="18"/>
                <w:szCs w:val="18"/>
              </w:rPr>
            </w:pPr>
            <w:r w:rsidRPr="00E544AD">
              <w:rPr>
                <w:rFonts w:ascii="Verdana" w:hAnsi="Verdana"/>
                <w:sz w:val="18"/>
                <w:szCs w:val="18"/>
              </w:rPr>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11C8AEFB" w14:textId="77777777">
            <w:pPr>
              <w:jc w:val="right"/>
              <w:rPr>
                <w:rFonts w:ascii="Verdana" w:hAnsi="Verdana"/>
                <w:sz w:val="18"/>
                <w:szCs w:val="18"/>
              </w:rPr>
            </w:pPr>
            <w:r w:rsidRPr="00E544AD">
              <w:rPr>
                <w:rFonts w:ascii="Verdana" w:hAnsi="Verdana"/>
                <w:sz w:val="18"/>
                <w:szCs w:val="18"/>
              </w:rPr>
              <w:t>44,6</w:t>
            </w:r>
          </w:p>
        </w:tc>
        <w:tc>
          <w:tcPr>
            <w:tcW w:w="460"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5AED8289" w14:textId="77777777">
            <w:pPr>
              <w:jc w:val="right"/>
              <w:rPr>
                <w:rFonts w:ascii="Verdana" w:hAnsi="Verdana"/>
                <w:sz w:val="18"/>
                <w:szCs w:val="18"/>
              </w:rPr>
            </w:pPr>
            <w:r w:rsidRPr="00E544AD">
              <w:rPr>
                <w:rFonts w:ascii="Verdana" w:hAnsi="Verdana"/>
                <w:sz w:val="18"/>
                <w:szCs w:val="18"/>
              </w:rPr>
              <w:t>44,8</w:t>
            </w:r>
          </w:p>
        </w:tc>
        <w:tc>
          <w:tcPr>
            <w:tcW w:w="459"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64B5BA2D" w14:textId="77777777">
            <w:pPr>
              <w:jc w:val="right"/>
              <w:rPr>
                <w:rFonts w:ascii="Verdana" w:hAnsi="Verdana"/>
                <w:sz w:val="18"/>
                <w:szCs w:val="18"/>
              </w:rPr>
            </w:pPr>
            <w:r w:rsidRPr="00E544AD">
              <w:rPr>
                <w:rFonts w:ascii="Verdana" w:hAnsi="Verdana"/>
                <w:sz w:val="18"/>
                <w:szCs w:val="18"/>
              </w:rPr>
              <w:t>53</w:t>
            </w:r>
          </w:p>
        </w:tc>
      </w:tr>
      <w:tr w:rsidRPr="00E544AD" w:rsidR="00686E88" w:rsidTr="00CE20D1" w14:paraId="16492621"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E544AD" w:rsidR="00686E88" w:rsidP="00CE20D1" w:rsidRDefault="00686E88" w14:paraId="61EAA9BF" w14:textId="77777777">
            <w:pPr>
              <w:rPr>
                <w:rFonts w:ascii="Verdana" w:hAnsi="Verdana"/>
                <w:sz w:val="18"/>
                <w:szCs w:val="18"/>
              </w:rPr>
            </w:pPr>
            <w:r w:rsidRPr="00E544AD">
              <w:rPr>
                <w:rFonts w:ascii="Verdana" w:hAnsi="Verdana"/>
                <w:sz w:val="18"/>
                <w:szCs w:val="18"/>
              </w:rPr>
              <w:t>IJssel-Vecht</w:t>
            </w:r>
          </w:p>
        </w:tc>
        <w:tc>
          <w:tcPr>
            <w:tcW w:w="886" w:type="pct"/>
            <w:tcBorders>
              <w:top w:val="single" w:color="auto" w:sz="4" w:space="0"/>
              <w:left w:val="single" w:color="auto" w:sz="4" w:space="0"/>
              <w:bottom w:val="single" w:color="auto" w:sz="4" w:space="0"/>
              <w:right w:val="single" w:color="auto" w:sz="4" w:space="0"/>
            </w:tcBorders>
            <w:hideMark/>
          </w:tcPr>
          <w:p w:rsidRPr="00E544AD" w:rsidR="00686E88" w:rsidP="00CE20D1" w:rsidRDefault="00686E88" w14:paraId="027EF861" w14:textId="77777777">
            <w:pPr>
              <w:rPr>
                <w:rFonts w:ascii="Verdana" w:hAnsi="Verdana"/>
                <w:sz w:val="18"/>
                <w:szCs w:val="18"/>
              </w:rPr>
            </w:pPr>
            <w:r w:rsidRPr="00E544AD">
              <w:rPr>
                <w:rFonts w:ascii="Verdana" w:hAnsi="Verdana"/>
                <w:sz w:val="18"/>
                <w:szCs w:val="18"/>
              </w:rPr>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5C0B5B9B" w14:textId="77777777">
            <w:pPr>
              <w:jc w:val="right"/>
              <w:rPr>
                <w:rFonts w:ascii="Verdana" w:hAnsi="Verdana"/>
                <w:sz w:val="18"/>
                <w:szCs w:val="18"/>
              </w:rPr>
            </w:pPr>
            <w:r w:rsidRPr="00E544AD">
              <w:rPr>
                <w:rFonts w:ascii="Verdana" w:hAnsi="Verdana"/>
                <w:sz w:val="18"/>
                <w:szCs w:val="18"/>
              </w:rPr>
              <w:t>63,6</w:t>
            </w:r>
          </w:p>
        </w:tc>
        <w:tc>
          <w:tcPr>
            <w:tcW w:w="460"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3AC63642" w14:textId="77777777">
            <w:pPr>
              <w:jc w:val="right"/>
              <w:rPr>
                <w:rFonts w:ascii="Verdana" w:hAnsi="Verdana"/>
                <w:sz w:val="18"/>
                <w:szCs w:val="18"/>
              </w:rPr>
            </w:pPr>
            <w:r w:rsidRPr="00E544AD">
              <w:rPr>
                <w:rFonts w:ascii="Verdana" w:hAnsi="Verdana"/>
                <w:sz w:val="18"/>
                <w:szCs w:val="18"/>
              </w:rPr>
              <w:t>59</w:t>
            </w:r>
          </w:p>
        </w:tc>
        <w:tc>
          <w:tcPr>
            <w:tcW w:w="459"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611C5080" w14:textId="77777777">
            <w:pPr>
              <w:jc w:val="right"/>
              <w:rPr>
                <w:rFonts w:ascii="Verdana" w:hAnsi="Verdana"/>
                <w:sz w:val="18"/>
                <w:szCs w:val="18"/>
              </w:rPr>
            </w:pPr>
            <w:r w:rsidRPr="00E544AD">
              <w:rPr>
                <w:rFonts w:ascii="Verdana" w:hAnsi="Verdana"/>
                <w:sz w:val="18"/>
                <w:szCs w:val="18"/>
              </w:rPr>
              <w:t>63,4</w:t>
            </w:r>
          </w:p>
        </w:tc>
      </w:tr>
      <w:tr w:rsidRPr="00E544AD" w:rsidR="00686E88" w:rsidTr="00CE20D1" w14:paraId="2CDA352A"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E544AD" w:rsidR="00686E88" w:rsidP="00CE20D1" w:rsidRDefault="00686E88" w14:paraId="0F487B7C" w14:textId="77777777">
            <w:pPr>
              <w:rPr>
                <w:rFonts w:ascii="Verdana" w:hAnsi="Verdana"/>
                <w:sz w:val="18"/>
                <w:szCs w:val="18"/>
              </w:rPr>
            </w:pPr>
            <w:r w:rsidRPr="00E544AD">
              <w:rPr>
                <w:rFonts w:ascii="Verdana" w:hAnsi="Verdana"/>
                <w:sz w:val="18"/>
                <w:szCs w:val="18"/>
              </w:rPr>
              <w:t>Twente (incl. trein)</w:t>
            </w:r>
          </w:p>
        </w:tc>
        <w:tc>
          <w:tcPr>
            <w:tcW w:w="886" w:type="pct"/>
            <w:tcBorders>
              <w:top w:val="single" w:color="auto" w:sz="4" w:space="0"/>
              <w:left w:val="single" w:color="auto" w:sz="4" w:space="0"/>
              <w:bottom w:val="single" w:color="auto" w:sz="4" w:space="0"/>
              <w:right w:val="single" w:color="auto" w:sz="4" w:space="0"/>
            </w:tcBorders>
            <w:hideMark/>
          </w:tcPr>
          <w:p w:rsidRPr="00E544AD" w:rsidR="00686E88" w:rsidP="00CE20D1" w:rsidRDefault="00686E88" w14:paraId="6AB60010" w14:textId="77777777">
            <w:pPr>
              <w:rPr>
                <w:rFonts w:ascii="Verdana" w:hAnsi="Verdana"/>
                <w:sz w:val="18"/>
                <w:szCs w:val="18"/>
              </w:rPr>
            </w:pPr>
            <w:r w:rsidRPr="00E544AD">
              <w:rPr>
                <w:rFonts w:ascii="Verdana" w:hAnsi="Verdana"/>
                <w:sz w:val="18"/>
                <w:szCs w:val="18"/>
              </w:rPr>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632D529B" w14:textId="77777777">
            <w:pPr>
              <w:jc w:val="right"/>
              <w:rPr>
                <w:rFonts w:ascii="Verdana" w:hAnsi="Verdana"/>
                <w:sz w:val="18"/>
                <w:szCs w:val="18"/>
              </w:rPr>
            </w:pPr>
            <w:r w:rsidRPr="00E544AD">
              <w:rPr>
                <w:rFonts w:ascii="Verdana" w:hAnsi="Verdana"/>
                <w:sz w:val="18"/>
                <w:szCs w:val="18"/>
              </w:rPr>
              <w:t>25,1</w:t>
            </w:r>
          </w:p>
        </w:tc>
        <w:tc>
          <w:tcPr>
            <w:tcW w:w="460"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5CC6FA9E" w14:textId="77777777">
            <w:pPr>
              <w:jc w:val="right"/>
              <w:rPr>
                <w:rFonts w:ascii="Verdana" w:hAnsi="Verdana"/>
                <w:sz w:val="18"/>
                <w:szCs w:val="18"/>
              </w:rPr>
            </w:pPr>
            <w:r w:rsidRPr="00E544AD">
              <w:rPr>
                <w:rFonts w:ascii="Verdana" w:hAnsi="Verdana"/>
                <w:sz w:val="18"/>
                <w:szCs w:val="18"/>
              </w:rPr>
              <w:t>26,3</w:t>
            </w:r>
          </w:p>
        </w:tc>
        <w:tc>
          <w:tcPr>
            <w:tcW w:w="459"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58897855" w14:textId="77777777">
            <w:pPr>
              <w:jc w:val="right"/>
              <w:rPr>
                <w:rFonts w:ascii="Verdana" w:hAnsi="Verdana"/>
                <w:sz w:val="18"/>
                <w:szCs w:val="18"/>
              </w:rPr>
            </w:pPr>
            <w:r w:rsidRPr="00E544AD">
              <w:rPr>
                <w:rFonts w:ascii="Verdana" w:hAnsi="Verdana"/>
                <w:sz w:val="18"/>
                <w:szCs w:val="18"/>
              </w:rPr>
              <w:t>34,4</w:t>
            </w:r>
          </w:p>
        </w:tc>
      </w:tr>
      <w:tr w:rsidRPr="00E544AD" w:rsidR="00686E88" w:rsidTr="00CE20D1" w14:paraId="11A7A580"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E544AD" w:rsidR="00686E88" w:rsidP="00CE20D1" w:rsidRDefault="00686E88" w14:paraId="4A364F65" w14:textId="77777777">
            <w:pPr>
              <w:rPr>
                <w:rFonts w:ascii="Verdana" w:hAnsi="Verdana"/>
                <w:sz w:val="18"/>
                <w:szCs w:val="18"/>
              </w:rPr>
            </w:pPr>
            <w:r w:rsidRPr="00E544AD">
              <w:rPr>
                <w:rFonts w:ascii="Verdana" w:hAnsi="Verdana"/>
                <w:sz w:val="18"/>
                <w:szCs w:val="18"/>
              </w:rPr>
              <w:t>Achterhoek Rivierenland (incl. trein)</w:t>
            </w:r>
          </w:p>
        </w:tc>
        <w:tc>
          <w:tcPr>
            <w:tcW w:w="886" w:type="pct"/>
            <w:tcBorders>
              <w:top w:val="single" w:color="auto" w:sz="4" w:space="0"/>
              <w:left w:val="single" w:color="auto" w:sz="4" w:space="0"/>
              <w:bottom w:val="single" w:color="auto" w:sz="4" w:space="0"/>
              <w:right w:val="single" w:color="auto" w:sz="4" w:space="0"/>
            </w:tcBorders>
            <w:hideMark/>
          </w:tcPr>
          <w:p w:rsidRPr="00E544AD" w:rsidR="00686E88" w:rsidP="00CE20D1" w:rsidRDefault="00686E88" w14:paraId="2090A5F1" w14:textId="77777777">
            <w:pPr>
              <w:rPr>
                <w:rFonts w:ascii="Verdana" w:hAnsi="Verdana"/>
                <w:sz w:val="18"/>
                <w:szCs w:val="18"/>
              </w:rPr>
            </w:pPr>
            <w:r w:rsidRPr="00E544AD">
              <w:rPr>
                <w:rFonts w:ascii="Verdana" w:hAnsi="Verdana"/>
                <w:sz w:val="18"/>
                <w:szCs w:val="18"/>
              </w:rPr>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683AD6A1" w14:textId="77777777">
            <w:pPr>
              <w:jc w:val="right"/>
              <w:rPr>
                <w:rFonts w:ascii="Verdana" w:hAnsi="Verdana"/>
                <w:sz w:val="18"/>
                <w:szCs w:val="18"/>
              </w:rPr>
            </w:pPr>
            <w:r w:rsidRPr="00E544AD">
              <w:rPr>
                <w:rFonts w:ascii="Verdana" w:hAnsi="Verdana"/>
                <w:sz w:val="18"/>
                <w:szCs w:val="18"/>
              </w:rPr>
              <w:t>36,2</w:t>
            </w:r>
          </w:p>
        </w:tc>
        <w:tc>
          <w:tcPr>
            <w:tcW w:w="460"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3448D4A7" w14:textId="77777777">
            <w:pPr>
              <w:jc w:val="right"/>
              <w:rPr>
                <w:rFonts w:ascii="Verdana" w:hAnsi="Verdana"/>
                <w:sz w:val="18"/>
                <w:szCs w:val="18"/>
              </w:rPr>
            </w:pPr>
            <w:r w:rsidRPr="00E544AD">
              <w:rPr>
                <w:rFonts w:ascii="Verdana" w:hAnsi="Verdana"/>
                <w:sz w:val="18"/>
                <w:szCs w:val="18"/>
              </w:rPr>
              <w:t>37,6</w:t>
            </w:r>
          </w:p>
        </w:tc>
        <w:tc>
          <w:tcPr>
            <w:tcW w:w="459"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6912CF4D" w14:textId="77777777">
            <w:pPr>
              <w:jc w:val="right"/>
              <w:rPr>
                <w:rFonts w:ascii="Verdana" w:hAnsi="Verdana"/>
                <w:sz w:val="18"/>
                <w:szCs w:val="18"/>
              </w:rPr>
            </w:pPr>
            <w:r w:rsidRPr="00E544AD">
              <w:rPr>
                <w:rFonts w:ascii="Verdana" w:hAnsi="Verdana"/>
                <w:sz w:val="18"/>
                <w:szCs w:val="18"/>
              </w:rPr>
              <w:t>43,4</w:t>
            </w:r>
          </w:p>
        </w:tc>
      </w:tr>
      <w:tr w:rsidRPr="00E544AD" w:rsidR="00686E88" w:rsidTr="00CE20D1" w14:paraId="65ACE0D4"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E544AD" w:rsidR="00686E88" w:rsidP="00CE20D1" w:rsidRDefault="00686E88" w14:paraId="6784E1E2" w14:textId="77777777">
            <w:pPr>
              <w:rPr>
                <w:rFonts w:ascii="Verdana" w:hAnsi="Verdana"/>
                <w:sz w:val="18"/>
                <w:szCs w:val="18"/>
              </w:rPr>
            </w:pPr>
            <w:r w:rsidRPr="00E544AD">
              <w:rPr>
                <w:rFonts w:ascii="Verdana" w:hAnsi="Verdana"/>
                <w:sz w:val="18"/>
                <w:szCs w:val="18"/>
              </w:rPr>
              <w:t>Concessie Arnhem Nijmegen (incl. trein)</w:t>
            </w:r>
          </w:p>
        </w:tc>
        <w:tc>
          <w:tcPr>
            <w:tcW w:w="886" w:type="pct"/>
            <w:tcBorders>
              <w:top w:val="single" w:color="auto" w:sz="4" w:space="0"/>
              <w:left w:val="single" w:color="auto" w:sz="4" w:space="0"/>
              <w:bottom w:val="single" w:color="auto" w:sz="4" w:space="0"/>
              <w:right w:val="single" w:color="auto" w:sz="4" w:space="0"/>
            </w:tcBorders>
            <w:hideMark/>
          </w:tcPr>
          <w:p w:rsidRPr="00E544AD" w:rsidR="00686E88" w:rsidP="00CE20D1" w:rsidRDefault="00686E88" w14:paraId="6FDA98C1" w14:textId="77777777">
            <w:pPr>
              <w:rPr>
                <w:rFonts w:ascii="Verdana" w:hAnsi="Verdana"/>
                <w:sz w:val="18"/>
                <w:szCs w:val="18"/>
              </w:rPr>
            </w:pPr>
            <w:r w:rsidRPr="00E544AD">
              <w:rPr>
                <w:rFonts w:ascii="Verdana" w:hAnsi="Verdana"/>
                <w:sz w:val="18"/>
                <w:szCs w:val="18"/>
              </w:rPr>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30231568" w14:textId="77777777">
            <w:pPr>
              <w:jc w:val="right"/>
              <w:rPr>
                <w:rFonts w:ascii="Verdana" w:hAnsi="Verdana"/>
                <w:sz w:val="18"/>
                <w:szCs w:val="18"/>
              </w:rPr>
            </w:pPr>
            <w:r w:rsidRPr="00E544AD">
              <w:rPr>
                <w:rFonts w:ascii="Verdana" w:hAnsi="Verdana"/>
                <w:sz w:val="18"/>
                <w:szCs w:val="18"/>
              </w:rPr>
              <w:t>53,7</w:t>
            </w:r>
          </w:p>
        </w:tc>
        <w:tc>
          <w:tcPr>
            <w:tcW w:w="460"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4CF902D5" w14:textId="77777777">
            <w:pPr>
              <w:jc w:val="right"/>
              <w:rPr>
                <w:rFonts w:ascii="Verdana" w:hAnsi="Verdana"/>
                <w:sz w:val="18"/>
                <w:szCs w:val="18"/>
              </w:rPr>
            </w:pPr>
            <w:r w:rsidRPr="00E544AD">
              <w:rPr>
                <w:rFonts w:ascii="Verdana" w:hAnsi="Verdana"/>
                <w:sz w:val="18"/>
                <w:szCs w:val="18"/>
              </w:rPr>
              <w:t>87,3</w:t>
            </w:r>
          </w:p>
        </w:tc>
        <w:tc>
          <w:tcPr>
            <w:tcW w:w="459"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07EE8D3C" w14:textId="77777777">
            <w:pPr>
              <w:jc w:val="right"/>
              <w:rPr>
                <w:rFonts w:ascii="Verdana" w:hAnsi="Verdana"/>
                <w:sz w:val="18"/>
                <w:szCs w:val="18"/>
              </w:rPr>
            </w:pPr>
            <w:r w:rsidRPr="00E544AD">
              <w:rPr>
                <w:rFonts w:ascii="Verdana" w:hAnsi="Verdana"/>
                <w:sz w:val="18"/>
                <w:szCs w:val="18"/>
              </w:rPr>
              <w:t>109,7</w:t>
            </w:r>
          </w:p>
        </w:tc>
      </w:tr>
      <w:tr w:rsidRPr="00E544AD" w:rsidR="00686E88" w:rsidTr="00CE20D1" w14:paraId="023635A0"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E544AD" w:rsidR="00686E88" w:rsidP="00CE20D1" w:rsidRDefault="00686E88" w14:paraId="343A2166" w14:textId="77777777">
            <w:pPr>
              <w:rPr>
                <w:rFonts w:ascii="Verdana" w:hAnsi="Verdana"/>
                <w:sz w:val="18"/>
                <w:szCs w:val="18"/>
              </w:rPr>
            </w:pPr>
            <w:r w:rsidRPr="00E544AD">
              <w:rPr>
                <w:rFonts w:ascii="Verdana" w:hAnsi="Verdana"/>
                <w:sz w:val="18"/>
                <w:szCs w:val="18"/>
              </w:rPr>
              <w:t>Noodconcessie Veluwe-Zuid</w:t>
            </w:r>
          </w:p>
        </w:tc>
        <w:tc>
          <w:tcPr>
            <w:tcW w:w="886" w:type="pct"/>
            <w:tcBorders>
              <w:top w:val="single" w:color="auto" w:sz="4" w:space="0"/>
              <w:left w:val="single" w:color="auto" w:sz="4" w:space="0"/>
              <w:bottom w:val="single" w:color="auto" w:sz="4" w:space="0"/>
              <w:right w:val="single" w:color="auto" w:sz="4" w:space="0"/>
            </w:tcBorders>
            <w:hideMark/>
          </w:tcPr>
          <w:p w:rsidRPr="00E544AD" w:rsidR="00686E88" w:rsidP="00CE20D1" w:rsidRDefault="00686E88" w14:paraId="35200D9D" w14:textId="77777777">
            <w:pPr>
              <w:rPr>
                <w:rFonts w:ascii="Verdana" w:hAnsi="Verdana"/>
                <w:sz w:val="18"/>
                <w:szCs w:val="18"/>
              </w:rPr>
            </w:pPr>
            <w:r w:rsidRPr="00E544AD">
              <w:rPr>
                <w:rFonts w:ascii="Verdana" w:hAnsi="Verdana"/>
                <w:sz w:val="18"/>
                <w:szCs w:val="18"/>
              </w:rPr>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29B7056C" w14:textId="77777777">
            <w:pPr>
              <w:jc w:val="right"/>
              <w:rPr>
                <w:rFonts w:ascii="Verdana" w:hAnsi="Verdana"/>
                <w:sz w:val="18"/>
                <w:szCs w:val="18"/>
              </w:rPr>
            </w:pPr>
            <w:r w:rsidRPr="00E544AD">
              <w:rPr>
                <w:rFonts w:ascii="Verdana" w:hAnsi="Verdana"/>
                <w:sz w:val="18"/>
                <w:szCs w:val="18"/>
              </w:rPr>
              <w:t>-</w:t>
            </w:r>
          </w:p>
        </w:tc>
        <w:tc>
          <w:tcPr>
            <w:tcW w:w="460"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6D57BB5A" w14:textId="77777777">
            <w:pPr>
              <w:jc w:val="right"/>
              <w:rPr>
                <w:rFonts w:ascii="Verdana" w:hAnsi="Verdana"/>
                <w:sz w:val="18"/>
                <w:szCs w:val="18"/>
              </w:rPr>
            </w:pPr>
            <w:r w:rsidRPr="00E544AD">
              <w:rPr>
                <w:rFonts w:ascii="Verdana" w:hAnsi="Verdana"/>
                <w:sz w:val="18"/>
                <w:szCs w:val="18"/>
              </w:rPr>
              <w:t>14,8</w:t>
            </w:r>
          </w:p>
        </w:tc>
        <w:tc>
          <w:tcPr>
            <w:tcW w:w="459"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59BB5199" w14:textId="77777777">
            <w:pPr>
              <w:jc w:val="right"/>
              <w:rPr>
                <w:rFonts w:ascii="Verdana" w:hAnsi="Verdana"/>
                <w:sz w:val="18"/>
                <w:szCs w:val="18"/>
              </w:rPr>
            </w:pPr>
            <w:r w:rsidRPr="00E544AD">
              <w:rPr>
                <w:rFonts w:ascii="Verdana" w:hAnsi="Verdana"/>
                <w:sz w:val="18"/>
                <w:szCs w:val="18"/>
              </w:rPr>
              <w:t>18,1</w:t>
            </w:r>
          </w:p>
        </w:tc>
      </w:tr>
      <w:tr w:rsidRPr="00E544AD" w:rsidR="00686E88" w:rsidTr="00CE20D1" w14:paraId="5FA21783"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E544AD" w:rsidR="00686E88" w:rsidP="00CE20D1" w:rsidRDefault="00686E88" w14:paraId="74B3E2D6" w14:textId="77777777">
            <w:pPr>
              <w:rPr>
                <w:rFonts w:ascii="Verdana" w:hAnsi="Verdana"/>
                <w:sz w:val="18"/>
                <w:szCs w:val="18"/>
              </w:rPr>
            </w:pPr>
            <w:r w:rsidRPr="00E544AD">
              <w:rPr>
                <w:rFonts w:ascii="Verdana" w:hAnsi="Verdana"/>
                <w:sz w:val="18"/>
                <w:szCs w:val="18"/>
              </w:rPr>
              <w:t>Busvervoer Almere</w:t>
            </w:r>
          </w:p>
        </w:tc>
        <w:tc>
          <w:tcPr>
            <w:tcW w:w="886" w:type="pct"/>
            <w:tcBorders>
              <w:top w:val="single" w:color="auto" w:sz="4" w:space="0"/>
              <w:left w:val="single" w:color="auto" w:sz="4" w:space="0"/>
              <w:bottom w:val="single" w:color="auto" w:sz="4" w:space="0"/>
              <w:right w:val="single" w:color="auto" w:sz="4" w:space="0"/>
            </w:tcBorders>
            <w:hideMark/>
          </w:tcPr>
          <w:p w:rsidRPr="00E544AD" w:rsidR="00686E88" w:rsidP="00CE20D1" w:rsidRDefault="00686E88" w14:paraId="34120FED" w14:textId="77777777">
            <w:pPr>
              <w:rPr>
                <w:rFonts w:ascii="Verdana" w:hAnsi="Verdana"/>
                <w:sz w:val="18"/>
                <w:szCs w:val="18"/>
              </w:rPr>
            </w:pPr>
            <w:r w:rsidRPr="00E544AD">
              <w:rPr>
                <w:rFonts w:ascii="Verdana" w:hAnsi="Verdana"/>
                <w:sz w:val="18"/>
                <w:szCs w:val="18"/>
              </w:rPr>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33F9BBF5" w14:textId="77777777">
            <w:pPr>
              <w:jc w:val="right"/>
              <w:rPr>
                <w:rFonts w:ascii="Verdana" w:hAnsi="Verdana"/>
                <w:sz w:val="18"/>
                <w:szCs w:val="18"/>
              </w:rPr>
            </w:pPr>
            <w:r w:rsidRPr="00E544AD">
              <w:rPr>
                <w:rFonts w:ascii="Verdana" w:hAnsi="Verdana"/>
                <w:sz w:val="18"/>
                <w:szCs w:val="18"/>
              </w:rPr>
              <w:t>14</w:t>
            </w:r>
          </w:p>
        </w:tc>
        <w:tc>
          <w:tcPr>
            <w:tcW w:w="460"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0EAC7D13" w14:textId="77777777">
            <w:pPr>
              <w:jc w:val="right"/>
              <w:rPr>
                <w:rFonts w:ascii="Verdana" w:hAnsi="Verdana"/>
                <w:sz w:val="18"/>
                <w:szCs w:val="18"/>
              </w:rPr>
            </w:pPr>
            <w:r w:rsidRPr="00E544AD">
              <w:rPr>
                <w:rFonts w:ascii="Verdana" w:hAnsi="Verdana"/>
                <w:sz w:val="18"/>
                <w:szCs w:val="18"/>
              </w:rPr>
              <w:t>14,5</w:t>
            </w:r>
          </w:p>
        </w:tc>
        <w:tc>
          <w:tcPr>
            <w:tcW w:w="459"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0A46F7EE" w14:textId="77777777">
            <w:pPr>
              <w:jc w:val="right"/>
              <w:rPr>
                <w:rFonts w:ascii="Verdana" w:hAnsi="Verdana"/>
                <w:sz w:val="18"/>
                <w:szCs w:val="18"/>
              </w:rPr>
            </w:pPr>
            <w:r w:rsidRPr="00E544AD">
              <w:rPr>
                <w:rFonts w:ascii="Verdana" w:hAnsi="Verdana"/>
                <w:sz w:val="18"/>
                <w:szCs w:val="18"/>
              </w:rPr>
              <w:t>17,7</w:t>
            </w:r>
          </w:p>
        </w:tc>
      </w:tr>
      <w:tr w:rsidRPr="00E544AD" w:rsidR="00686E88" w:rsidTr="00CE20D1" w14:paraId="491034C0"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E544AD" w:rsidR="00686E88" w:rsidP="00CE20D1" w:rsidRDefault="00686E88" w14:paraId="686CE350" w14:textId="77777777">
            <w:pPr>
              <w:rPr>
                <w:rFonts w:ascii="Verdana" w:hAnsi="Verdana"/>
                <w:sz w:val="18"/>
                <w:szCs w:val="18"/>
              </w:rPr>
            </w:pPr>
            <w:r w:rsidRPr="00E544AD">
              <w:rPr>
                <w:rFonts w:ascii="Verdana" w:hAnsi="Verdana"/>
                <w:sz w:val="18"/>
                <w:szCs w:val="18"/>
              </w:rPr>
              <w:t>Provincie Utrecht</w:t>
            </w:r>
          </w:p>
        </w:tc>
        <w:tc>
          <w:tcPr>
            <w:tcW w:w="886" w:type="pct"/>
            <w:tcBorders>
              <w:top w:val="single" w:color="auto" w:sz="4" w:space="0"/>
              <w:left w:val="single" w:color="auto" w:sz="4" w:space="0"/>
              <w:bottom w:val="single" w:color="auto" w:sz="4" w:space="0"/>
              <w:right w:val="single" w:color="auto" w:sz="4" w:space="0"/>
            </w:tcBorders>
            <w:hideMark/>
          </w:tcPr>
          <w:p w:rsidRPr="00E544AD" w:rsidR="00686E88" w:rsidP="00CE20D1" w:rsidRDefault="00686E88" w14:paraId="34597564" w14:textId="77777777">
            <w:pPr>
              <w:rPr>
                <w:rFonts w:ascii="Verdana" w:hAnsi="Verdana"/>
                <w:sz w:val="18"/>
                <w:szCs w:val="18"/>
              </w:rPr>
            </w:pPr>
            <w:r w:rsidRPr="00E544AD">
              <w:rPr>
                <w:rFonts w:ascii="Verdana" w:hAnsi="Verdana"/>
                <w:sz w:val="18"/>
                <w:szCs w:val="18"/>
              </w:rPr>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66F9446F" w14:textId="77777777">
            <w:pPr>
              <w:jc w:val="right"/>
              <w:rPr>
                <w:rFonts w:ascii="Verdana" w:hAnsi="Verdana"/>
                <w:sz w:val="18"/>
                <w:szCs w:val="18"/>
              </w:rPr>
            </w:pPr>
            <w:r w:rsidRPr="00E544AD">
              <w:rPr>
                <w:rFonts w:ascii="Verdana" w:hAnsi="Verdana"/>
                <w:sz w:val="18"/>
                <w:szCs w:val="18"/>
              </w:rPr>
              <w:t>33,5</w:t>
            </w:r>
          </w:p>
        </w:tc>
        <w:tc>
          <w:tcPr>
            <w:tcW w:w="460"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03C33EA1" w14:textId="77777777">
            <w:pPr>
              <w:jc w:val="right"/>
              <w:rPr>
                <w:rFonts w:ascii="Verdana" w:hAnsi="Verdana"/>
                <w:sz w:val="18"/>
                <w:szCs w:val="18"/>
              </w:rPr>
            </w:pPr>
            <w:r w:rsidRPr="00E544AD">
              <w:rPr>
                <w:rFonts w:ascii="Verdana" w:hAnsi="Verdana"/>
                <w:sz w:val="18"/>
                <w:szCs w:val="18"/>
              </w:rPr>
              <w:t>46,1</w:t>
            </w:r>
          </w:p>
        </w:tc>
        <w:tc>
          <w:tcPr>
            <w:tcW w:w="459"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744653F8" w14:textId="77777777">
            <w:pPr>
              <w:jc w:val="right"/>
              <w:rPr>
                <w:rFonts w:ascii="Verdana" w:hAnsi="Verdana"/>
                <w:sz w:val="18"/>
                <w:szCs w:val="18"/>
              </w:rPr>
            </w:pPr>
            <w:r w:rsidRPr="00E544AD">
              <w:rPr>
                <w:rFonts w:ascii="Verdana" w:hAnsi="Verdana"/>
                <w:sz w:val="18"/>
                <w:szCs w:val="18"/>
              </w:rPr>
              <w:t>52,3</w:t>
            </w:r>
          </w:p>
        </w:tc>
      </w:tr>
      <w:tr w:rsidRPr="00E544AD" w:rsidR="00686E88" w:rsidTr="00CE20D1" w14:paraId="3FDF43B5"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E544AD" w:rsidR="00686E88" w:rsidP="00CE20D1" w:rsidRDefault="00686E88" w14:paraId="0DC473B5" w14:textId="77777777">
            <w:pPr>
              <w:rPr>
                <w:rFonts w:ascii="Verdana" w:hAnsi="Verdana"/>
                <w:sz w:val="18"/>
                <w:szCs w:val="18"/>
              </w:rPr>
            </w:pPr>
            <w:r w:rsidRPr="00E544AD">
              <w:rPr>
                <w:rFonts w:ascii="Verdana" w:hAnsi="Verdana"/>
                <w:sz w:val="18"/>
                <w:szCs w:val="18"/>
              </w:rPr>
              <w:t>Tram en bus Regio Utrecht</w:t>
            </w:r>
          </w:p>
        </w:tc>
        <w:tc>
          <w:tcPr>
            <w:tcW w:w="886" w:type="pct"/>
            <w:tcBorders>
              <w:top w:val="single" w:color="auto" w:sz="4" w:space="0"/>
              <w:left w:val="single" w:color="auto" w:sz="4" w:space="0"/>
              <w:bottom w:val="single" w:color="auto" w:sz="4" w:space="0"/>
              <w:right w:val="single" w:color="auto" w:sz="4" w:space="0"/>
            </w:tcBorders>
            <w:hideMark/>
          </w:tcPr>
          <w:p w:rsidRPr="00E544AD" w:rsidR="00686E88" w:rsidP="00CE20D1" w:rsidRDefault="00686E88" w14:paraId="4497A4F2" w14:textId="77777777">
            <w:pPr>
              <w:rPr>
                <w:rFonts w:ascii="Verdana" w:hAnsi="Verdana"/>
                <w:sz w:val="18"/>
                <w:szCs w:val="18"/>
              </w:rPr>
            </w:pPr>
            <w:r w:rsidRPr="00E544AD">
              <w:rPr>
                <w:rFonts w:ascii="Verdana" w:hAnsi="Verdana"/>
                <w:sz w:val="18"/>
                <w:szCs w:val="18"/>
              </w:rPr>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089FA89E" w14:textId="77777777">
            <w:pPr>
              <w:jc w:val="right"/>
              <w:rPr>
                <w:rFonts w:ascii="Verdana" w:hAnsi="Verdana"/>
                <w:sz w:val="18"/>
                <w:szCs w:val="18"/>
              </w:rPr>
            </w:pPr>
            <w:r w:rsidRPr="00E544AD">
              <w:rPr>
                <w:rFonts w:ascii="Verdana" w:hAnsi="Verdana"/>
                <w:sz w:val="18"/>
                <w:szCs w:val="18"/>
              </w:rPr>
              <w:t>35,7</w:t>
            </w:r>
          </w:p>
        </w:tc>
        <w:tc>
          <w:tcPr>
            <w:tcW w:w="460"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70145A8F" w14:textId="77777777">
            <w:pPr>
              <w:jc w:val="right"/>
              <w:rPr>
                <w:rFonts w:ascii="Verdana" w:hAnsi="Verdana"/>
                <w:sz w:val="18"/>
                <w:szCs w:val="18"/>
              </w:rPr>
            </w:pPr>
            <w:r w:rsidRPr="00E544AD">
              <w:rPr>
                <w:rFonts w:ascii="Verdana" w:hAnsi="Verdana"/>
                <w:sz w:val="18"/>
                <w:szCs w:val="18"/>
              </w:rPr>
              <w:t>65,1</w:t>
            </w:r>
          </w:p>
        </w:tc>
        <w:tc>
          <w:tcPr>
            <w:tcW w:w="459"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57E323BF" w14:textId="77777777">
            <w:pPr>
              <w:jc w:val="right"/>
              <w:rPr>
                <w:rFonts w:ascii="Verdana" w:hAnsi="Verdana"/>
                <w:sz w:val="18"/>
                <w:szCs w:val="18"/>
              </w:rPr>
            </w:pPr>
            <w:r w:rsidRPr="00E544AD">
              <w:rPr>
                <w:rFonts w:ascii="Verdana" w:hAnsi="Verdana"/>
                <w:sz w:val="18"/>
                <w:szCs w:val="18"/>
              </w:rPr>
              <w:t>61,2</w:t>
            </w:r>
          </w:p>
        </w:tc>
      </w:tr>
      <w:tr w:rsidRPr="00E544AD" w:rsidR="00686E88" w:rsidTr="00CE20D1" w14:paraId="0A4F5646"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E544AD" w:rsidR="00686E88" w:rsidP="00CE20D1" w:rsidRDefault="00686E88" w14:paraId="7335511D" w14:textId="77777777">
            <w:pPr>
              <w:rPr>
                <w:rFonts w:ascii="Verdana" w:hAnsi="Verdana"/>
                <w:sz w:val="18"/>
                <w:szCs w:val="18"/>
              </w:rPr>
            </w:pPr>
            <w:r w:rsidRPr="00E544AD">
              <w:rPr>
                <w:rFonts w:ascii="Verdana" w:hAnsi="Verdana"/>
                <w:sz w:val="18"/>
                <w:szCs w:val="18"/>
              </w:rPr>
              <w:t>Gooi en Vechtstreek</w:t>
            </w:r>
          </w:p>
        </w:tc>
        <w:tc>
          <w:tcPr>
            <w:tcW w:w="886" w:type="pct"/>
            <w:tcBorders>
              <w:top w:val="single" w:color="auto" w:sz="4" w:space="0"/>
              <w:left w:val="single" w:color="auto" w:sz="4" w:space="0"/>
              <w:bottom w:val="single" w:color="auto" w:sz="4" w:space="0"/>
              <w:right w:val="single" w:color="auto" w:sz="4" w:space="0"/>
            </w:tcBorders>
            <w:hideMark/>
          </w:tcPr>
          <w:p w:rsidRPr="00E544AD" w:rsidR="00686E88" w:rsidP="00CE20D1" w:rsidRDefault="00686E88" w14:paraId="5F75C7FC" w14:textId="77777777">
            <w:pPr>
              <w:rPr>
                <w:rFonts w:ascii="Verdana" w:hAnsi="Verdana"/>
                <w:sz w:val="18"/>
                <w:szCs w:val="18"/>
              </w:rPr>
            </w:pPr>
            <w:r w:rsidRPr="00E544AD">
              <w:rPr>
                <w:rFonts w:ascii="Verdana" w:hAnsi="Verdana"/>
                <w:sz w:val="18"/>
                <w:szCs w:val="18"/>
              </w:rPr>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4485F187" w14:textId="77777777">
            <w:pPr>
              <w:jc w:val="right"/>
              <w:rPr>
                <w:rFonts w:ascii="Verdana" w:hAnsi="Verdana"/>
                <w:sz w:val="18"/>
                <w:szCs w:val="18"/>
              </w:rPr>
            </w:pPr>
            <w:r w:rsidRPr="00E544AD">
              <w:rPr>
                <w:rFonts w:ascii="Verdana" w:hAnsi="Verdana"/>
                <w:sz w:val="18"/>
                <w:szCs w:val="18"/>
              </w:rPr>
              <w:t>12,4</w:t>
            </w:r>
          </w:p>
        </w:tc>
        <w:tc>
          <w:tcPr>
            <w:tcW w:w="460"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618F9FDB" w14:textId="77777777">
            <w:pPr>
              <w:jc w:val="right"/>
              <w:rPr>
                <w:rFonts w:ascii="Verdana" w:hAnsi="Verdana"/>
                <w:sz w:val="18"/>
                <w:szCs w:val="18"/>
              </w:rPr>
            </w:pPr>
            <w:r w:rsidRPr="00E544AD">
              <w:rPr>
                <w:rFonts w:ascii="Verdana" w:hAnsi="Verdana"/>
                <w:sz w:val="18"/>
                <w:szCs w:val="18"/>
              </w:rPr>
              <w:t>14</w:t>
            </w:r>
          </w:p>
        </w:tc>
        <w:tc>
          <w:tcPr>
            <w:tcW w:w="459"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5DF49044" w14:textId="77777777">
            <w:pPr>
              <w:jc w:val="right"/>
              <w:rPr>
                <w:rFonts w:ascii="Verdana" w:hAnsi="Verdana"/>
                <w:sz w:val="18"/>
                <w:szCs w:val="18"/>
              </w:rPr>
            </w:pPr>
            <w:r w:rsidRPr="00E544AD">
              <w:rPr>
                <w:rFonts w:ascii="Verdana" w:hAnsi="Verdana"/>
                <w:sz w:val="18"/>
                <w:szCs w:val="18"/>
              </w:rPr>
              <w:t>13,8</w:t>
            </w:r>
          </w:p>
        </w:tc>
      </w:tr>
      <w:tr w:rsidRPr="00E544AD" w:rsidR="00686E88" w:rsidTr="00CE20D1" w14:paraId="0DC1C6C3"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E544AD" w:rsidR="00686E88" w:rsidP="00CE20D1" w:rsidRDefault="00686E88" w14:paraId="20AD7F8B" w14:textId="77777777">
            <w:pPr>
              <w:rPr>
                <w:rFonts w:ascii="Verdana" w:hAnsi="Verdana"/>
                <w:sz w:val="18"/>
                <w:szCs w:val="18"/>
              </w:rPr>
            </w:pPr>
            <w:r w:rsidRPr="00E544AD">
              <w:rPr>
                <w:rFonts w:ascii="Verdana" w:hAnsi="Verdana"/>
                <w:sz w:val="18"/>
                <w:szCs w:val="18"/>
              </w:rPr>
              <w:t>Noord-Holland Noord</w:t>
            </w:r>
          </w:p>
        </w:tc>
        <w:tc>
          <w:tcPr>
            <w:tcW w:w="886" w:type="pct"/>
            <w:tcBorders>
              <w:top w:val="single" w:color="auto" w:sz="4" w:space="0"/>
              <w:left w:val="single" w:color="auto" w:sz="4" w:space="0"/>
              <w:bottom w:val="single" w:color="auto" w:sz="4" w:space="0"/>
              <w:right w:val="single" w:color="auto" w:sz="4" w:space="0"/>
            </w:tcBorders>
            <w:hideMark/>
          </w:tcPr>
          <w:p w:rsidRPr="00E544AD" w:rsidR="00686E88" w:rsidP="00CE20D1" w:rsidRDefault="00686E88" w14:paraId="3B02AF3E" w14:textId="77777777">
            <w:pPr>
              <w:rPr>
                <w:rFonts w:ascii="Verdana" w:hAnsi="Verdana"/>
                <w:sz w:val="18"/>
                <w:szCs w:val="18"/>
              </w:rPr>
            </w:pPr>
            <w:r w:rsidRPr="00E544AD">
              <w:rPr>
                <w:rFonts w:ascii="Verdana" w:hAnsi="Verdana"/>
                <w:sz w:val="18"/>
                <w:szCs w:val="18"/>
              </w:rPr>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7109BCC1" w14:textId="77777777">
            <w:pPr>
              <w:jc w:val="right"/>
              <w:rPr>
                <w:rFonts w:ascii="Verdana" w:hAnsi="Verdana"/>
                <w:sz w:val="18"/>
                <w:szCs w:val="18"/>
              </w:rPr>
            </w:pPr>
            <w:r w:rsidRPr="00E544AD">
              <w:rPr>
                <w:rFonts w:ascii="Verdana" w:hAnsi="Verdana"/>
                <w:sz w:val="18"/>
                <w:szCs w:val="18"/>
              </w:rPr>
              <w:t>24,1</w:t>
            </w:r>
          </w:p>
        </w:tc>
        <w:tc>
          <w:tcPr>
            <w:tcW w:w="460"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1D9B3326" w14:textId="77777777">
            <w:pPr>
              <w:jc w:val="right"/>
              <w:rPr>
                <w:rFonts w:ascii="Verdana" w:hAnsi="Verdana"/>
                <w:sz w:val="18"/>
                <w:szCs w:val="18"/>
              </w:rPr>
            </w:pPr>
            <w:r w:rsidRPr="00E544AD">
              <w:rPr>
                <w:rFonts w:ascii="Verdana" w:hAnsi="Verdana"/>
                <w:sz w:val="18"/>
                <w:szCs w:val="18"/>
              </w:rPr>
              <w:t>25,5</w:t>
            </w:r>
          </w:p>
        </w:tc>
        <w:tc>
          <w:tcPr>
            <w:tcW w:w="459"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6605F62B" w14:textId="77777777">
            <w:pPr>
              <w:jc w:val="right"/>
              <w:rPr>
                <w:rFonts w:ascii="Verdana" w:hAnsi="Verdana"/>
                <w:sz w:val="18"/>
                <w:szCs w:val="18"/>
              </w:rPr>
            </w:pPr>
            <w:r w:rsidRPr="00E544AD">
              <w:rPr>
                <w:rFonts w:ascii="Verdana" w:hAnsi="Verdana"/>
                <w:sz w:val="18"/>
                <w:szCs w:val="18"/>
              </w:rPr>
              <w:t>28,6</w:t>
            </w:r>
          </w:p>
        </w:tc>
      </w:tr>
      <w:tr w:rsidRPr="00E544AD" w:rsidR="00686E88" w:rsidTr="00CE20D1" w14:paraId="6C6BF129"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E544AD" w:rsidR="00686E88" w:rsidP="00CE20D1" w:rsidRDefault="00686E88" w14:paraId="5DF2D2F9" w14:textId="77777777">
            <w:pPr>
              <w:rPr>
                <w:rFonts w:ascii="Verdana" w:hAnsi="Verdana"/>
                <w:sz w:val="18"/>
                <w:szCs w:val="18"/>
              </w:rPr>
            </w:pPr>
            <w:r w:rsidRPr="00E544AD">
              <w:rPr>
                <w:rFonts w:ascii="Verdana" w:hAnsi="Verdana"/>
                <w:sz w:val="18"/>
                <w:szCs w:val="18"/>
              </w:rPr>
              <w:t>Haarlem/IJmond</w:t>
            </w:r>
          </w:p>
        </w:tc>
        <w:tc>
          <w:tcPr>
            <w:tcW w:w="886" w:type="pct"/>
            <w:tcBorders>
              <w:top w:val="single" w:color="auto" w:sz="4" w:space="0"/>
              <w:left w:val="single" w:color="auto" w:sz="4" w:space="0"/>
              <w:bottom w:val="single" w:color="auto" w:sz="4" w:space="0"/>
              <w:right w:val="single" w:color="auto" w:sz="4" w:space="0"/>
            </w:tcBorders>
            <w:hideMark/>
          </w:tcPr>
          <w:p w:rsidRPr="00E544AD" w:rsidR="00686E88" w:rsidP="00CE20D1" w:rsidRDefault="00686E88" w14:paraId="479473C5" w14:textId="77777777">
            <w:pPr>
              <w:rPr>
                <w:rFonts w:ascii="Verdana" w:hAnsi="Verdana"/>
                <w:sz w:val="18"/>
                <w:szCs w:val="18"/>
              </w:rPr>
            </w:pPr>
            <w:r w:rsidRPr="00E544AD">
              <w:rPr>
                <w:rFonts w:ascii="Verdana" w:hAnsi="Verdana"/>
                <w:sz w:val="18"/>
                <w:szCs w:val="18"/>
              </w:rPr>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252A3A30" w14:textId="77777777">
            <w:pPr>
              <w:jc w:val="right"/>
              <w:rPr>
                <w:rFonts w:ascii="Verdana" w:hAnsi="Verdana"/>
                <w:sz w:val="18"/>
                <w:szCs w:val="18"/>
              </w:rPr>
            </w:pPr>
            <w:r w:rsidRPr="00E544AD">
              <w:rPr>
                <w:rFonts w:ascii="Verdana" w:hAnsi="Verdana"/>
                <w:sz w:val="18"/>
                <w:szCs w:val="18"/>
              </w:rPr>
              <w:t>18,8</w:t>
            </w:r>
          </w:p>
        </w:tc>
        <w:tc>
          <w:tcPr>
            <w:tcW w:w="460"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6007134F" w14:textId="77777777">
            <w:pPr>
              <w:jc w:val="right"/>
              <w:rPr>
                <w:rFonts w:ascii="Verdana" w:hAnsi="Verdana"/>
                <w:sz w:val="18"/>
                <w:szCs w:val="18"/>
              </w:rPr>
            </w:pPr>
            <w:r w:rsidRPr="00E544AD">
              <w:rPr>
                <w:rFonts w:ascii="Verdana" w:hAnsi="Verdana"/>
                <w:sz w:val="18"/>
                <w:szCs w:val="18"/>
              </w:rPr>
              <w:t>17,1</w:t>
            </w:r>
          </w:p>
        </w:tc>
        <w:tc>
          <w:tcPr>
            <w:tcW w:w="459"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0A7CAFAB" w14:textId="77777777">
            <w:pPr>
              <w:jc w:val="right"/>
              <w:rPr>
                <w:rFonts w:ascii="Verdana" w:hAnsi="Verdana"/>
                <w:sz w:val="18"/>
                <w:szCs w:val="18"/>
              </w:rPr>
            </w:pPr>
            <w:r w:rsidRPr="00E544AD">
              <w:rPr>
                <w:rFonts w:ascii="Verdana" w:hAnsi="Verdana"/>
                <w:sz w:val="18"/>
                <w:szCs w:val="18"/>
              </w:rPr>
              <w:t>21,7</w:t>
            </w:r>
          </w:p>
        </w:tc>
      </w:tr>
      <w:tr w:rsidRPr="00E544AD" w:rsidR="00686E88" w:rsidTr="00CE20D1" w14:paraId="78448A55"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E544AD" w:rsidR="00686E88" w:rsidP="00CE20D1" w:rsidRDefault="00686E88" w14:paraId="040F9B06" w14:textId="77777777">
            <w:pPr>
              <w:rPr>
                <w:rFonts w:ascii="Verdana" w:hAnsi="Verdana"/>
                <w:sz w:val="18"/>
                <w:szCs w:val="18"/>
              </w:rPr>
            </w:pPr>
            <w:r w:rsidRPr="00E544AD">
              <w:rPr>
                <w:rFonts w:ascii="Verdana" w:hAnsi="Verdana"/>
                <w:sz w:val="18"/>
                <w:szCs w:val="18"/>
              </w:rPr>
              <w:t>Zuid-Holland Noord</w:t>
            </w:r>
          </w:p>
        </w:tc>
        <w:tc>
          <w:tcPr>
            <w:tcW w:w="886" w:type="pct"/>
            <w:tcBorders>
              <w:top w:val="single" w:color="auto" w:sz="4" w:space="0"/>
              <w:left w:val="single" w:color="auto" w:sz="4" w:space="0"/>
              <w:bottom w:val="single" w:color="auto" w:sz="4" w:space="0"/>
              <w:right w:val="single" w:color="auto" w:sz="4" w:space="0"/>
            </w:tcBorders>
            <w:hideMark/>
          </w:tcPr>
          <w:p w:rsidRPr="00E544AD" w:rsidR="00686E88" w:rsidP="00CE20D1" w:rsidRDefault="00686E88" w14:paraId="65BAE2A9" w14:textId="77777777">
            <w:pPr>
              <w:rPr>
                <w:rFonts w:ascii="Verdana" w:hAnsi="Verdana"/>
                <w:b/>
                <w:bCs/>
                <w:sz w:val="18"/>
                <w:szCs w:val="18"/>
              </w:rPr>
            </w:pPr>
            <w:r w:rsidRPr="00E544AD">
              <w:rPr>
                <w:rFonts w:ascii="Verdana" w:hAnsi="Verdana"/>
                <w:sz w:val="18"/>
                <w:szCs w:val="18"/>
              </w:rPr>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4D96510C" w14:textId="77777777">
            <w:pPr>
              <w:jc w:val="right"/>
              <w:rPr>
                <w:rFonts w:ascii="Verdana" w:hAnsi="Verdana"/>
                <w:sz w:val="18"/>
                <w:szCs w:val="18"/>
              </w:rPr>
            </w:pPr>
            <w:r w:rsidRPr="00E544AD">
              <w:rPr>
                <w:rFonts w:ascii="Verdana" w:hAnsi="Verdana"/>
                <w:sz w:val="18"/>
                <w:szCs w:val="18"/>
              </w:rPr>
              <w:t>36,2</w:t>
            </w:r>
          </w:p>
        </w:tc>
        <w:tc>
          <w:tcPr>
            <w:tcW w:w="460"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1AB02988" w14:textId="77777777">
            <w:pPr>
              <w:jc w:val="right"/>
              <w:rPr>
                <w:rFonts w:ascii="Verdana" w:hAnsi="Verdana"/>
                <w:sz w:val="18"/>
                <w:szCs w:val="18"/>
              </w:rPr>
            </w:pPr>
            <w:r w:rsidRPr="00E544AD">
              <w:rPr>
                <w:rFonts w:ascii="Verdana" w:hAnsi="Verdana"/>
                <w:sz w:val="18"/>
                <w:szCs w:val="18"/>
              </w:rPr>
              <w:t>39,4</w:t>
            </w:r>
          </w:p>
        </w:tc>
        <w:tc>
          <w:tcPr>
            <w:tcW w:w="459"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7335F6A8" w14:textId="77777777">
            <w:pPr>
              <w:jc w:val="right"/>
              <w:rPr>
                <w:rFonts w:ascii="Verdana" w:hAnsi="Verdana"/>
                <w:sz w:val="18"/>
                <w:szCs w:val="18"/>
              </w:rPr>
            </w:pPr>
            <w:r w:rsidRPr="00E544AD">
              <w:rPr>
                <w:rFonts w:ascii="Verdana" w:hAnsi="Verdana"/>
                <w:sz w:val="18"/>
                <w:szCs w:val="18"/>
              </w:rPr>
              <w:t>45,7</w:t>
            </w:r>
          </w:p>
        </w:tc>
      </w:tr>
      <w:tr w:rsidRPr="00E544AD" w:rsidR="00686E88" w:rsidTr="00CE20D1" w14:paraId="4F2BC9BB"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E544AD" w:rsidR="00686E88" w:rsidP="00CE20D1" w:rsidRDefault="00686E88" w14:paraId="787BD018" w14:textId="77777777">
            <w:pPr>
              <w:rPr>
                <w:rFonts w:ascii="Verdana" w:hAnsi="Verdana"/>
                <w:sz w:val="18"/>
                <w:szCs w:val="18"/>
              </w:rPr>
            </w:pPr>
            <w:r w:rsidRPr="00E544AD">
              <w:rPr>
                <w:rFonts w:ascii="Verdana" w:hAnsi="Verdana"/>
                <w:sz w:val="18"/>
                <w:szCs w:val="18"/>
              </w:rPr>
              <w:t>Hoeksche Waard/Goeree Overflakkee</w:t>
            </w:r>
          </w:p>
        </w:tc>
        <w:tc>
          <w:tcPr>
            <w:tcW w:w="886" w:type="pct"/>
            <w:tcBorders>
              <w:top w:val="single" w:color="auto" w:sz="4" w:space="0"/>
              <w:left w:val="single" w:color="auto" w:sz="4" w:space="0"/>
              <w:bottom w:val="single" w:color="auto" w:sz="4" w:space="0"/>
              <w:right w:val="single" w:color="auto" w:sz="4" w:space="0"/>
            </w:tcBorders>
            <w:hideMark/>
          </w:tcPr>
          <w:p w:rsidRPr="00E544AD" w:rsidR="00686E88" w:rsidP="00CE20D1" w:rsidRDefault="00686E88" w14:paraId="40EB143E" w14:textId="77777777">
            <w:pPr>
              <w:rPr>
                <w:rFonts w:ascii="Verdana" w:hAnsi="Verdana"/>
                <w:sz w:val="18"/>
                <w:szCs w:val="18"/>
              </w:rPr>
            </w:pPr>
            <w:r w:rsidRPr="00E544AD">
              <w:rPr>
                <w:rFonts w:ascii="Verdana" w:hAnsi="Verdana"/>
                <w:sz w:val="18"/>
                <w:szCs w:val="18"/>
              </w:rPr>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15745B2E" w14:textId="77777777">
            <w:pPr>
              <w:jc w:val="right"/>
              <w:rPr>
                <w:rFonts w:ascii="Verdana" w:hAnsi="Verdana"/>
                <w:sz w:val="18"/>
                <w:szCs w:val="18"/>
              </w:rPr>
            </w:pPr>
            <w:r w:rsidRPr="00E544AD">
              <w:rPr>
                <w:rFonts w:ascii="Verdana" w:hAnsi="Verdana"/>
                <w:sz w:val="18"/>
                <w:szCs w:val="18"/>
              </w:rPr>
              <w:t>13,1</w:t>
            </w:r>
          </w:p>
        </w:tc>
        <w:tc>
          <w:tcPr>
            <w:tcW w:w="460"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2BDAA038" w14:textId="77777777">
            <w:pPr>
              <w:jc w:val="right"/>
              <w:rPr>
                <w:rFonts w:ascii="Verdana" w:hAnsi="Verdana"/>
                <w:sz w:val="18"/>
                <w:szCs w:val="18"/>
              </w:rPr>
            </w:pPr>
            <w:r w:rsidRPr="00E544AD">
              <w:rPr>
                <w:rFonts w:ascii="Verdana" w:hAnsi="Verdana"/>
                <w:sz w:val="18"/>
                <w:szCs w:val="18"/>
              </w:rPr>
              <w:t>14,6</w:t>
            </w:r>
          </w:p>
        </w:tc>
        <w:tc>
          <w:tcPr>
            <w:tcW w:w="459"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7D415A22" w14:textId="77777777">
            <w:pPr>
              <w:jc w:val="right"/>
              <w:rPr>
                <w:rFonts w:ascii="Verdana" w:hAnsi="Verdana"/>
                <w:sz w:val="18"/>
                <w:szCs w:val="18"/>
              </w:rPr>
            </w:pPr>
            <w:r w:rsidRPr="00E544AD">
              <w:rPr>
                <w:rFonts w:ascii="Verdana" w:hAnsi="Verdana"/>
                <w:sz w:val="18"/>
                <w:szCs w:val="18"/>
              </w:rPr>
              <w:t>15,7</w:t>
            </w:r>
          </w:p>
        </w:tc>
      </w:tr>
      <w:tr w:rsidRPr="00E544AD" w:rsidR="00686E88" w:rsidTr="00CE20D1" w14:paraId="03D5584F"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E544AD" w:rsidR="00686E88" w:rsidP="00CE20D1" w:rsidRDefault="00686E88" w14:paraId="5DE6DCAE" w14:textId="77777777">
            <w:pPr>
              <w:rPr>
                <w:rFonts w:ascii="Verdana" w:hAnsi="Verdana"/>
                <w:sz w:val="18"/>
                <w:szCs w:val="18"/>
              </w:rPr>
            </w:pPr>
            <w:r w:rsidRPr="00E544AD">
              <w:rPr>
                <w:rFonts w:ascii="Verdana" w:hAnsi="Verdana"/>
                <w:sz w:val="18"/>
                <w:szCs w:val="18"/>
              </w:rPr>
              <w:t>Drechtsteden-Molenlanden Gorinchem (incl. trein)</w:t>
            </w:r>
          </w:p>
        </w:tc>
        <w:tc>
          <w:tcPr>
            <w:tcW w:w="886" w:type="pct"/>
            <w:tcBorders>
              <w:top w:val="single" w:color="auto" w:sz="4" w:space="0"/>
              <w:left w:val="single" w:color="auto" w:sz="4" w:space="0"/>
              <w:bottom w:val="single" w:color="auto" w:sz="4" w:space="0"/>
              <w:right w:val="single" w:color="auto" w:sz="4" w:space="0"/>
            </w:tcBorders>
            <w:hideMark/>
          </w:tcPr>
          <w:p w:rsidRPr="00E544AD" w:rsidR="00686E88" w:rsidP="00CE20D1" w:rsidRDefault="00686E88" w14:paraId="7CACDF91" w14:textId="77777777">
            <w:pPr>
              <w:rPr>
                <w:rFonts w:ascii="Verdana" w:hAnsi="Verdana"/>
                <w:sz w:val="18"/>
                <w:szCs w:val="18"/>
              </w:rPr>
            </w:pPr>
            <w:r w:rsidRPr="00E544AD">
              <w:rPr>
                <w:rFonts w:ascii="Verdana" w:hAnsi="Verdana"/>
                <w:sz w:val="18"/>
                <w:szCs w:val="18"/>
              </w:rPr>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0F09AE25" w14:textId="77777777">
            <w:pPr>
              <w:jc w:val="right"/>
              <w:rPr>
                <w:rFonts w:ascii="Verdana" w:hAnsi="Verdana"/>
                <w:sz w:val="18"/>
                <w:szCs w:val="18"/>
              </w:rPr>
            </w:pPr>
            <w:r w:rsidRPr="00E544AD">
              <w:rPr>
                <w:rFonts w:ascii="Verdana" w:hAnsi="Verdana"/>
                <w:sz w:val="18"/>
                <w:szCs w:val="18"/>
              </w:rPr>
              <w:t>28,1</w:t>
            </w:r>
          </w:p>
        </w:tc>
        <w:tc>
          <w:tcPr>
            <w:tcW w:w="460"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016A8DA6" w14:textId="77777777">
            <w:pPr>
              <w:jc w:val="right"/>
              <w:rPr>
                <w:rFonts w:ascii="Verdana" w:hAnsi="Verdana"/>
                <w:sz w:val="18"/>
                <w:szCs w:val="18"/>
              </w:rPr>
            </w:pPr>
            <w:r w:rsidRPr="00E544AD">
              <w:rPr>
                <w:rFonts w:ascii="Verdana" w:hAnsi="Verdana"/>
                <w:sz w:val="18"/>
                <w:szCs w:val="18"/>
              </w:rPr>
              <w:t>29,7</w:t>
            </w:r>
          </w:p>
        </w:tc>
        <w:tc>
          <w:tcPr>
            <w:tcW w:w="459"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6FC8C25D" w14:textId="77777777">
            <w:pPr>
              <w:jc w:val="right"/>
              <w:rPr>
                <w:rFonts w:ascii="Verdana" w:hAnsi="Verdana"/>
                <w:sz w:val="18"/>
                <w:szCs w:val="18"/>
              </w:rPr>
            </w:pPr>
            <w:r w:rsidRPr="00E544AD">
              <w:rPr>
                <w:rFonts w:ascii="Verdana" w:hAnsi="Verdana"/>
                <w:sz w:val="18"/>
                <w:szCs w:val="18"/>
              </w:rPr>
              <w:t>33,1</w:t>
            </w:r>
          </w:p>
        </w:tc>
      </w:tr>
      <w:tr w:rsidRPr="00E544AD" w:rsidR="00686E88" w:rsidTr="00CE20D1" w14:paraId="7D025012"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E544AD" w:rsidR="00686E88" w:rsidP="00CE20D1" w:rsidRDefault="00686E88" w14:paraId="2AA98AB8" w14:textId="77777777">
            <w:pPr>
              <w:rPr>
                <w:rFonts w:ascii="Verdana" w:hAnsi="Verdana"/>
                <w:sz w:val="18"/>
                <w:szCs w:val="18"/>
              </w:rPr>
            </w:pPr>
            <w:r w:rsidRPr="00E544AD">
              <w:rPr>
                <w:rFonts w:ascii="Verdana" w:hAnsi="Verdana"/>
                <w:sz w:val="18"/>
                <w:szCs w:val="18"/>
              </w:rPr>
              <w:t>Zeeland</w:t>
            </w:r>
          </w:p>
        </w:tc>
        <w:tc>
          <w:tcPr>
            <w:tcW w:w="886" w:type="pct"/>
            <w:tcBorders>
              <w:top w:val="single" w:color="auto" w:sz="4" w:space="0"/>
              <w:left w:val="single" w:color="auto" w:sz="4" w:space="0"/>
              <w:bottom w:val="single" w:color="auto" w:sz="4" w:space="0"/>
              <w:right w:val="single" w:color="auto" w:sz="4" w:space="0"/>
            </w:tcBorders>
            <w:hideMark/>
          </w:tcPr>
          <w:p w:rsidRPr="00E544AD" w:rsidR="00686E88" w:rsidP="00CE20D1" w:rsidRDefault="00686E88" w14:paraId="453B7B47" w14:textId="77777777">
            <w:pPr>
              <w:rPr>
                <w:rFonts w:ascii="Verdana" w:hAnsi="Verdana"/>
                <w:sz w:val="18"/>
                <w:szCs w:val="18"/>
              </w:rPr>
            </w:pPr>
            <w:r w:rsidRPr="00E544AD">
              <w:rPr>
                <w:rFonts w:ascii="Verdana" w:hAnsi="Verdana"/>
                <w:sz w:val="18"/>
                <w:szCs w:val="18"/>
              </w:rPr>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15F522BF" w14:textId="77777777">
            <w:pPr>
              <w:jc w:val="right"/>
              <w:rPr>
                <w:rFonts w:ascii="Verdana" w:hAnsi="Verdana"/>
                <w:sz w:val="18"/>
                <w:szCs w:val="18"/>
              </w:rPr>
            </w:pPr>
            <w:r w:rsidRPr="00E544AD">
              <w:rPr>
                <w:rFonts w:ascii="Verdana" w:hAnsi="Verdana"/>
                <w:sz w:val="18"/>
                <w:szCs w:val="18"/>
              </w:rPr>
              <w:t>16,5</w:t>
            </w:r>
          </w:p>
        </w:tc>
        <w:tc>
          <w:tcPr>
            <w:tcW w:w="460"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7842A597" w14:textId="77777777">
            <w:pPr>
              <w:jc w:val="right"/>
              <w:rPr>
                <w:rFonts w:ascii="Verdana" w:hAnsi="Verdana"/>
                <w:sz w:val="18"/>
                <w:szCs w:val="18"/>
              </w:rPr>
            </w:pPr>
            <w:r w:rsidRPr="00E544AD">
              <w:rPr>
                <w:rFonts w:ascii="Verdana" w:hAnsi="Verdana"/>
                <w:sz w:val="18"/>
                <w:szCs w:val="18"/>
              </w:rPr>
              <w:t>17,5</w:t>
            </w:r>
          </w:p>
        </w:tc>
        <w:tc>
          <w:tcPr>
            <w:tcW w:w="459"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2FD79881" w14:textId="77777777">
            <w:pPr>
              <w:jc w:val="right"/>
              <w:rPr>
                <w:rFonts w:ascii="Verdana" w:hAnsi="Verdana"/>
                <w:sz w:val="18"/>
                <w:szCs w:val="18"/>
              </w:rPr>
            </w:pPr>
            <w:r w:rsidRPr="00E544AD">
              <w:rPr>
                <w:rFonts w:ascii="Verdana" w:hAnsi="Verdana"/>
                <w:sz w:val="18"/>
                <w:szCs w:val="18"/>
              </w:rPr>
              <w:t>21,9</w:t>
            </w:r>
          </w:p>
        </w:tc>
      </w:tr>
      <w:tr w:rsidRPr="00E544AD" w:rsidR="00686E88" w:rsidTr="00CE20D1" w14:paraId="6D8AA12D"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E544AD" w:rsidR="00686E88" w:rsidP="00CE20D1" w:rsidRDefault="00686E88" w14:paraId="5CC6C01E" w14:textId="77777777">
            <w:pPr>
              <w:rPr>
                <w:rFonts w:ascii="Verdana" w:hAnsi="Verdana"/>
                <w:sz w:val="18"/>
                <w:szCs w:val="18"/>
              </w:rPr>
            </w:pPr>
            <w:r w:rsidRPr="00E544AD">
              <w:rPr>
                <w:rFonts w:ascii="Verdana" w:hAnsi="Verdana"/>
                <w:sz w:val="18"/>
                <w:szCs w:val="18"/>
              </w:rPr>
              <w:t>West-Brabant</w:t>
            </w:r>
          </w:p>
        </w:tc>
        <w:tc>
          <w:tcPr>
            <w:tcW w:w="886" w:type="pct"/>
            <w:tcBorders>
              <w:top w:val="single" w:color="auto" w:sz="4" w:space="0"/>
              <w:left w:val="single" w:color="auto" w:sz="4" w:space="0"/>
              <w:bottom w:val="single" w:color="auto" w:sz="4" w:space="0"/>
              <w:right w:val="single" w:color="auto" w:sz="4" w:space="0"/>
            </w:tcBorders>
            <w:hideMark/>
          </w:tcPr>
          <w:p w:rsidRPr="00E544AD" w:rsidR="00686E88" w:rsidP="00CE20D1" w:rsidRDefault="00686E88" w14:paraId="4FC52939" w14:textId="77777777">
            <w:pPr>
              <w:rPr>
                <w:rFonts w:ascii="Verdana" w:hAnsi="Verdana"/>
                <w:sz w:val="18"/>
                <w:szCs w:val="18"/>
              </w:rPr>
            </w:pPr>
            <w:r w:rsidRPr="00E544AD">
              <w:rPr>
                <w:rFonts w:ascii="Verdana" w:hAnsi="Verdana"/>
                <w:sz w:val="18"/>
                <w:szCs w:val="18"/>
              </w:rPr>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59CB3FE1" w14:textId="77777777">
            <w:pPr>
              <w:jc w:val="right"/>
              <w:rPr>
                <w:rFonts w:ascii="Verdana" w:hAnsi="Verdana"/>
                <w:sz w:val="18"/>
                <w:szCs w:val="18"/>
              </w:rPr>
            </w:pPr>
            <w:r w:rsidRPr="00E544AD">
              <w:rPr>
                <w:rFonts w:ascii="Verdana" w:hAnsi="Verdana"/>
                <w:sz w:val="18"/>
                <w:szCs w:val="18"/>
              </w:rPr>
              <w:t>30,2</w:t>
            </w:r>
          </w:p>
        </w:tc>
        <w:tc>
          <w:tcPr>
            <w:tcW w:w="460"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655E8236" w14:textId="77777777">
            <w:pPr>
              <w:jc w:val="right"/>
              <w:rPr>
                <w:rFonts w:ascii="Verdana" w:hAnsi="Verdana"/>
                <w:sz w:val="18"/>
                <w:szCs w:val="18"/>
              </w:rPr>
            </w:pPr>
            <w:r w:rsidRPr="00E544AD">
              <w:rPr>
                <w:rFonts w:ascii="Verdana" w:hAnsi="Verdana"/>
                <w:sz w:val="18"/>
                <w:szCs w:val="18"/>
              </w:rPr>
              <w:t>32,3</w:t>
            </w:r>
          </w:p>
        </w:tc>
        <w:tc>
          <w:tcPr>
            <w:tcW w:w="459"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75B64BE6" w14:textId="77777777">
            <w:pPr>
              <w:jc w:val="right"/>
              <w:rPr>
                <w:rFonts w:ascii="Verdana" w:hAnsi="Verdana"/>
                <w:sz w:val="18"/>
                <w:szCs w:val="18"/>
              </w:rPr>
            </w:pPr>
            <w:r w:rsidRPr="00E544AD">
              <w:rPr>
                <w:rFonts w:ascii="Verdana" w:hAnsi="Verdana"/>
                <w:sz w:val="18"/>
                <w:szCs w:val="18"/>
              </w:rPr>
              <w:t>36,1</w:t>
            </w:r>
          </w:p>
        </w:tc>
      </w:tr>
      <w:tr w:rsidRPr="00E544AD" w:rsidR="00686E88" w:rsidTr="00CE20D1" w14:paraId="78A1BF2F"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E544AD" w:rsidR="00686E88" w:rsidP="00CE20D1" w:rsidRDefault="00686E88" w14:paraId="7A562777" w14:textId="77777777">
            <w:pPr>
              <w:rPr>
                <w:rFonts w:ascii="Verdana" w:hAnsi="Verdana"/>
                <w:sz w:val="18"/>
                <w:szCs w:val="18"/>
              </w:rPr>
            </w:pPr>
            <w:r w:rsidRPr="00E544AD">
              <w:rPr>
                <w:rFonts w:ascii="Verdana" w:hAnsi="Verdana"/>
                <w:sz w:val="18"/>
                <w:szCs w:val="18"/>
              </w:rPr>
              <w:t>Oost-Brabant</w:t>
            </w:r>
          </w:p>
        </w:tc>
        <w:tc>
          <w:tcPr>
            <w:tcW w:w="886" w:type="pct"/>
            <w:tcBorders>
              <w:top w:val="single" w:color="auto" w:sz="4" w:space="0"/>
              <w:left w:val="single" w:color="auto" w:sz="4" w:space="0"/>
              <w:bottom w:val="single" w:color="auto" w:sz="4" w:space="0"/>
              <w:right w:val="single" w:color="auto" w:sz="4" w:space="0"/>
            </w:tcBorders>
            <w:hideMark/>
          </w:tcPr>
          <w:p w:rsidRPr="00E544AD" w:rsidR="00686E88" w:rsidP="00CE20D1" w:rsidRDefault="00686E88" w14:paraId="563504A1" w14:textId="77777777">
            <w:pPr>
              <w:rPr>
                <w:rFonts w:ascii="Verdana" w:hAnsi="Verdana"/>
                <w:sz w:val="18"/>
                <w:szCs w:val="18"/>
              </w:rPr>
            </w:pPr>
            <w:r w:rsidRPr="00E544AD">
              <w:rPr>
                <w:rFonts w:ascii="Verdana" w:hAnsi="Verdana"/>
                <w:sz w:val="18"/>
                <w:szCs w:val="18"/>
              </w:rPr>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4AFF6CD4" w14:textId="77777777">
            <w:pPr>
              <w:jc w:val="right"/>
              <w:rPr>
                <w:rFonts w:ascii="Verdana" w:hAnsi="Verdana"/>
                <w:sz w:val="18"/>
                <w:szCs w:val="18"/>
              </w:rPr>
            </w:pPr>
            <w:r w:rsidRPr="00E544AD">
              <w:rPr>
                <w:rFonts w:ascii="Verdana" w:hAnsi="Verdana"/>
                <w:sz w:val="18"/>
                <w:szCs w:val="18"/>
              </w:rPr>
              <w:t>35,4</w:t>
            </w:r>
          </w:p>
        </w:tc>
        <w:tc>
          <w:tcPr>
            <w:tcW w:w="460"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43FEE0C6" w14:textId="77777777">
            <w:pPr>
              <w:jc w:val="right"/>
              <w:rPr>
                <w:rFonts w:ascii="Verdana" w:hAnsi="Verdana"/>
                <w:sz w:val="18"/>
                <w:szCs w:val="18"/>
              </w:rPr>
            </w:pPr>
            <w:r w:rsidRPr="00E544AD">
              <w:rPr>
                <w:rFonts w:ascii="Verdana" w:hAnsi="Verdana"/>
                <w:sz w:val="18"/>
                <w:szCs w:val="18"/>
              </w:rPr>
              <w:t>37,2</w:t>
            </w:r>
          </w:p>
        </w:tc>
        <w:tc>
          <w:tcPr>
            <w:tcW w:w="459"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2401EB04" w14:textId="77777777">
            <w:pPr>
              <w:jc w:val="right"/>
              <w:rPr>
                <w:rFonts w:ascii="Verdana" w:hAnsi="Verdana"/>
                <w:sz w:val="18"/>
                <w:szCs w:val="18"/>
              </w:rPr>
            </w:pPr>
            <w:r w:rsidRPr="00E544AD">
              <w:rPr>
                <w:rFonts w:ascii="Verdana" w:hAnsi="Verdana"/>
                <w:sz w:val="18"/>
                <w:szCs w:val="18"/>
              </w:rPr>
              <w:t>39,5</w:t>
            </w:r>
          </w:p>
        </w:tc>
      </w:tr>
      <w:tr w:rsidRPr="00E544AD" w:rsidR="00686E88" w:rsidTr="00CE20D1" w14:paraId="63B641C1"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E544AD" w:rsidR="00686E88" w:rsidP="00CE20D1" w:rsidRDefault="00686E88" w14:paraId="703059E5" w14:textId="77777777">
            <w:pPr>
              <w:rPr>
                <w:rFonts w:ascii="Verdana" w:hAnsi="Verdana"/>
                <w:sz w:val="18"/>
                <w:szCs w:val="18"/>
              </w:rPr>
            </w:pPr>
            <w:r w:rsidRPr="00E544AD">
              <w:rPr>
                <w:rFonts w:ascii="Verdana" w:hAnsi="Verdana"/>
                <w:sz w:val="18"/>
                <w:szCs w:val="18"/>
              </w:rPr>
              <w:t>Zuidoost-Brabant</w:t>
            </w:r>
          </w:p>
        </w:tc>
        <w:tc>
          <w:tcPr>
            <w:tcW w:w="886" w:type="pct"/>
            <w:tcBorders>
              <w:top w:val="single" w:color="auto" w:sz="4" w:space="0"/>
              <w:left w:val="single" w:color="auto" w:sz="4" w:space="0"/>
              <w:bottom w:val="single" w:color="auto" w:sz="4" w:space="0"/>
              <w:right w:val="single" w:color="auto" w:sz="4" w:space="0"/>
            </w:tcBorders>
            <w:hideMark/>
          </w:tcPr>
          <w:p w:rsidRPr="00E544AD" w:rsidR="00686E88" w:rsidP="00CE20D1" w:rsidRDefault="00686E88" w14:paraId="09F58EB8" w14:textId="77777777">
            <w:pPr>
              <w:rPr>
                <w:rFonts w:ascii="Verdana" w:hAnsi="Verdana"/>
                <w:sz w:val="18"/>
                <w:szCs w:val="18"/>
              </w:rPr>
            </w:pPr>
            <w:r w:rsidRPr="00E544AD">
              <w:rPr>
                <w:rFonts w:ascii="Verdana" w:hAnsi="Verdana"/>
                <w:sz w:val="18"/>
                <w:szCs w:val="18"/>
              </w:rPr>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2C70EB4F" w14:textId="77777777">
            <w:pPr>
              <w:jc w:val="right"/>
              <w:rPr>
                <w:rFonts w:ascii="Verdana" w:hAnsi="Verdana"/>
                <w:sz w:val="18"/>
                <w:szCs w:val="18"/>
              </w:rPr>
            </w:pPr>
            <w:r w:rsidRPr="00E544AD">
              <w:rPr>
                <w:rFonts w:ascii="Verdana" w:hAnsi="Verdana"/>
                <w:sz w:val="18"/>
                <w:szCs w:val="18"/>
              </w:rPr>
              <w:t>25</w:t>
            </w:r>
          </w:p>
        </w:tc>
        <w:tc>
          <w:tcPr>
            <w:tcW w:w="460"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02FFED9A" w14:textId="77777777">
            <w:pPr>
              <w:jc w:val="right"/>
              <w:rPr>
                <w:rFonts w:ascii="Verdana" w:hAnsi="Verdana"/>
                <w:sz w:val="18"/>
                <w:szCs w:val="18"/>
              </w:rPr>
            </w:pPr>
            <w:r w:rsidRPr="00E544AD">
              <w:rPr>
                <w:rFonts w:ascii="Verdana" w:hAnsi="Verdana"/>
                <w:sz w:val="18"/>
                <w:szCs w:val="18"/>
              </w:rPr>
              <w:t>24,4</w:t>
            </w:r>
          </w:p>
        </w:tc>
        <w:tc>
          <w:tcPr>
            <w:tcW w:w="459"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2F4ACD64" w14:textId="77777777">
            <w:pPr>
              <w:jc w:val="right"/>
              <w:rPr>
                <w:rFonts w:ascii="Verdana" w:hAnsi="Verdana"/>
                <w:sz w:val="18"/>
                <w:szCs w:val="18"/>
              </w:rPr>
            </w:pPr>
            <w:r w:rsidRPr="00E544AD">
              <w:rPr>
                <w:rFonts w:ascii="Verdana" w:hAnsi="Verdana"/>
                <w:sz w:val="18"/>
                <w:szCs w:val="18"/>
              </w:rPr>
              <w:t>26,9</w:t>
            </w:r>
          </w:p>
        </w:tc>
      </w:tr>
      <w:tr w:rsidRPr="00E544AD" w:rsidR="00686E88" w:rsidTr="00CE20D1" w14:paraId="316D73F2"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E544AD" w:rsidR="00686E88" w:rsidP="00CE20D1" w:rsidRDefault="00686E88" w14:paraId="62058472" w14:textId="77777777">
            <w:pPr>
              <w:rPr>
                <w:rFonts w:ascii="Verdana" w:hAnsi="Verdana"/>
                <w:sz w:val="18"/>
                <w:szCs w:val="18"/>
              </w:rPr>
            </w:pPr>
            <w:r w:rsidRPr="00E544AD">
              <w:rPr>
                <w:rFonts w:ascii="Verdana" w:hAnsi="Verdana"/>
                <w:sz w:val="18"/>
                <w:szCs w:val="18"/>
              </w:rPr>
              <w:t>Limburg (incl. trein)</w:t>
            </w:r>
          </w:p>
        </w:tc>
        <w:tc>
          <w:tcPr>
            <w:tcW w:w="886" w:type="pct"/>
            <w:tcBorders>
              <w:top w:val="single" w:color="auto" w:sz="4" w:space="0"/>
              <w:left w:val="single" w:color="auto" w:sz="4" w:space="0"/>
              <w:bottom w:val="single" w:color="auto" w:sz="4" w:space="0"/>
              <w:right w:val="single" w:color="auto" w:sz="4" w:space="0"/>
            </w:tcBorders>
            <w:hideMark/>
          </w:tcPr>
          <w:p w:rsidRPr="00E544AD" w:rsidR="00686E88" w:rsidP="00CE20D1" w:rsidRDefault="00686E88" w14:paraId="08B6E282" w14:textId="77777777">
            <w:pPr>
              <w:rPr>
                <w:rFonts w:ascii="Verdana" w:hAnsi="Verdana"/>
                <w:sz w:val="18"/>
                <w:szCs w:val="18"/>
              </w:rPr>
            </w:pPr>
            <w:r w:rsidRPr="00E544AD">
              <w:rPr>
                <w:rFonts w:ascii="Verdana" w:hAnsi="Verdana"/>
                <w:sz w:val="18"/>
                <w:szCs w:val="18"/>
              </w:rPr>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6B1C4793" w14:textId="77777777">
            <w:pPr>
              <w:jc w:val="right"/>
              <w:rPr>
                <w:rFonts w:ascii="Verdana" w:hAnsi="Verdana"/>
                <w:sz w:val="18"/>
                <w:szCs w:val="18"/>
              </w:rPr>
            </w:pPr>
            <w:r w:rsidRPr="00E544AD">
              <w:rPr>
                <w:rFonts w:ascii="Verdana" w:hAnsi="Verdana"/>
                <w:sz w:val="18"/>
                <w:szCs w:val="18"/>
              </w:rPr>
              <w:t>63</w:t>
            </w:r>
          </w:p>
        </w:tc>
        <w:tc>
          <w:tcPr>
            <w:tcW w:w="460"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36F2D501" w14:textId="77777777">
            <w:pPr>
              <w:jc w:val="right"/>
              <w:rPr>
                <w:rFonts w:ascii="Verdana" w:hAnsi="Verdana"/>
                <w:sz w:val="18"/>
                <w:szCs w:val="18"/>
              </w:rPr>
            </w:pPr>
            <w:r w:rsidRPr="00E544AD">
              <w:rPr>
                <w:rFonts w:ascii="Verdana" w:hAnsi="Verdana"/>
                <w:sz w:val="18"/>
                <w:szCs w:val="18"/>
              </w:rPr>
              <w:t>66</w:t>
            </w:r>
          </w:p>
        </w:tc>
        <w:tc>
          <w:tcPr>
            <w:tcW w:w="459"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1CE251EB" w14:textId="77777777">
            <w:pPr>
              <w:jc w:val="right"/>
              <w:rPr>
                <w:rFonts w:ascii="Verdana" w:hAnsi="Verdana"/>
                <w:sz w:val="18"/>
                <w:szCs w:val="18"/>
              </w:rPr>
            </w:pPr>
            <w:r w:rsidRPr="00E544AD">
              <w:rPr>
                <w:rFonts w:ascii="Verdana" w:hAnsi="Verdana"/>
                <w:sz w:val="18"/>
                <w:szCs w:val="18"/>
              </w:rPr>
              <w:t>76,3</w:t>
            </w:r>
          </w:p>
        </w:tc>
      </w:tr>
      <w:tr w:rsidRPr="00E544AD" w:rsidR="00686E88" w:rsidTr="00CE20D1" w14:paraId="3203666F"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E544AD" w:rsidR="00686E88" w:rsidP="00CE20D1" w:rsidRDefault="00686E88" w14:paraId="4F05E102" w14:textId="77777777">
            <w:pPr>
              <w:rPr>
                <w:rFonts w:ascii="Verdana" w:hAnsi="Verdana"/>
                <w:sz w:val="18"/>
                <w:szCs w:val="18"/>
              </w:rPr>
            </w:pPr>
            <w:r w:rsidRPr="00E544AD">
              <w:rPr>
                <w:rFonts w:ascii="Verdana" w:hAnsi="Verdana"/>
                <w:sz w:val="18"/>
                <w:szCs w:val="18"/>
              </w:rPr>
              <w:t>Regionaal spoorvervoer Groningen</w:t>
            </w:r>
          </w:p>
        </w:tc>
        <w:tc>
          <w:tcPr>
            <w:tcW w:w="886" w:type="pct"/>
            <w:tcBorders>
              <w:top w:val="single" w:color="auto" w:sz="4" w:space="0"/>
              <w:left w:val="single" w:color="auto" w:sz="4" w:space="0"/>
              <w:bottom w:val="single" w:color="auto" w:sz="4" w:space="0"/>
              <w:right w:val="single" w:color="auto" w:sz="4" w:space="0"/>
            </w:tcBorders>
            <w:hideMark/>
          </w:tcPr>
          <w:p w:rsidRPr="00E544AD" w:rsidR="00686E88" w:rsidP="00CE20D1" w:rsidRDefault="00686E88" w14:paraId="2F95D841" w14:textId="77777777">
            <w:pPr>
              <w:rPr>
                <w:rFonts w:ascii="Verdana" w:hAnsi="Verdana"/>
                <w:sz w:val="18"/>
                <w:szCs w:val="18"/>
              </w:rPr>
            </w:pPr>
            <w:r w:rsidRPr="00E544AD">
              <w:rPr>
                <w:rFonts w:ascii="Verdana" w:hAnsi="Verdana"/>
                <w:sz w:val="18"/>
                <w:szCs w:val="18"/>
              </w:rPr>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2295F6E1" w14:textId="77777777">
            <w:pPr>
              <w:jc w:val="right"/>
              <w:rPr>
                <w:rFonts w:ascii="Verdana" w:hAnsi="Verdana"/>
                <w:sz w:val="18"/>
                <w:szCs w:val="18"/>
              </w:rPr>
            </w:pPr>
            <w:r w:rsidRPr="00E544AD">
              <w:rPr>
                <w:rFonts w:ascii="Verdana" w:hAnsi="Verdana"/>
                <w:sz w:val="18"/>
                <w:szCs w:val="18"/>
              </w:rPr>
              <w:t>24,1</w:t>
            </w:r>
          </w:p>
        </w:tc>
        <w:tc>
          <w:tcPr>
            <w:tcW w:w="460"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6E2CD13B" w14:textId="77777777">
            <w:pPr>
              <w:jc w:val="right"/>
              <w:rPr>
                <w:rFonts w:ascii="Verdana" w:hAnsi="Verdana"/>
                <w:sz w:val="18"/>
                <w:szCs w:val="18"/>
              </w:rPr>
            </w:pPr>
            <w:r w:rsidRPr="00E544AD">
              <w:rPr>
                <w:rFonts w:ascii="Verdana" w:hAnsi="Verdana"/>
                <w:sz w:val="18"/>
                <w:szCs w:val="18"/>
              </w:rPr>
              <w:t>24,9</w:t>
            </w:r>
          </w:p>
        </w:tc>
        <w:tc>
          <w:tcPr>
            <w:tcW w:w="459"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4863A6D0" w14:textId="77777777">
            <w:pPr>
              <w:jc w:val="right"/>
              <w:rPr>
                <w:rFonts w:ascii="Verdana" w:hAnsi="Verdana"/>
                <w:sz w:val="18"/>
                <w:szCs w:val="18"/>
              </w:rPr>
            </w:pPr>
            <w:r w:rsidRPr="00E544AD">
              <w:rPr>
                <w:rFonts w:ascii="Verdana" w:hAnsi="Verdana"/>
                <w:sz w:val="18"/>
                <w:szCs w:val="18"/>
              </w:rPr>
              <w:t>28</w:t>
            </w:r>
          </w:p>
        </w:tc>
      </w:tr>
      <w:tr w:rsidRPr="00E544AD" w:rsidR="00686E88" w:rsidTr="00CE20D1" w14:paraId="49038489"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E544AD" w:rsidR="00686E88" w:rsidP="00CE20D1" w:rsidRDefault="00686E88" w14:paraId="477D873E" w14:textId="77777777">
            <w:pPr>
              <w:rPr>
                <w:rFonts w:ascii="Verdana" w:hAnsi="Verdana"/>
                <w:sz w:val="18"/>
                <w:szCs w:val="18"/>
              </w:rPr>
            </w:pPr>
            <w:r w:rsidRPr="00E544AD">
              <w:rPr>
                <w:rFonts w:ascii="Verdana" w:hAnsi="Verdana"/>
                <w:sz w:val="18"/>
                <w:szCs w:val="18"/>
              </w:rPr>
              <w:t>Regionaal spoorvervoer Fryslân</w:t>
            </w:r>
          </w:p>
        </w:tc>
        <w:tc>
          <w:tcPr>
            <w:tcW w:w="886" w:type="pct"/>
            <w:tcBorders>
              <w:top w:val="single" w:color="auto" w:sz="4" w:space="0"/>
              <w:left w:val="single" w:color="auto" w:sz="4" w:space="0"/>
              <w:bottom w:val="single" w:color="auto" w:sz="4" w:space="0"/>
              <w:right w:val="single" w:color="auto" w:sz="4" w:space="0"/>
            </w:tcBorders>
            <w:hideMark/>
          </w:tcPr>
          <w:p w:rsidRPr="00E544AD" w:rsidR="00686E88" w:rsidP="00CE20D1" w:rsidRDefault="00686E88" w14:paraId="35BA23F9" w14:textId="77777777">
            <w:pPr>
              <w:rPr>
                <w:rFonts w:ascii="Verdana" w:hAnsi="Verdana"/>
                <w:sz w:val="18"/>
                <w:szCs w:val="18"/>
              </w:rPr>
            </w:pPr>
            <w:r w:rsidRPr="00E544AD">
              <w:rPr>
                <w:rFonts w:ascii="Verdana" w:hAnsi="Verdana"/>
                <w:sz w:val="18"/>
                <w:szCs w:val="18"/>
              </w:rPr>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4102E81D" w14:textId="77777777">
            <w:pPr>
              <w:jc w:val="right"/>
              <w:rPr>
                <w:rFonts w:ascii="Verdana" w:hAnsi="Verdana"/>
                <w:sz w:val="18"/>
                <w:szCs w:val="18"/>
              </w:rPr>
            </w:pPr>
            <w:r w:rsidRPr="00E544AD">
              <w:rPr>
                <w:rFonts w:ascii="Verdana" w:hAnsi="Verdana"/>
                <w:sz w:val="18"/>
                <w:szCs w:val="18"/>
              </w:rPr>
              <w:t>10,8</w:t>
            </w:r>
          </w:p>
        </w:tc>
        <w:tc>
          <w:tcPr>
            <w:tcW w:w="460"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278F8684" w14:textId="77777777">
            <w:pPr>
              <w:jc w:val="right"/>
              <w:rPr>
                <w:rFonts w:ascii="Verdana" w:hAnsi="Verdana"/>
                <w:sz w:val="18"/>
                <w:szCs w:val="18"/>
              </w:rPr>
            </w:pPr>
            <w:r w:rsidRPr="00E544AD">
              <w:rPr>
                <w:rFonts w:ascii="Verdana" w:hAnsi="Verdana"/>
                <w:sz w:val="18"/>
                <w:szCs w:val="18"/>
              </w:rPr>
              <w:t>11,4</w:t>
            </w:r>
          </w:p>
        </w:tc>
        <w:tc>
          <w:tcPr>
            <w:tcW w:w="459"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48283199" w14:textId="77777777">
            <w:pPr>
              <w:jc w:val="right"/>
              <w:rPr>
                <w:rFonts w:ascii="Verdana" w:hAnsi="Verdana"/>
                <w:sz w:val="18"/>
                <w:szCs w:val="18"/>
              </w:rPr>
            </w:pPr>
            <w:r w:rsidRPr="00E544AD">
              <w:rPr>
                <w:rFonts w:ascii="Verdana" w:hAnsi="Verdana"/>
                <w:sz w:val="18"/>
                <w:szCs w:val="18"/>
              </w:rPr>
              <w:t>14,5</w:t>
            </w:r>
          </w:p>
        </w:tc>
      </w:tr>
      <w:tr w:rsidRPr="00E544AD" w:rsidR="00686E88" w:rsidTr="00CE20D1" w14:paraId="74B1260B"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E544AD" w:rsidR="00686E88" w:rsidP="00CE20D1" w:rsidRDefault="00686E88" w14:paraId="27006053" w14:textId="77777777">
            <w:pPr>
              <w:rPr>
                <w:rFonts w:ascii="Verdana" w:hAnsi="Verdana"/>
                <w:sz w:val="18"/>
                <w:szCs w:val="18"/>
              </w:rPr>
            </w:pPr>
            <w:r w:rsidRPr="00E544AD">
              <w:rPr>
                <w:rFonts w:ascii="Verdana" w:hAnsi="Verdana"/>
                <w:sz w:val="18"/>
                <w:szCs w:val="18"/>
              </w:rPr>
              <w:t>Treindienst Zwolle-Kampen</w:t>
            </w:r>
          </w:p>
        </w:tc>
        <w:tc>
          <w:tcPr>
            <w:tcW w:w="886" w:type="pct"/>
            <w:tcBorders>
              <w:top w:val="single" w:color="auto" w:sz="4" w:space="0"/>
              <w:left w:val="single" w:color="auto" w:sz="4" w:space="0"/>
              <w:bottom w:val="single" w:color="auto" w:sz="4" w:space="0"/>
              <w:right w:val="single" w:color="auto" w:sz="4" w:space="0"/>
            </w:tcBorders>
            <w:hideMark/>
          </w:tcPr>
          <w:p w:rsidRPr="00E544AD" w:rsidR="00686E88" w:rsidP="00CE20D1" w:rsidRDefault="00686E88" w14:paraId="547C20D9" w14:textId="77777777">
            <w:pPr>
              <w:rPr>
                <w:rFonts w:ascii="Verdana" w:hAnsi="Verdana"/>
                <w:sz w:val="18"/>
                <w:szCs w:val="18"/>
              </w:rPr>
            </w:pPr>
            <w:r w:rsidRPr="00E544AD">
              <w:rPr>
                <w:rFonts w:ascii="Verdana" w:hAnsi="Verdana"/>
                <w:sz w:val="18"/>
                <w:szCs w:val="18"/>
              </w:rPr>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390516B9" w14:textId="77777777">
            <w:pPr>
              <w:jc w:val="right"/>
              <w:rPr>
                <w:rFonts w:ascii="Verdana" w:hAnsi="Verdana"/>
                <w:sz w:val="18"/>
                <w:szCs w:val="18"/>
              </w:rPr>
            </w:pPr>
            <w:r w:rsidRPr="00E544AD">
              <w:rPr>
                <w:rFonts w:ascii="Verdana" w:hAnsi="Verdana"/>
                <w:sz w:val="18"/>
                <w:szCs w:val="18"/>
              </w:rPr>
              <w:t>0,1</w:t>
            </w:r>
          </w:p>
        </w:tc>
        <w:tc>
          <w:tcPr>
            <w:tcW w:w="460"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134594A5" w14:textId="77777777">
            <w:pPr>
              <w:jc w:val="right"/>
              <w:rPr>
                <w:rFonts w:ascii="Verdana" w:hAnsi="Verdana"/>
                <w:sz w:val="18"/>
                <w:szCs w:val="18"/>
              </w:rPr>
            </w:pPr>
            <w:r w:rsidRPr="00E544AD">
              <w:rPr>
                <w:rFonts w:ascii="Verdana" w:hAnsi="Verdana"/>
                <w:sz w:val="18"/>
                <w:szCs w:val="18"/>
              </w:rPr>
              <w:t>-0,1</w:t>
            </w:r>
          </w:p>
        </w:tc>
        <w:tc>
          <w:tcPr>
            <w:tcW w:w="459"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6F6444D2" w14:textId="77777777">
            <w:pPr>
              <w:jc w:val="right"/>
              <w:rPr>
                <w:rFonts w:ascii="Verdana" w:hAnsi="Verdana"/>
                <w:sz w:val="18"/>
                <w:szCs w:val="18"/>
              </w:rPr>
            </w:pPr>
            <w:r w:rsidRPr="00E544AD">
              <w:rPr>
                <w:rFonts w:ascii="Verdana" w:hAnsi="Verdana"/>
                <w:sz w:val="18"/>
                <w:szCs w:val="18"/>
              </w:rPr>
              <w:t>-0,1</w:t>
            </w:r>
          </w:p>
        </w:tc>
      </w:tr>
      <w:tr w:rsidRPr="00E544AD" w:rsidR="00686E88" w:rsidTr="00CE20D1" w14:paraId="00CE2D6B"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E544AD" w:rsidR="00686E88" w:rsidP="00CE20D1" w:rsidRDefault="00686E88" w14:paraId="4B0D7AA4" w14:textId="77777777">
            <w:pPr>
              <w:rPr>
                <w:rFonts w:ascii="Verdana" w:hAnsi="Verdana"/>
                <w:sz w:val="18"/>
                <w:szCs w:val="18"/>
              </w:rPr>
            </w:pPr>
            <w:r w:rsidRPr="00E544AD">
              <w:rPr>
                <w:rFonts w:ascii="Verdana" w:hAnsi="Verdana"/>
                <w:sz w:val="18"/>
                <w:szCs w:val="18"/>
              </w:rPr>
              <w:t>Treindienst Zwolle-Enschede</w:t>
            </w:r>
          </w:p>
        </w:tc>
        <w:tc>
          <w:tcPr>
            <w:tcW w:w="886" w:type="pct"/>
            <w:tcBorders>
              <w:top w:val="single" w:color="auto" w:sz="4" w:space="0"/>
              <w:left w:val="single" w:color="auto" w:sz="4" w:space="0"/>
              <w:bottom w:val="single" w:color="auto" w:sz="4" w:space="0"/>
              <w:right w:val="single" w:color="auto" w:sz="4" w:space="0"/>
            </w:tcBorders>
            <w:hideMark/>
          </w:tcPr>
          <w:p w:rsidRPr="00E544AD" w:rsidR="00686E88" w:rsidP="00CE20D1" w:rsidRDefault="00686E88" w14:paraId="5F26CF27" w14:textId="77777777">
            <w:pPr>
              <w:rPr>
                <w:rFonts w:ascii="Verdana" w:hAnsi="Verdana"/>
                <w:sz w:val="18"/>
                <w:szCs w:val="18"/>
              </w:rPr>
            </w:pPr>
            <w:r w:rsidRPr="00E544AD">
              <w:rPr>
                <w:rFonts w:ascii="Verdana" w:hAnsi="Verdana"/>
                <w:sz w:val="18"/>
                <w:szCs w:val="18"/>
              </w:rPr>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6EE5E262" w14:textId="77777777">
            <w:pPr>
              <w:jc w:val="right"/>
              <w:rPr>
                <w:rFonts w:ascii="Verdana" w:hAnsi="Verdana"/>
                <w:sz w:val="18"/>
                <w:szCs w:val="18"/>
              </w:rPr>
            </w:pPr>
            <w:r w:rsidRPr="00E544AD">
              <w:rPr>
                <w:rFonts w:ascii="Verdana" w:hAnsi="Verdana"/>
                <w:sz w:val="18"/>
                <w:szCs w:val="18"/>
              </w:rPr>
              <w:t>0,5</w:t>
            </w:r>
          </w:p>
        </w:tc>
        <w:tc>
          <w:tcPr>
            <w:tcW w:w="460"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042AB3EE" w14:textId="77777777">
            <w:pPr>
              <w:jc w:val="right"/>
              <w:rPr>
                <w:rFonts w:ascii="Verdana" w:hAnsi="Verdana"/>
                <w:sz w:val="18"/>
                <w:szCs w:val="18"/>
              </w:rPr>
            </w:pPr>
            <w:r w:rsidRPr="00E544AD">
              <w:rPr>
                <w:rFonts w:ascii="Verdana" w:hAnsi="Verdana"/>
                <w:sz w:val="18"/>
                <w:szCs w:val="18"/>
              </w:rPr>
              <w:t>-0,5</w:t>
            </w:r>
          </w:p>
        </w:tc>
        <w:tc>
          <w:tcPr>
            <w:tcW w:w="459"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75455B58" w14:textId="77777777">
            <w:pPr>
              <w:jc w:val="right"/>
              <w:rPr>
                <w:rFonts w:ascii="Verdana" w:hAnsi="Verdana"/>
                <w:sz w:val="18"/>
                <w:szCs w:val="18"/>
              </w:rPr>
            </w:pPr>
            <w:r w:rsidRPr="00E544AD">
              <w:rPr>
                <w:rFonts w:ascii="Verdana" w:hAnsi="Verdana"/>
                <w:sz w:val="18"/>
                <w:szCs w:val="18"/>
              </w:rPr>
              <w:t>-0,3</w:t>
            </w:r>
          </w:p>
        </w:tc>
      </w:tr>
      <w:tr w:rsidRPr="00E544AD" w:rsidR="00686E88" w:rsidTr="00CE20D1" w14:paraId="4F92FF3F"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E544AD" w:rsidR="00686E88" w:rsidP="00CE20D1" w:rsidRDefault="00686E88" w14:paraId="00B10B76" w14:textId="77777777">
            <w:pPr>
              <w:rPr>
                <w:rFonts w:ascii="Verdana" w:hAnsi="Verdana"/>
                <w:sz w:val="18"/>
                <w:szCs w:val="18"/>
              </w:rPr>
            </w:pPr>
            <w:r w:rsidRPr="00E544AD">
              <w:rPr>
                <w:rFonts w:ascii="Verdana" w:hAnsi="Verdana"/>
                <w:sz w:val="18"/>
                <w:szCs w:val="18"/>
              </w:rPr>
              <w:t>Vechtdallijnen</w:t>
            </w:r>
          </w:p>
        </w:tc>
        <w:tc>
          <w:tcPr>
            <w:tcW w:w="886" w:type="pct"/>
            <w:tcBorders>
              <w:top w:val="single" w:color="auto" w:sz="4" w:space="0"/>
              <w:left w:val="single" w:color="auto" w:sz="4" w:space="0"/>
              <w:bottom w:val="single" w:color="auto" w:sz="4" w:space="0"/>
              <w:right w:val="single" w:color="auto" w:sz="4" w:space="0"/>
            </w:tcBorders>
            <w:hideMark/>
          </w:tcPr>
          <w:p w:rsidRPr="00E544AD" w:rsidR="00686E88" w:rsidP="00CE20D1" w:rsidRDefault="00686E88" w14:paraId="23115A14" w14:textId="77777777">
            <w:pPr>
              <w:rPr>
                <w:rFonts w:ascii="Verdana" w:hAnsi="Verdana"/>
                <w:sz w:val="18"/>
                <w:szCs w:val="18"/>
              </w:rPr>
            </w:pPr>
            <w:r w:rsidRPr="00E544AD">
              <w:rPr>
                <w:rFonts w:ascii="Verdana" w:hAnsi="Verdana"/>
                <w:sz w:val="18"/>
                <w:szCs w:val="18"/>
              </w:rPr>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6BB976AF" w14:textId="77777777">
            <w:pPr>
              <w:jc w:val="right"/>
              <w:rPr>
                <w:rFonts w:ascii="Verdana" w:hAnsi="Verdana"/>
                <w:sz w:val="18"/>
                <w:szCs w:val="18"/>
              </w:rPr>
            </w:pPr>
            <w:r w:rsidRPr="00E544AD">
              <w:rPr>
                <w:rFonts w:ascii="Verdana" w:hAnsi="Verdana"/>
                <w:sz w:val="18"/>
                <w:szCs w:val="18"/>
              </w:rPr>
              <w:t>10,9</w:t>
            </w:r>
          </w:p>
        </w:tc>
        <w:tc>
          <w:tcPr>
            <w:tcW w:w="460"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450AF8B8" w14:textId="77777777">
            <w:pPr>
              <w:jc w:val="right"/>
              <w:rPr>
                <w:rFonts w:ascii="Verdana" w:hAnsi="Verdana"/>
                <w:sz w:val="18"/>
                <w:szCs w:val="18"/>
              </w:rPr>
            </w:pPr>
            <w:r w:rsidRPr="00E544AD">
              <w:rPr>
                <w:rFonts w:ascii="Verdana" w:hAnsi="Verdana"/>
                <w:sz w:val="18"/>
                <w:szCs w:val="18"/>
              </w:rPr>
              <w:t>9,1</w:t>
            </w:r>
          </w:p>
        </w:tc>
        <w:tc>
          <w:tcPr>
            <w:tcW w:w="459"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50F484AF" w14:textId="77777777">
            <w:pPr>
              <w:jc w:val="right"/>
              <w:rPr>
                <w:rFonts w:ascii="Verdana" w:hAnsi="Verdana"/>
                <w:sz w:val="18"/>
                <w:szCs w:val="18"/>
              </w:rPr>
            </w:pPr>
            <w:r w:rsidRPr="00E544AD">
              <w:rPr>
                <w:rFonts w:ascii="Verdana" w:hAnsi="Verdana"/>
                <w:sz w:val="18"/>
                <w:szCs w:val="18"/>
              </w:rPr>
              <w:t>9,1</w:t>
            </w:r>
          </w:p>
        </w:tc>
      </w:tr>
      <w:tr w:rsidRPr="00E544AD" w:rsidR="00686E88" w:rsidTr="00CE20D1" w14:paraId="54E66901"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E544AD" w:rsidR="00686E88" w:rsidP="00CE20D1" w:rsidRDefault="00686E88" w14:paraId="5556ED46" w14:textId="77777777">
            <w:pPr>
              <w:rPr>
                <w:rFonts w:ascii="Verdana" w:hAnsi="Verdana"/>
                <w:sz w:val="18"/>
                <w:szCs w:val="18"/>
              </w:rPr>
            </w:pPr>
            <w:r w:rsidRPr="00E544AD">
              <w:rPr>
                <w:rFonts w:ascii="Verdana" w:hAnsi="Verdana"/>
                <w:sz w:val="18"/>
                <w:szCs w:val="18"/>
              </w:rPr>
              <w:t>Treindienst Valleilijn</w:t>
            </w:r>
          </w:p>
        </w:tc>
        <w:tc>
          <w:tcPr>
            <w:tcW w:w="886" w:type="pct"/>
            <w:tcBorders>
              <w:top w:val="single" w:color="auto" w:sz="4" w:space="0"/>
              <w:left w:val="single" w:color="auto" w:sz="4" w:space="0"/>
              <w:bottom w:val="single" w:color="auto" w:sz="4" w:space="0"/>
              <w:right w:val="single" w:color="auto" w:sz="4" w:space="0"/>
            </w:tcBorders>
            <w:hideMark/>
          </w:tcPr>
          <w:p w:rsidRPr="00E544AD" w:rsidR="00686E88" w:rsidP="00CE20D1" w:rsidRDefault="00686E88" w14:paraId="02D98B06" w14:textId="77777777">
            <w:pPr>
              <w:rPr>
                <w:rFonts w:ascii="Verdana" w:hAnsi="Verdana"/>
                <w:sz w:val="18"/>
                <w:szCs w:val="18"/>
              </w:rPr>
            </w:pPr>
            <w:r w:rsidRPr="00E544AD">
              <w:rPr>
                <w:rFonts w:ascii="Verdana" w:hAnsi="Verdana"/>
                <w:sz w:val="18"/>
                <w:szCs w:val="18"/>
              </w:rPr>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6EB70A91" w14:textId="77777777">
            <w:pPr>
              <w:jc w:val="right"/>
              <w:rPr>
                <w:rFonts w:ascii="Verdana" w:hAnsi="Verdana"/>
                <w:sz w:val="18"/>
                <w:szCs w:val="18"/>
              </w:rPr>
            </w:pPr>
            <w:r w:rsidRPr="00E544AD">
              <w:rPr>
                <w:rFonts w:ascii="Verdana" w:hAnsi="Verdana"/>
                <w:sz w:val="18"/>
                <w:szCs w:val="18"/>
              </w:rPr>
              <w:t>5,3</w:t>
            </w:r>
          </w:p>
        </w:tc>
        <w:tc>
          <w:tcPr>
            <w:tcW w:w="460"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7F1D4F04" w14:textId="77777777">
            <w:pPr>
              <w:jc w:val="right"/>
              <w:rPr>
                <w:rFonts w:ascii="Verdana" w:hAnsi="Verdana"/>
                <w:sz w:val="18"/>
                <w:szCs w:val="18"/>
              </w:rPr>
            </w:pPr>
            <w:r w:rsidRPr="00E544AD">
              <w:rPr>
                <w:rFonts w:ascii="Verdana" w:hAnsi="Verdana"/>
                <w:sz w:val="18"/>
                <w:szCs w:val="18"/>
              </w:rPr>
              <w:t>4,2</w:t>
            </w:r>
          </w:p>
        </w:tc>
        <w:tc>
          <w:tcPr>
            <w:tcW w:w="459"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226D446A" w14:textId="77777777">
            <w:pPr>
              <w:jc w:val="right"/>
              <w:rPr>
                <w:rFonts w:ascii="Verdana" w:hAnsi="Verdana"/>
                <w:sz w:val="18"/>
                <w:szCs w:val="18"/>
              </w:rPr>
            </w:pPr>
            <w:r w:rsidRPr="00E544AD">
              <w:rPr>
                <w:rFonts w:ascii="Verdana" w:hAnsi="Verdana"/>
                <w:sz w:val="18"/>
                <w:szCs w:val="18"/>
              </w:rPr>
              <w:t>4</w:t>
            </w:r>
          </w:p>
        </w:tc>
      </w:tr>
      <w:tr w:rsidRPr="00E544AD" w:rsidR="00686E88" w:rsidTr="00CE20D1" w14:paraId="3A749595"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E544AD" w:rsidR="00686E88" w:rsidP="00CE20D1" w:rsidRDefault="00686E88" w14:paraId="265724AE" w14:textId="77777777">
            <w:pPr>
              <w:rPr>
                <w:rFonts w:ascii="Verdana" w:hAnsi="Verdana"/>
                <w:sz w:val="18"/>
                <w:szCs w:val="18"/>
              </w:rPr>
            </w:pPr>
            <w:r w:rsidRPr="00E544AD">
              <w:rPr>
                <w:rFonts w:ascii="Verdana" w:hAnsi="Verdana"/>
                <w:sz w:val="18"/>
                <w:szCs w:val="18"/>
              </w:rPr>
              <w:t>Treindienst Alphen aan den Rijn</w:t>
            </w:r>
            <w:r w:rsidRPr="00990A03">
              <w:rPr>
                <w:rFonts w:ascii="Verdana" w:hAnsi="Verdana"/>
                <w:sz w:val="18"/>
                <w:szCs w:val="18"/>
              </w:rPr>
              <w:t xml:space="preserve"> - </w:t>
            </w:r>
            <w:r w:rsidRPr="00E544AD">
              <w:rPr>
                <w:rFonts w:ascii="Verdana" w:hAnsi="Verdana"/>
                <w:sz w:val="18"/>
                <w:szCs w:val="18"/>
              </w:rPr>
              <w:t>Gouda</w:t>
            </w:r>
          </w:p>
        </w:tc>
        <w:tc>
          <w:tcPr>
            <w:tcW w:w="886" w:type="pct"/>
            <w:tcBorders>
              <w:top w:val="single" w:color="auto" w:sz="4" w:space="0"/>
              <w:left w:val="single" w:color="auto" w:sz="4" w:space="0"/>
              <w:bottom w:val="single" w:color="auto" w:sz="4" w:space="0"/>
              <w:right w:val="single" w:color="auto" w:sz="4" w:space="0"/>
            </w:tcBorders>
            <w:hideMark/>
          </w:tcPr>
          <w:p w:rsidRPr="00E544AD" w:rsidR="00686E88" w:rsidP="00CE20D1" w:rsidRDefault="00686E88" w14:paraId="7826EE77" w14:textId="77777777">
            <w:pPr>
              <w:rPr>
                <w:rFonts w:ascii="Verdana" w:hAnsi="Verdana"/>
                <w:sz w:val="18"/>
                <w:szCs w:val="18"/>
              </w:rPr>
            </w:pPr>
            <w:r w:rsidRPr="00E544AD">
              <w:rPr>
                <w:rFonts w:ascii="Verdana" w:hAnsi="Verdana"/>
                <w:sz w:val="18"/>
                <w:szCs w:val="18"/>
              </w:rPr>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08974179" w14:textId="77777777">
            <w:pPr>
              <w:jc w:val="right"/>
              <w:rPr>
                <w:rFonts w:ascii="Verdana" w:hAnsi="Verdana"/>
                <w:sz w:val="18"/>
                <w:szCs w:val="18"/>
              </w:rPr>
            </w:pPr>
            <w:r w:rsidRPr="00E544AD">
              <w:rPr>
                <w:rFonts w:ascii="Verdana" w:hAnsi="Verdana"/>
                <w:sz w:val="18"/>
                <w:szCs w:val="18"/>
              </w:rPr>
              <w:t>3,9</w:t>
            </w:r>
          </w:p>
        </w:tc>
        <w:tc>
          <w:tcPr>
            <w:tcW w:w="460"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2DB76459" w14:textId="77777777">
            <w:pPr>
              <w:jc w:val="right"/>
              <w:rPr>
                <w:rFonts w:ascii="Verdana" w:hAnsi="Verdana"/>
                <w:sz w:val="18"/>
                <w:szCs w:val="18"/>
              </w:rPr>
            </w:pPr>
            <w:r w:rsidRPr="00E544AD">
              <w:rPr>
                <w:rFonts w:ascii="Verdana" w:hAnsi="Verdana"/>
                <w:sz w:val="18"/>
                <w:szCs w:val="18"/>
              </w:rPr>
              <w:t>4,2</w:t>
            </w:r>
          </w:p>
        </w:tc>
        <w:tc>
          <w:tcPr>
            <w:tcW w:w="459"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6F91764F" w14:textId="77777777">
            <w:pPr>
              <w:jc w:val="right"/>
              <w:rPr>
                <w:rFonts w:ascii="Verdana" w:hAnsi="Verdana"/>
                <w:sz w:val="18"/>
                <w:szCs w:val="18"/>
              </w:rPr>
            </w:pPr>
            <w:r w:rsidRPr="00E544AD">
              <w:rPr>
                <w:rFonts w:ascii="Verdana" w:hAnsi="Verdana"/>
                <w:sz w:val="18"/>
                <w:szCs w:val="18"/>
              </w:rPr>
              <w:t>4,4</w:t>
            </w:r>
          </w:p>
        </w:tc>
      </w:tr>
      <w:tr w:rsidRPr="00E544AD" w:rsidR="00686E88" w:rsidTr="00CE20D1" w14:paraId="14BBE527"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E544AD" w:rsidR="00686E88" w:rsidP="00CE20D1" w:rsidRDefault="00686E88" w14:paraId="259B49BA" w14:textId="77777777">
            <w:pPr>
              <w:rPr>
                <w:rFonts w:ascii="Verdana" w:hAnsi="Verdana"/>
                <w:sz w:val="18"/>
                <w:szCs w:val="18"/>
              </w:rPr>
            </w:pPr>
            <w:r w:rsidRPr="00E544AD">
              <w:rPr>
                <w:rFonts w:ascii="Verdana" w:hAnsi="Verdana"/>
                <w:sz w:val="18"/>
                <w:szCs w:val="18"/>
              </w:rPr>
              <w:t>Parkshuttle Rivium</w:t>
            </w:r>
          </w:p>
        </w:tc>
        <w:tc>
          <w:tcPr>
            <w:tcW w:w="886" w:type="pct"/>
            <w:tcBorders>
              <w:top w:val="single" w:color="auto" w:sz="4" w:space="0"/>
              <w:left w:val="single" w:color="auto" w:sz="4" w:space="0"/>
              <w:bottom w:val="single" w:color="auto" w:sz="4" w:space="0"/>
              <w:right w:val="single" w:color="auto" w:sz="4" w:space="0"/>
            </w:tcBorders>
            <w:hideMark/>
          </w:tcPr>
          <w:p w:rsidRPr="00E544AD" w:rsidR="00686E88" w:rsidP="00CE20D1" w:rsidRDefault="00686E88" w14:paraId="51681AD1" w14:textId="77777777">
            <w:pPr>
              <w:rPr>
                <w:rFonts w:ascii="Verdana" w:hAnsi="Verdana"/>
                <w:sz w:val="18"/>
                <w:szCs w:val="18"/>
              </w:rPr>
            </w:pPr>
            <w:r w:rsidRPr="00E544AD">
              <w:rPr>
                <w:rFonts w:ascii="Verdana" w:hAnsi="Verdana"/>
                <w:sz w:val="18"/>
                <w:szCs w:val="18"/>
              </w:rPr>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21D9B140" w14:textId="77777777">
            <w:pPr>
              <w:jc w:val="right"/>
              <w:rPr>
                <w:rFonts w:ascii="Verdana" w:hAnsi="Verdana"/>
                <w:sz w:val="18"/>
                <w:szCs w:val="18"/>
              </w:rPr>
            </w:pPr>
            <w:r w:rsidRPr="00E544AD">
              <w:rPr>
                <w:rFonts w:ascii="Verdana" w:hAnsi="Verdana"/>
                <w:sz w:val="18"/>
                <w:szCs w:val="18"/>
              </w:rPr>
              <w:t>0,7</w:t>
            </w:r>
          </w:p>
        </w:tc>
        <w:tc>
          <w:tcPr>
            <w:tcW w:w="460"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37719840" w14:textId="77777777">
            <w:pPr>
              <w:jc w:val="right"/>
              <w:rPr>
                <w:rFonts w:ascii="Verdana" w:hAnsi="Verdana"/>
                <w:sz w:val="18"/>
                <w:szCs w:val="18"/>
              </w:rPr>
            </w:pPr>
            <w:r w:rsidRPr="00E544AD">
              <w:rPr>
                <w:rFonts w:ascii="Verdana" w:hAnsi="Verdana"/>
                <w:sz w:val="18"/>
                <w:szCs w:val="18"/>
              </w:rPr>
              <w:t>0,8</w:t>
            </w:r>
          </w:p>
        </w:tc>
        <w:tc>
          <w:tcPr>
            <w:tcW w:w="459"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1BEAAB57" w14:textId="77777777">
            <w:pPr>
              <w:jc w:val="right"/>
              <w:rPr>
                <w:rFonts w:ascii="Verdana" w:hAnsi="Verdana"/>
                <w:sz w:val="18"/>
                <w:szCs w:val="18"/>
              </w:rPr>
            </w:pPr>
            <w:r w:rsidRPr="00E544AD">
              <w:rPr>
                <w:rFonts w:ascii="Verdana" w:hAnsi="Verdana"/>
                <w:sz w:val="18"/>
                <w:szCs w:val="18"/>
              </w:rPr>
              <w:t>0,8</w:t>
            </w:r>
          </w:p>
        </w:tc>
      </w:tr>
      <w:tr w:rsidRPr="00E544AD" w:rsidR="00686E88" w:rsidTr="00CE20D1" w14:paraId="14B468FD"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E544AD" w:rsidR="00686E88" w:rsidP="00CE20D1" w:rsidRDefault="00686E88" w14:paraId="0752B3A8" w14:textId="77777777">
            <w:pPr>
              <w:rPr>
                <w:rFonts w:ascii="Verdana" w:hAnsi="Verdana"/>
                <w:sz w:val="18"/>
                <w:szCs w:val="18"/>
              </w:rPr>
            </w:pPr>
            <w:r w:rsidRPr="00E544AD">
              <w:rPr>
                <w:rFonts w:ascii="Verdana" w:hAnsi="Verdana"/>
                <w:sz w:val="18"/>
                <w:szCs w:val="18"/>
              </w:rPr>
              <w:t>Fietsvoetveer Vlissingen-Breskens</w:t>
            </w:r>
          </w:p>
        </w:tc>
        <w:tc>
          <w:tcPr>
            <w:tcW w:w="886" w:type="pct"/>
            <w:tcBorders>
              <w:top w:val="single" w:color="auto" w:sz="4" w:space="0"/>
              <w:left w:val="single" w:color="auto" w:sz="4" w:space="0"/>
              <w:bottom w:val="single" w:color="auto" w:sz="4" w:space="0"/>
              <w:right w:val="single" w:color="auto" w:sz="4" w:space="0"/>
            </w:tcBorders>
            <w:hideMark/>
          </w:tcPr>
          <w:p w:rsidRPr="00E544AD" w:rsidR="00686E88" w:rsidP="00CE20D1" w:rsidRDefault="00686E88" w14:paraId="0AC2E723" w14:textId="77777777">
            <w:pPr>
              <w:rPr>
                <w:rFonts w:ascii="Verdana" w:hAnsi="Verdana"/>
                <w:sz w:val="18"/>
                <w:szCs w:val="18"/>
              </w:rPr>
            </w:pPr>
            <w:r w:rsidRPr="00E544AD">
              <w:rPr>
                <w:rFonts w:ascii="Verdana" w:hAnsi="Verdana"/>
                <w:sz w:val="18"/>
                <w:szCs w:val="18"/>
              </w:rPr>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7229D88B" w14:textId="77777777">
            <w:pPr>
              <w:jc w:val="right"/>
              <w:rPr>
                <w:rFonts w:ascii="Verdana" w:hAnsi="Verdana"/>
                <w:sz w:val="18"/>
                <w:szCs w:val="18"/>
              </w:rPr>
            </w:pPr>
            <w:r w:rsidRPr="00E544AD">
              <w:rPr>
                <w:rFonts w:ascii="Verdana" w:hAnsi="Verdana"/>
                <w:sz w:val="18"/>
                <w:szCs w:val="18"/>
              </w:rPr>
              <w:t>3,7</w:t>
            </w:r>
          </w:p>
        </w:tc>
        <w:tc>
          <w:tcPr>
            <w:tcW w:w="460"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4A653A7E" w14:textId="77777777">
            <w:pPr>
              <w:jc w:val="right"/>
              <w:rPr>
                <w:rFonts w:ascii="Verdana" w:hAnsi="Verdana"/>
                <w:sz w:val="18"/>
                <w:szCs w:val="18"/>
              </w:rPr>
            </w:pPr>
            <w:r w:rsidRPr="00E544AD">
              <w:rPr>
                <w:rFonts w:ascii="Verdana" w:hAnsi="Verdana"/>
                <w:sz w:val="18"/>
                <w:szCs w:val="18"/>
              </w:rPr>
              <w:t>3,8</w:t>
            </w:r>
          </w:p>
        </w:tc>
        <w:tc>
          <w:tcPr>
            <w:tcW w:w="459"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2881C021" w14:textId="77777777">
            <w:pPr>
              <w:jc w:val="right"/>
              <w:rPr>
                <w:rFonts w:ascii="Verdana" w:hAnsi="Verdana"/>
                <w:sz w:val="18"/>
                <w:szCs w:val="18"/>
              </w:rPr>
            </w:pPr>
            <w:r w:rsidRPr="00E544AD">
              <w:rPr>
                <w:rFonts w:ascii="Verdana" w:hAnsi="Verdana"/>
                <w:sz w:val="18"/>
                <w:szCs w:val="18"/>
              </w:rPr>
              <w:t>4,4</w:t>
            </w:r>
          </w:p>
        </w:tc>
      </w:tr>
      <w:tr w:rsidRPr="00E544AD" w:rsidR="00686E88" w:rsidTr="00CE20D1" w14:paraId="6789A7DE"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E544AD" w:rsidR="00686E88" w:rsidP="00CE20D1" w:rsidRDefault="00686E88" w14:paraId="682C71D2" w14:textId="77777777">
            <w:pPr>
              <w:rPr>
                <w:rFonts w:ascii="Verdana" w:hAnsi="Verdana"/>
                <w:sz w:val="18"/>
                <w:szCs w:val="18"/>
              </w:rPr>
            </w:pPr>
            <w:r w:rsidRPr="00E544AD">
              <w:rPr>
                <w:rFonts w:ascii="Verdana" w:hAnsi="Verdana"/>
                <w:sz w:val="18"/>
                <w:szCs w:val="18"/>
              </w:rPr>
              <w:t>Personenvervoer over water Rotterdam–Drechtsteden</w:t>
            </w:r>
          </w:p>
        </w:tc>
        <w:tc>
          <w:tcPr>
            <w:tcW w:w="886" w:type="pct"/>
            <w:tcBorders>
              <w:top w:val="single" w:color="auto" w:sz="4" w:space="0"/>
              <w:left w:val="single" w:color="auto" w:sz="4" w:space="0"/>
              <w:bottom w:val="single" w:color="auto" w:sz="4" w:space="0"/>
              <w:right w:val="single" w:color="auto" w:sz="4" w:space="0"/>
            </w:tcBorders>
            <w:hideMark/>
          </w:tcPr>
          <w:p w:rsidRPr="00E544AD" w:rsidR="00686E88" w:rsidP="00CE20D1" w:rsidRDefault="00686E88" w14:paraId="0C17832C" w14:textId="77777777">
            <w:pPr>
              <w:rPr>
                <w:rFonts w:ascii="Verdana" w:hAnsi="Verdana"/>
                <w:sz w:val="18"/>
                <w:szCs w:val="18"/>
              </w:rPr>
            </w:pPr>
            <w:r w:rsidRPr="00E544AD">
              <w:rPr>
                <w:rFonts w:ascii="Verdana" w:hAnsi="Verdana"/>
                <w:sz w:val="18"/>
                <w:szCs w:val="18"/>
              </w:rPr>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7D0FE873" w14:textId="77777777">
            <w:pPr>
              <w:jc w:val="right"/>
              <w:rPr>
                <w:rFonts w:ascii="Verdana" w:hAnsi="Verdana"/>
                <w:sz w:val="18"/>
                <w:szCs w:val="18"/>
              </w:rPr>
            </w:pPr>
            <w:r w:rsidRPr="00E544AD">
              <w:rPr>
                <w:rFonts w:ascii="Verdana" w:hAnsi="Verdana"/>
                <w:sz w:val="18"/>
                <w:szCs w:val="18"/>
              </w:rPr>
              <w:t>6,6</w:t>
            </w:r>
          </w:p>
        </w:tc>
        <w:tc>
          <w:tcPr>
            <w:tcW w:w="460"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66559031" w14:textId="77777777">
            <w:pPr>
              <w:jc w:val="right"/>
              <w:rPr>
                <w:rFonts w:ascii="Verdana" w:hAnsi="Verdana"/>
                <w:sz w:val="18"/>
                <w:szCs w:val="18"/>
              </w:rPr>
            </w:pPr>
            <w:r w:rsidRPr="00E544AD">
              <w:rPr>
                <w:rFonts w:ascii="Verdana" w:hAnsi="Verdana"/>
                <w:sz w:val="18"/>
                <w:szCs w:val="18"/>
              </w:rPr>
              <w:t>8,2</w:t>
            </w:r>
          </w:p>
        </w:tc>
        <w:tc>
          <w:tcPr>
            <w:tcW w:w="459" w:type="pct"/>
            <w:tcBorders>
              <w:top w:val="single" w:color="auto" w:sz="4" w:space="0"/>
              <w:left w:val="single" w:color="auto" w:sz="4" w:space="0"/>
              <w:bottom w:val="single" w:color="auto" w:sz="4" w:space="0"/>
              <w:right w:val="single" w:color="auto" w:sz="4" w:space="0"/>
            </w:tcBorders>
            <w:noWrap/>
            <w:hideMark/>
          </w:tcPr>
          <w:p w:rsidRPr="00E544AD" w:rsidR="00686E88" w:rsidP="00CE20D1" w:rsidRDefault="00686E88" w14:paraId="7B8990EC" w14:textId="77777777">
            <w:pPr>
              <w:jc w:val="right"/>
              <w:rPr>
                <w:rFonts w:ascii="Verdana" w:hAnsi="Verdana"/>
                <w:sz w:val="18"/>
                <w:szCs w:val="18"/>
              </w:rPr>
            </w:pPr>
            <w:r w:rsidRPr="00E544AD">
              <w:rPr>
                <w:rFonts w:ascii="Verdana" w:hAnsi="Verdana"/>
                <w:sz w:val="18"/>
                <w:szCs w:val="18"/>
              </w:rPr>
              <w:t>8,6</w:t>
            </w:r>
          </w:p>
        </w:tc>
      </w:tr>
    </w:tbl>
    <w:p w:rsidRPr="00E74B4F" w:rsidR="00686E88" w:rsidP="00686E88" w:rsidRDefault="00686E88" w14:paraId="26F9CC7D" w14:textId="77777777">
      <w:pPr>
        <w:pStyle w:val="NoSpacing"/>
        <w:rPr>
          <w:rFonts w:ascii="Verdana" w:hAnsi="Verdana"/>
          <w:sz w:val="18"/>
          <w:szCs w:val="18"/>
        </w:rPr>
      </w:pPr>
    </w:p>
    <w:p w:rsidRPr="00E74B4F" w:rsidR="00686E88" w:rsidP="00686E88" w:rsidRDefault="00686E88" w14:paraId="58268CE8" w14:textId="77777777">
      <w:pPr>
        <w:pStyle w:val="NoSpacing"/>
        <w:rPr>
          <w:rFonts w:ascii="Verdana" w:hAnsi="Verdana"/>
          <w:sz w:val="18"/>
          <w:szCs w:val="18"/>
        </w:rPr>
      </w:pPr>
      <w:r w:rsidRPr="00E74B4F">
        <w:rPr>
          <w:rFonts w:ascii="Verdana" w:hAnsi="Verdana"/>
          <w:sz w:val="18"/>
          <w:szCs w:val="18"/>
        </w:rPr>
        <w:t xml:space="preserve">Eenheid: </w:t>
      </w:r>
      <w:r>
        <w:rPr>
          <w:rFonts w:ascii="Verdana" w:hAnsi="Verdana"/>
          <w:sz w:val="18"/>
          <w:szCs w:val="18"/>
        </w:rPr>
        <w:tab/>
      </w:r>
      <w:r w:rsidRPr="00E74B4F">
        <w:rPr>
          <w:rFonts w:ascii="Verdana" w:hAnsi="Verdana"/>
          <w:sz w:val="18"/>
          <w:szCs w:val="18"/>
        </w:rPr>
        <w:t>x miljoen euro</w:t>
      </w:r>
    </w:p>
    <w:p w:rsidRPr="0010332D" w:rsidR="00686E88" w:rsidP="00686E88" w:rsidRDefault="00686E88" w14:paraId="59F894A5" w14:textId="77777777">
      <w:pPr>
        <w:pStyle w:val="NoSpacing"/>
        <w:rPr>
          <w:rFonts w:ascii="Verdana" w:hAnsi="Verdana"/>
          <w:sz w:val="18"/>
          <w:szCs w:val="18"/>
          <w:lang w:val="en-US"/>
        </w:rPr>
      </w:pPr>
      <w:r w:rsidRPr="0010332D">
        <w:rPr>
          <w:rFonts w:ascii="Verdana" w:hAnsi="Verdana"/>
          <w:sz w:val="18"/>
          <w:szCs w:val="18"/>
          <w:lang w:val="en-US"/>
        </w:rPr>
        <w:t xml:space="preserve">Bron: </w:t>
      </w:r>
      <w:r w:rsidRPr="0010332D">
        <w:rPr>
          <w:rFonts w:ascii="Verdana" w:hAnsi="Verdana"/>
          <w:sz w:val="18"/>
          <w:szCs w:val="18"/>
          <w:lang w:val="en-US"/>
        </w:rPr>
        <w:tab/>
      </w:r>
      <w:r w:rsidRPr="0010332D">
        <w:rPr>
          <w:rFonts w:ascii="Verdana" w:hAnsi="Verdana"/>
          <w:sz w:val="18"/>
          <w:szCs w:val="18"/>
          <w:lang w:val="en-US"/>
        </w:rPr>
        <w:tab/>
        <w:t xml:space="preserve">CROW-KpVV - </w:t>
      </w:r>
      <w:hyperlink w:history="1" r:id="rId7">
        <w:r w:rsidRPr="0010332D">
          <w:rPr>
            <w:rStyle w:val="Hyperlink"/>
            <w:rFonts w:ascii="Verdana" w:hAnsi="Verdana"/>
            <w:sz w:val="18"/>
            <w:szCs w:val="18"/>
            <w:lang w:val="en-US"/>
          </w:rPr>
          <w:t>www.staatvanhetov.nl</w:t>
        </w:r>
      </w:hyperlink>
      <w:r w:rsidRPr="0010332D">
        <w:rPr>
          <w:rFonts w:ascii="Verdana" w:hAnsi="Verdana"/>
          <w:sz w:val="18"/>
          <w:szCs w:val="18"/>
          <w:lang w:val="en-US"/>
        </w:rPr>
        <w:t xml:space="preserve"> – export 16 oktober 2025</w:t>
      </w:r>
    </w:p>
    <w:tbl>
      <w:tblPr>
        <w:tblW w:w="9067" w:type="dxa"/>
        <w:tblInd w:w="5" w:type="dxa"/>
        <w:tblCellMar>
          <w:left w:w="70" w:type="dxa"/>
          <w:right w:w="70" w:type="dxa"/>
        </w:tblCellMar>
        <w:tblLook w:val="04A0" w:firstRow="1" w:lastRow="0" w:firstColumn="1" w:lastColumn="0" w:noHBand="0" w:noVBand="1"/>
      </w:tblPr>
      <w:tblGrid>
        <w:gridCol w:w="2161"/>
        <w:gridCol w:w="6906"/>
      </w:tblGrid>
      <w:tr w:rsidRPr="004509D2" w:rsidR="00686E88" w:rsidTr="00CE20D1" w14:paraId="6283BDFC" w14:textId="77777777">
        <w:trPr>
          <w:trHeight w:val="227"/>
        </w:trPr>
        <w:tc>
          <w:tcPr>
            <w:tcW w:w="2161" w:type="dxa"/>
            <w:noWrap/>
            <w:vAlign w:val="bottom"/>
            <w:hideMark/>
          </w:tcPr>
          <w:p w:rsidRPr="00E544AD" w:rsidR="00686E88" w:rsidP="00CE20D1" w:rsidRDefault="00686E88" w14:paraId="306B5B27" w14:textId="77777777">
            <w:pPr>
              <w:rPr>
                <w:rFonts w:ascii="Verdana" w:hAnsi="Verdana"/>
                <w:sz w:val="18"/>
                <w:szCs w:val="18"/>
                <w:lang w:val="en-US"/>
              </w:rPr>
            </w:pPr>
          </w:p>
        </w:tc>
        <w:tc>
          <w:tcPr>
            <w:tcW w:w="6906" w:type="dxa"/>
            <w:noWrap/>
            <w:vAlign w:val="bottom"/>
            <w:hideMark/>
          </w:tcPr>
          <w:p w:rsidRPr="00E544AD" w:rsidR="00686E88" w:rsidP="00CE20D1" w:rsidRDefault="00686E88" w14:paraId="2194BF83" w14:textId="77777777">
            <w:pPr>
              <w:rPr>
                <w:rFonts w:ascii="Verdana" w:hAnsi="Verdana"/>
                <w:sz w:val="18"/>
                <w:szCs w:val="18"/>
                <w:lang w:val="en-US"/>
              </w:rPr>
            </w:pPr>
          </w:p>
        </w:tc>
      </w:tr>
    </w:tbl>
    <w:p w:rsidRPr="0010332D" w:rsidR="00686E88" w:rsidP="00686E88" w:rsidRDefault="00686E88" w14:paraId="731C4BA1" w14:textId="77777777">
      <w:pPr>
        <w:rPr>
          <w:rFonts w:ascii="Verdana" w:hAnsi="Verdana"/>
          <w:sz w:val="18"/>
          <w:szCs w:val="18"/>
          <w:lang w:val="en-US"/>
        </w:rPr>
      </w:pPr>
    </w:p>
    <w:p w:rsidRPr="00686E88" w:rsidR="00E544AD" w:rsidP="00686E88" w:rsidRDefault="00E544AD" w14:paraId="64F149CF" w14:textId="77777777">
      <w:pPr>
        <w:rPr>
          <w:lang w:val="en-US"/>
        </w:rPr>
      </w:pPr>
    </w:p>
    <w:sectPr w:rsidRPr="00686E88" w:rsidR="00E544AD">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7599D" w14:textId="77777777" w:rsidR="00EF1319" w:rsidRDefault="00EF1319" w:rsidP="0082026A">
      <w:pPr>
        <w:spacing w:after="0" w:line="240" w:lineRule="auto"/>
      </w:pPr>
      <w:r>
        <w:separator/>
      </w:r>
    </w:p>
  </w:endnote>
  <w:endnote w:type="continuationSeparator" w:id="0">
    <w:p w14:paraId="7E57FB78" w14:textId="77777777" w:rsidR="00EF1319" w:rsidRDefault="00EF1319" w:rsidP="00820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4E726D" w14:textId="77777777" w:rsidR="00EF1319" w:rsidRDefault="00EF1319" w:rsidP="0082026A">
      <w:pPr>
        <w:spacing w:after="0" w:line="240" w:lineRule="auto"/>
      </w:pPr>
      <w:r>
        <w:separator/>
      </w:r>
    </w:p>
  </w:footnote>
  <w:footnote w:type="continuationSeparator" w:id="0">
    <w:p w14:paraId="40281BB4" w14:textId="77777777" w:rsidR="00EF1319" w:rsidRDefault="00EF1319" w:rsidP="0082026A">
      <w:pPr>
        <w:spacing w:after="0" w:line="240" w:lineRule="auto"/>
      </w:pPr>
      <w:r>
        <w:continuationSeparator/>
      </w:r>
    </w:p>
  </w:footnote>
  <w:footnote w:id="1">
    <w:p w14:paraId="1F8E4C96" w14:textId="77777777" w:rsidR="00686E88" w:rsidRPr="0082026A" w:rsidRDefault="00686E88" w:rsidP="00686E88">
      <w:pPr>
        <w:pStyle w:val="FootnoteText"/>
        <w:rPr>
          <w:sz w:val="16"/>
          <w:szCs w:val="16"/>
        </w:rPr>
      </w:pPr>
      <w:r w:rsidRPr="0082026A">
        <w:rPr>
          <w:rStyle w:val="FootnoteReference"/>
          <w:sz w:val="16"/>
          <w:szCs w:val="16"/>
        </w:rPr>
        <w:footnoteRef/>
      </w:r>
      <w:r w:rsidRPr="0082026A">
        <w:rPr>
          <w:sz w:val="16"/>
          <w:szCs w:val="16"/>
        </w:rPr>
        <w:t xml:space="preserve"> </w:t>
      </w:r>
      <w:r w:rsidRPr="0082026A">
        <w:rPr>
          <w:rFonts w:ascii="Verdana" w:hAnsi="Verdana"/>
          <w:sz w:val="16"/>
          <w:szCs w:val="16"/>
        </w:rPr>
        <w:t>https://circulairambachtscentrum.nl</w:t>
      </w:r>
    </w:p>
  </w:footnote>
  <w:footnote w:id="2">
    <w:p w14:paraId="311CDBF4" w14:textId="77777777" w:rsidR="00686E88" w:rsidRPr="0082026A" w:rsidRDefault="00686E88" w:rsidP="00686E88">
      <w:pPr>
        <w:pStyle w:val="FootnoteText"/>
        <w:rPr>
          <w:sz w:val="16"/>
          <w:szCs w:val="16"/>
        </w:rPr>
      </w:pPr>
      <w:r w:rsidRPr="0082026A">
        <w:rPr>
          <w:rStyle w:val="FootnoteReference"/>
          <w:sz w:val="16"/>
          <w:szCs w:val="16"/>
        </w:rPr>
        <w:footnoteRef/>
      </w:r>
      <w:r w:rsidRPr="0082026A">
        <w:rPr>
          <w:sz w:val="16"/>
          <w:szCs w:val="16"/>
        </w:rPr>
        <w:t xml:space="preserve"> </w:t>
      </w:r>
      <w:r w:rsidRPr="0082026A">
        <w:rPr>
          <w:rFonts w:ascii="Verdana" w:hAnsi="Verdana"/>
          <w:sz w:val="16"/>
          <w:szCs w:val="16"/>
        </w:rPr>
        <w:t>https://www.milieucentraal.nl/spullen-en-kleding/kies-refurbished/</w:t>
      </w:r>
    </w:p>
  </w:footnote>
  <w:footnote w:id="3">
    <w:p w14:paraId="3B2EE1BA" w14:textId="77777777" w:rsidR="00686E88" w:rsidRPr="00FD6B1D" w:rsidRDefault="00686E88" w:rsidP="00686E88">
      <w:pPr>
        <w:pStyle w:val="FootnoteText"/>
        <w:rPr>
          <w:sz w:val="16"/>
          <w:szCs w:val="16"/>
        </w:rPr>
      </w:pPr>
      <w:r w:rsidRPr="00FD6B1D">
        <w:rPr>
          <w:rStyle w:val="FootnoteReference"/>
          <w:sz w:val="16"/>
          <w:szCs w:val="16"/>
        </w:rPr>
        <w:footnoteRef/>
      </w:r>
      <w:r w:rsidRPr="00FD6B1D">
        <w:rPr>
          <w:sz w:val="16"/>
          <w:szCs w:val="16"/>
        </w:rPr>
        <w:t xml:space="preserve"> </w:t>
      </w:r>
      <w:r w:rsidRPr="00FD6B1D">
        <w:rPr>
          <w:rFonts w:ascii="Verdana" w:hAnsi="Verdana"/>
          <w:sz w:val="16"/>
          <w:szCs w:val="16"/>
        </w:rPr>
        <w:t>Kennisnotitie RIVM ’Tussenrapportage overschrijdingen EU-grenswaarden in 2030’, Kenmerk KN-2025-0066, 22 augustus 2025. Te raadplegen via https://www.rivm.nl/publicaties/tussenrapportage-overschrijdingen-eu-grenswaarden-in-2030</w:t>
      </w:r>
    </w:p>
  </w:footnote>
  <w:footnote w:id="4">
    <w:p w14:paraId="10967E5B" w14:textId="77777777" w:rsidR="00686E88" w:rsidRPr="00E74B4F" w:rsidRDefault="00686E88" w:rsidP="00686E88">
      <w:pPr>
        <w:pStyle w:val="FootnoteText"/>
        <w:rPr>
          <w:sz w:val="16"/>
          <w:szCs w:val="16"/>
        </w:rPr>
      </w:pPr>
      <w:r w:rsidRPr="00E74B4F">
        <w:rPr>
          <w:rStyle w:val="FootnoteReference"/>
          <w:sz w:val="16"/>
          <w:szCs w:val="16"/>
        </w:rPr>
        <w:footnoteRef/>
      </w:r>
      <w:r w:rsidRPr="00E74B4F">
        <w:rPr>
          <w:sz w:val="16"/>
          <w:szCs w:val="16"/>
        </w:rPr>
        <w:t xml:space="preserve"> </w:t>
      </w:r>
      <w:r w:rsidRPr="00E544AD">
        <w:rPr>
          <w:rFonts w:ascii="Verdana" w:hAnsi="Verdana"/>
          <w:sz w:val="16"/>
          <w:szCs w:val="16"/>
        </w:rPr>
        <w:t>De financiële middelen die de concessieverlener beschikbaar stelt ten behoeve van de exploitatie van een concessie (inclusief personeel, energie/brandstof en regulier onderhoud materieel) zoals verstrekt aan de vervoerder zonder additionele subsidies.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0BC"/>
    <w:rsid w:val="000E7BC9"/>
    <w:rsid w:val="0010332D"/>
    <w:rsid w:val="0016522A"/>
    <w:rsid w:val="0023615E"/>
    <w:rsid w:val="00392D75"/>
    <w:rsid w:val="00416F95"/>
    <w:rsid w:val="004509D2"/>
    <w:rsid w:val="00463C86"/>
    <w:rsid w:val="004B3094"/>
    <w:rsid w:val="004B47D2"/>
    <w:rsid w:val="00586205"/>
    <w:rsid w:val="00686E88"/>
    <w:rsid w:val="007427C0"/>
    <w:rsid w:val="00801DE8"/>
    <w:rsid w:val="0082026A"/>
    <w:rsid w:val="009749EF"/>
    <w:rsid w:val="0097600D"/>
    <w:rsid w:val="00990A03"/>
    <w:rsid w:val="00A2102C"/>
    <w:rsid w:val="00A55B7E"/>
    <w:rsid w:val="00B74052"/>
    <w:rsid w:val="00B913AC"/>
    <w:rsid w:val="00BD10BC"/>
    <w:rsid w:val="00CF2CD6"/>
    <w:rsid w:val="00D124EE"/>
    <w:rsid w:val="00D44BE3"/>
    <w:rsid w:val="00DD6320"/>
    <w:rsid w:val="00DF0258"/>
    <w:rsid w:val="00E0180D"/>
    <w:rsid w:val="00E544AD"/>
    <w:rsid w:val="00E74B4F"/>
    <w:rsid w:val="00ED0CBD"/>
    <w:rsid w:val="00EF1319"/>
    <w:rsid w:val="00F81830"/>
    <w:rsid w:val="00FD600B"/>
    <w:rsid w:val="00FD6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0F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B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8202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026A"/>
    <w:rPr>
      <w:sz w:val="20"/>
      <w:szCs w:val="20"/>
    </w:rPr>
  </w:style>
  <w:style w:type="character" w:styleId="FootnoteReference">
    <w:name w:val="footnote reference"/>
    <w:basedOn w:val="DefaultParagraphFont"/>
    <w:uiPriority w:val="99"/>
    <w:semiHidden/>
    <w:unhideWhenUsed/>
    <w:rsid w:val="0082026A"/>
    <w:rPr>
      <w:vertAlign w:val="superscript"/>
    </w:rPr>
  </w:style>
  <w:style w:type="paragraph" w:styleId="ListParagraph">
    <w:name w:val="List Paragraph"/>
    <w:basedOn w:val="Normal"/>
    <w:uiPriority w:val="34"/>
    <w:qFormat/>
    <w:rsid w:val="00D124EE"/>
    <w:pPr>
      <w:ind w:left="720"/>
      <w:contextualSpacing/>
    </w:pPr>
  </w:style>
  <w:style w:type="character" w:styleId="Hyperlink">
    <w:name w:val="Hyperlink"/>
    <w:basedOn w:val="DefaultParagraphFont"/>
    <w:uiPriority w:val="99"/>
    <w:unhideWhenUsed/>
    <w:rsid w:val="00E544AD"/>
    <w:rPr>
      <w:color w:val="467886" w:themeColor="hyperlink"/>
      <w:u w:val="single"/>
    </w:rPr>
  </w:style>
  <w:style w:type="character" w:customStyle="1" w:styleId="UnresolvedMention">
    <w:name w:val="Unresolved Mention"/>
    <w:basedOn w:val="DefaultParagraphFont"/>
    <w:uiPriority w:val="99"/>
    <w:semiHidden/>
    <w:unhideWhenUsed/>
    <w:rsid w:val="00E544AD"/>
    <w:rPr>
      <w:color w:val="605E5C"/>
      <w:shd w:val="clear" w:color="auto" w:fill="E1DFDD"/>
    </w:rPr>
  </w:style>
  <w:style w:type="paragraph" w:styleId="NoSpacing">
    <w:name w:val="No Spacing"/>
    <w:uiPriority w:val="1"/>
    <w:qFormat/>
    <w:rsid w:val="00E74B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306032">
      <w:bodyDiv w:val="1"/>
      <w:marLeft w:val="0"/>
      <w:marRight w:val="0"/>
      <w:marTop w:val="0"/>
      <w:marBottom w:val="0"/>
      <w:divBdr>
        <w:top w:val="none" w:sz="0" w:space="0" w:color="auto"/>
        <w:left w:val="none" w:sz="0" w:space="0" w:color="auto"/>
        <w:bottom w:val="none" w:sz="0" w:space="0" w:color="auto"/>
        <w:right w:val="none" w:sz="0" w:space="0" w:color="auto"/>
      </w:divBdr>
    </w:div>
    <w:div w:id="405154983">
      <w:bodyDiv w:val="1"/>
      <w:marLeft w:val="0"/>
      <w:marRight w:val="0"/>
      <w:marTop w:val="0"/>
      <w:marBottom w:val="0"/>
      <w:divBdr>
        <w:top w:val="none" w:sz="0" w:space="0" w:color="auto"/>
        <w:left w:val="none" w:sz="0" w:space="0" w:color="auto"/>
        <w:bottom w:val="none" w:sz="0" w:space="0" w:color="auto"/>
        <w:right w:val="none" w:sz="0" w:space="0" w:color="auto"/>
      </w:divBdr>
    </w:div>
    <w:div w:id="1174799492">
      <w:bodyDiv w:val="1"/>
      <w:marLeft w:val="0"/>
      <w:marRight w:val="0"/>
      <w:marTop w:val="0"/>
      <w:marBottom w:val="0"/>
      <w:divBdr>
        <w:top w:val="none" w:sz="0" w:space="0" w:color="auto"/>
        <w:left w:val="none" w:sz="0" w:space="0" w:color="auto"/>
        <w:bottom w:val="none" w:sz="0" w:space="0" w:color="auto"/>
        <w:right w:val="none" w:sz="0" w:space="0" w:color="auto"/>
      </w:divBdr>
    </w:div>
    <w:div w:id="1470707274">
      <w:bodyDiv w:val="1"/>
      <w:marLeft w:val="0"/>
      <w:marRight w:val="0"/>
      <w:marTop w:val="0"/>
      <w:marBottom w:val="0"/>
      <w:divBdr>
        <w:top w:val="none" w:sz="0" w:space="0" w:color="auto"/>
        <w:left w:val="none" w:sz="0" w:space="0" w:color="auto"/>
        <w:bottom w:val="none" w:sz="0" w:space="0" w:color="auto"/>
        <w:right w:val="none" w:sz="0" w:space="0" w:color="auto"/>
      </w:divBdr>
    </w:div>
    <w:div w:id="1472481273">
      <w:bodyDiv w:val="1"/>
      <w:marLeft w:val="0"/>
      <w:marRight w:val="0"/>
      <w:marTop w:val="0"/>
      <w:marBottom w:val="0"/>
      <w:divBdr>
        <w:top w:val="none" w:sz="0" w:space="0" w:color="auto"/>
        <w:left w:val="none" w:sz="0" w:space="0" w:color="auto"/>
        <w:bottom w:val="none" w:sz="0" w:space="0" w:color="auto"/>
        <w:right w:val="none" w:sz="0" w:space="0" w:color="auto"/>
      </w:divBdr>
    </w:div>
    <w:div w:id="1492596357">
      <w:bodyDiv w:val="1"/>
      <w:marLeft w:val="0"/>
      <w:marRight w:val="0"/>
      <w:marTop w:val="0"/>
      <w:marBottom w:val="0"/>
      <w:divBdr>
        <w:top w:val="none" w:sz="0" w:space="0" w:color="auto"/>
        <w:left w:val="none" w:sz="0" w:space="0" w:color="auto"/>
        <w:bottom w:val="none" w:sz="0" w:space="0" w:color="auto"/>
        <w:right w:val="none" w:sz="0" w:space="0" w:color="auto"/>
      </w:divBdr>
    </w:div>
    <w:div w:id="1662345304">
      <w:bodyDiv w:val="1"/>
      <w:marLeft w:val="0"/>
      <w:marRight w:val="0"/>
      <w:marTop w:val="0"/>
      <w:marBottom w:val="0"/>
      <w:divBdr>
        <w:top w:val="none" w:sz="0" w:space="0" w:color="auto"/>
        <w:left w:val="none" w:sz="0" w:space="0" w:color="auto"/>
        <w:bottom w:val="none" w:sz="0" w:space="0" w:color="auto"/>
        <w:right w:val="none" w:sz="0" w:space="0" w:color="auto"/>
      </w:divBdr>
    </w:div>
    <w:div w:id="16858636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http://www.staatvanhetov.nl" TargetMode="Externa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8960</ap:Words>
  <ap:Characters>51072</ap:Characters>
  <ap:DocSecurity>0</ap:DocSecurity>
  <ap:Lines>425</ap:Lines>
  <ap:Paragraphs>119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59913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2025-11-19T09:52:00.0000000Z</dcterms:created>
  <dcterms:modified xsi:type="dcterms:W3CDTF">2025-11-19T09:52:00.0000000Z</dcterms:modified>
  <dc:creator/>
  <dc:description>------------------------</dc:description>
  <dc:subject/>
  <dc:title/>
  <keywords/>
  <version/>
  <category/>
</coreProperties>
</file>