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E291B" w:rsidR="008E291B" w:rsidRDefault="008E291B" w14:paraId="46181FEC" w14:textId="1E6996F3">
      <w:pPr>
        <w:rPr>
          <w:rFonts w:ascii="Verdana" w:hAnsi="Verdana"/>
          <w:b/>
          <w:bCs/>
          <w:sz w:val="20"/>
          <w:szCs w:val="20"/>
        </w:rPr>
      </w:pPr>
      <w:bookmarkStart w:name="_GoBack" w:id="0"/>
      <w:bookmarkEnd w:id="0"/>
      <w:r w:rsidRPr="008E291B">
        <w:rPr>
          <w:rFonts w:ascii="Verdana" w:hAnsi="Verdana"/>
          <w:b/>
          <w:bCs/>
          <w:sz w:val="20"/>
          <w:szCs w:val="20"/>
        </w:rPr>
        <w:t>Kamerstukken 36 800-J</w:t>
      </w:r>
      <w:r>
        <w:rPr>
          <w:rFonts w:ascii="Verdana" w:hAnsi="Verdana"/>
          <w:b/>
          <w:bCs/>
          <w:sz w:val="20"/>
          <w:szCs w:val="20"/>
        </w:rPr>
        <w:t xml:space="preserve"> (begroting Deltafonds 2026)</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42"/>
        <w:gridCol w:w="8330"/>
      </w:tblGrid>
      <w:tr w:rsidRPr="008E291B" w:rsidR="004B34C8" w14:paraId="6A2F5732" w14:textId="77777777">
        <w:tc>
          <w:tcPr>
            <w:tcW w:w="0" w:type="auto"/>
          </w:tcPr>
          <w:p w:rsidRPr="008E291B" w:rsidR="004B34C8" w:rsidRDefault="000009DF" w14:paraId="0631F12F" w14:textId="5C5D210B">
            <w:pPr>
              <w:rPr>
                <w:rFonts w:ascii="Verdana" w:hAnsi="Verdana"/>
                <w:sz w:val="18"/>
                <w:szCs w:val="18"/>
              </w:rPr>
            </w:pPr>
            <w:r w:rsidRPr="008E291B">
              <w:rPr>
                <w:rFonts w:ascii="Verdana" w:hAnsi="Verdana"/>
                <w:sz w:val="18"/>
                <w:szCs w:val="18"/>
              </w:rPr>
              <w:t>Vraag</w:t>
            </w:r>
          </w:p>
        </w:tc>
        <w:tc>
          <w:tcPr>
            <w:tcW w:w="0" w:type="auto"/>
          </w:tcPr>
          <w:p w:rsidRPr="008E291B" w:rsidR="004B34C8" w:rsidRDefault="004B34C8" w14:paraId="44FE487A" w14:textId="5050C811">
            <w:pPr>
              <w:rPr>
                <w:rFonts w:ascii="Verdana" w:hAnsi="Verdana"/>
                <w:sz w:val="18"/>
                <w:szCs w:val="18"/>
              </w:rPr>
            </w:pPr>
          </w:p>
        </w:tc>
      </w:tr>
      <w:tr w:rsidRPr="008E291B" w:rsidR="004B34C8" w14:paraId="24B339AF" w14:textId="77777777">
        <w:tc>
          <w:tcPr>
            <w:tcW w:w="0" w:type="auto"/>
          </w:tcPr>
          <w:p w:rsidRPr="008E291B" w:rsidR="004B34C8" w:rsidRDefault="000009DF" w14:paraId="35310211" w14:textId="77777777">
            <w:pPr>
              <w:rPr>
                <w:rFonts w:ascii="Verdana" w:hAnsi="Verdana"/>
                <w:sz w:val="18"/>
                <w:szCs w:val="18"/>
              </w:rPr>
            </w:pPr>
            <w:r w:rsidRPr="008E291B">
              <w:rPr>
                <w:rFonts w:ascii="Verdana" w:hAnsi="Verdana"/>
                <w:sz w:val="18"/>
                <w:szCs w:val="18"/>
              </w:rPr>
              <w:t>1</w:t>
            </w:r>
          </w:p>
        </w:tc>
        <w:tc>
          <w:tcPr>
            <w:tcW w:w="0" w:type="auto"/>
          </w:tcPr>
          <w:p w:rsidRPr="008E291B" w:rsidR="004B34C8" w:rsidRDefault="000009DF" w14:paraId="3429050B" w14:textId="2A57C807">
            <w:pPr>
              <w:rPr>
                <w:rFonts w:ascii="Verdana" w:hAnsi="Verdana"/>
                <w:sz w:val="18"/>
                <w:szCs w:val="18"/>
              </w:rPr>
            </w:pPr>
            <w:r w:rsidRPr="008E291B">
              <w:rPr>
                <w:rFonts w:ascii="Verdana" w:hAnsi="Verdana"/>
                <w:b/>
                <w:sz w:val="18"/>
                <w:szCs w:val="18"/>
              </w:rPr>
              <w:t>Vraag:</w:t>
            </w:r>
            <w:r w:rsidRPr="008E291B">
              <w:rPr>
                <w:rFonts w:ascii="Verdana" w:hAnsi="Verdana"/>
                <w:sz w:val="18"/>
                <w:szCs w:val="18"/>
              </w:rPr>
              <w:br/>
              <w:t>Kunt u een concreet overzicht geven van de uitwerking van de 22 procent bezuiniging op apparaatslasten vanuit het regeerprogramma? Graag in een tabel waarin wordt aangegeven op welke organisaties of organisatieonderdelen deze bezuiniging neerslaat, en per organisatieonderdeel hoeveel externe inhuur teruggedrongen wordt, hoeveel fte verdwijnen en welk type functies het daar betreft.</w:t>
            </w:r>
            <w:r w:rsidRPr="008E291B">
              <w:rPr>
                <w:rFonts w:ascii="Verdana" w:hAnsi="Verdana"/>
                <w:sz w:val="18"/>
                <w:szCs w:val="18"/>
              </w:rPr>
              <w:br/>
            </w:r>
            <w:r w:rsidRPr="008E291B">
              <w:rPr>
                <w:rFonts w:ascii="Verdana" w:hAnsi="Verdana"/>
                <w:sz w:val="18"/>
                <w:szCs w:val="18"/>
              </w:rPr>
              <w:br/>
            </w:r>
            <w:r w:rsidRPr="008E291B">
              <w:rPr>
                <w:rFonts w:ascii="Verdana" w:hAnsi="Verdana"/>
                <w:b/>
                <w:sz w:val="18"/>
                <w:szCs w:val="18"/>
              </w:rPr>
              <w:t>Antwoord:</w:t>
            </w:r>
            <w:r w:rsidRPr="008E291B">
              <w:rPr>
                <w:rFonts w:ascii="Verdana" w:hAnsi="Verdana"/>
                <w:sz w:val="18"/>
                <w:szCs w:val="18"/>
              </w:rPr>
              <w:br/>
              <w:t>De apparaatstaakstelling bedraagt € 22,8 miljoen in 2025 en loopt op tot € 90,3 miljoen structureel vanaf 2029. De focus bij de verdeling van de taakstelling lag op het maken van heldere keuzes; het behouden van een balans tussen beleid, uitvoering, inspectie, kennis, staf en bedrijfsvoering; en het bijdragen aan de visie waar IenW voor staat. Hierbij is het uitgangspunt dat alle onderdelen bijdragen in het kader van solidariteit, maar dat de uitvoering zoveel mogelijk wordt ontzien. Deze besluitvorming resulteert in een bezuiniging op het apparaat van het kerndepartement van 9,7% vanaf 2029 en op het apparaatsbudget van de overige organisatieonderdelen wordt stapsgewijs 0,5% per jaar bezuinigd, oplopend tot 2,5% structureel in 2029. Deze verwerking van de taakstelling genereert een opbrengst die gelijk staat aan de financiële opgave die voor IenW voortvloeit uit het HLA.</w:t>
            </w:r>
            <w:r w:rsidRPr="008E291B">
              <w:rPr>
                <w:rFonts w:ascii="Verdana" w:hAnsi="Verdana"/>
                <w:sz w:val="18"/>
                <w:szCs w:val="18"/>
              </w:rPr>
              <w:br/>
            </w:r>
            <w:r w:rsidRPr="008E291B">
              <w:rPr>
                <w:rFonts w:ascii="Verdana" w:hAnsi="Verdana"/>
                <w:sz w:val="18"/>
                <w:szCs w:val="18"/>
              </w:rPr>
              <w:br/>
              <w:t>In tabel</w:t>
            </w:r>
            <w:r w:rsidR="008E291B">
              <w:rPr>
                <w:rFonts w:ascii="Verdana" w:hAnsi="Verdana"/>
                <w:sz w:val="18"/>
                <w:szCs w:val="18"/>
              </w:rPr>
              <w:t xml:space="preserve"> 1</w:t>
            </w:r>
            <w:r w:rsidRPr="008E291B">
              <w:rPr>
                <w:rFonts w:ascii="Verdana" w:hAnsi="Verdana"/>
                <w:sz w:val="18"/>
                <w:szCs w:val="18"/>
              </w:rPr>
              <w:t xml:space="preserve"> is aangegeven hoe de bezuiniging op apparaatslasten vanuit het regeerprogramma op het Deltafonds neerslaat op de organisatie.</w:t>
            </w:r>
            <w:r w:rsidRPr="008E291B">
              <w:rPr>
                <w:rFonts w:ascii="Verdana" w:hAnsi="Verdana"/>
                <w:sz w:val="18"/>
                <w:szCs w:val="18"/>
              </w:rPr>
              <w:br/>
            </w:r>
          </w:p>
        </w:tc>
      </w:tr>
      <w:tr w:rsidRPr="008E291B" w:rsidR="004B34C8" w14:paraId="521A3120" w14:textId="77777777">
        <w:tc>
          <w:tcPr>
            <w:tcW w:w="0" w:type="auto"/>
          </w:tcPr>
          <w:p w:rsidRPr="008E291B" w:rsidR="004B34C8" w:rsidRDefault="000009DF" w14:paraId="0AB8BB61" w14:textId="77777777">
            <w:pPr>
              <w:rPr>
                <w:rFonts w:ascii="Verdana" w:hAnsi="Verdana"/>
                <w:sz w:val="18"/>
                <w:szCs w:val="18"/>
              </w:rPr>
            </w:pPr>
            <w:r w:rsidRPr="008E291B">
              <w:rPr>
                <w:rFonts w:ascii="Verdana" w:hAnsi="Verdana"/>
                <w:sz w:val="18"/>
                <w:szCs w:val="18"/>
              </w:rPr>
              <w:t>2</w:t>
            </w:r>
          </w:p>
        </w:tc>
        <w:tc>
          <w:tcPr>
            <w:tcW w:w="0" w:type="auto"/>
          </w:tcPr>
          <w:p w:rsidRPr="008E291B" w:rsidR="004B34C8" w:rsidRDefault="000009DF" w14:paraId="6BF932AE" w14:textId="77777777">
            <w:pPr>
              <w:rPr>
                <w:rFonts w:ascii="Verdana" w:hAnsi="Verdana"/>
                <w:sz w:val="18"/>
                <w:szCs w:val="18"/>
              </w:rPr>
            </w:pPr>
            <w:r w:rsidRPr="008E291B">
              <w:rPr>
                <w:rFonts w:ascii="Verdana" w:hAnsi="Verdana"/>
                <w:b/>
                <w:sz w:val="18"/>
                <w:szCs w:val="18"/>
              </w:rPr>
              <w:t>Vraag:</w:t>
            </w:r>
            <w:r w:rsidRPr="008E291B">
              <w:rPr>
                <w:rFonts w:ascii="Verdana" w:hAnsi="Verdana"/>
                <w:sz w:val="18"/>
                <w:szCs w:val="18"/>
              </w:rPr>
              <w:br/>
              <w:t>Worden dijkverhogingen zoals op Schiermonnikoog vooruitgeschoven of zitten ze nog op het juiste tijdpad om risico’s af te dekken?</w:t>
            </w:r>
            <w:r w:rsidRPr="008E291B">
              <w:rPr>
                <w:rFonts w:ascii="Verdana" w:hAnsi="Verdana"/>
                <w:sz w:val="18"/>
                <w:szCs w:val="18"/>
              </w:rPr>
              <w:br/>
            </w:r>
            <w:r w:rsidRPr="008E291B">
              <w:rPr>
                <w:rFonts w:ascii="Verdana" w:hAnsi="Verdana"/>
                <w:sz w:val="18"/>
                <w:szCs w:val="18"/>
              </w:rPr>
              <w:br/>
            </w:r>
            <w:r w:rsidRPr="008E291B">
              <w:rPr>
                <w:rFonts w:ascii="Verdana" w:hAnsi="Verdana"/>
                <w:b/>
                <w:sz w:val="18"/>
                <w:szCs w:val="18"/>
              </w:rPr>
              <w:t>Antwoord:</w:t>
            </w:r>
            <w:r w:rsidRPr="008E291B">
              <w:rPr>
                <w:rFonts w:ascii="Verdana" w:hAnsi="Verdana"/>
                <w:sz w:val="18"/>
                <w:szCs w:val="18"/>
              </w:rPr>
              <w:br/>
              <w:t>In algemene zin geldt dat dijkversterkingen op schema liggen om uiterlijk 1 januari 2050 te voldoen aan de gestelde waterveiligheidsnorm. In de landelijke programmering van het hoogwaterbeschermingsprogramma (HWBP) worden de grootste waterveiligheidsrisico’s als eerste aangepakt. Wel is er aandacht nodig voor de voortgang en doelmatigheid van het HWBP. Daar wordt, samen met de waterschappen, in het kader van de Herijking HWBP scherper op gestuurd. Basis hiervoor is de rapportage van projecten - zoals Schiermonnikoog - naar de programmadirectie HWBP. De hoofdlijnen van deze rapportage zijn weergegeven in het jaarbericht HWBP 2024, dat te vinden is via https://hoogwaterbescherming.foleon.com/jaarbericht/jaarbericht-2024/</w:t>
            </w:r>
            <w:r w:rsidRPr="008E291B">
              <w:rPr>
                <w:rFonts w:ascii="Verdana" w:hAnsi="Verdana"/>
                <w:sz w:val="18"/>
                <w:szCs w:val="18"/>
              </w:rPr>
              <w:br/>
            </w:r>
          </w:p>
        </w:tc>
      </w:tr>
      <w:tr w:rsidRPr="008E291B" w:rsidR="004B34C8" w14:paraId="586C474E" w14:textId="77777777">
        <w:tc>
          <w:tcPr>
            <w:tcW w:w="0" w:type="auto"/>
          </w:tcPr>
          <w:p w:rsidRPr="008E291B" w:rsidR="004B34C8" w:rsidRDefault="000009DF" w14:paraId="51DB7277" w14:textId="77777777">
            <w:pPr>
              <w:rPr>
                <w:rFonts w:ascii="Verdana" w:hAnsi="Verdana"/>
                <w:sz w:val="18"/>
                <w:szCs w:val="18"/>
              </w:rPr>
            </w:pPr>
            <w:r w:rsidRPr="008E291B">
              <w:rPr>
                <w:rFonts w:ascii="Verdana" w:hAnsi="Verdana"/>
                <w:sz w:val="18"/>
                <w:szCs w:val="18"/>
              </w:rPr>
              <w:t>3</w:t>
            </w:r>
          </w:p>
        </w:tc>
        <w:tc>
          <w:tcPr>
            <w:tcW w:w="0" w:type="auto"/>
          </w:tcPr>
          <w:p w:rsidRPr="008E291B" w:rsidR="004B34C8" w:rsidRDefault="000009DF" w14:paraId="6AC310E6" w14:textId="77777777">
            <w:pPr>
              <w:rPr>
                <w:rFonts w:ascii="Verdana" w:hAnsi="Verdana"/>
                <w:sz w:val="18"/>
                <w:szCs w:val="18"/>
              </w:rPr>
            </w:pPr>
            <w:r w:rsidRPr="008E291B">
              <w:rPr>
                <w:rFonts w:ascii="Verdana" w:hAnsi="Verdana"/>
                <w:b/>
                <w:sz w:val="18"/>
                <w:szCs w:val="18"/>
              </w:rPr>
              <w:t>Vraag:</w:t>
            </w:r>
            <w:r w:rsidRPr="008E291B">
              <w:rPr>
                <w:rFonts w:ascii="Verdana" w:hAnsi="Verdana"/>
                <w:sz w:val="18"/>
                <w:szCs w:val="18"/>
              </w:rPr>
              <w:br/>
              <w:t>Is er voldoende budget geborgd voor de dijkverhoging op Schiermonnikoog en zijn de risico’s voldoende ingeschat?</w:t>
            </w:r>
            <w:r w:rsidRPr="008E291B">
              <w:rPr>
                <w:rFonts w:ascii="Verdana" w:hAnsi="Verdana"/>
                <w:sz w:val="18"/>
                <w:szCs w:val="18"/>
              </w:rPr>
              <w:br/>
            </w:r>
            <w:r w:rsidRPr="008E291B">
              <w:rPr>
                <w:rFonts w:ascii="Verdana" w:hAnsi="Verdana"/>
                <w:sz w:val="18"/>
                <w:szCs w:val="18"/>
              </w:rPr>
              <w:br/>
            </w:r>
            <w:r w:rsidRPr="008E291B">
              <w:rPr>
                <w:rFonts w:ascii="Verdana" w:hAnsi="Verdana"/>
                <w:b/>
                <w:sz w:val="18"/>
                <w:szCs w:val="18"/>
              </w:rPr>
              <w:t>Antwoord:</w:t>
            </w:r>
            <w:r w:rsidRPr="008E291B">
              <w:rPr>
                <w:rFonts w:ascii="Verdana" w:hAnsi="Verdana"/>
                <w:sz w:val="18"/>
                <w:szCs w:val="18"/>
              </w:rPr>
              <w:br/>
              <w:t>Het Hoogwaterbeschermingsprogramma werkt op basis van subsidieverlening per projectfase. Pas na een afgeronde fase wordt subsidie verleend voor de volgende. In de subsidieaanvraag worden ook de risico’s meegenomen. Voor het project Schiermonnikoog is sprake van een pas op de plaats gezien de lopende discussie over onder meer de te hanteren norm en daarmee de (omvang van de) dijkversterkingsopgave.</w:t>
            </w:r>
            <w:r w:rsidRPr="008E291B">
              <w:rPr>
                <w:rFonts w:ascii="Verdana" w:hAnsi="Verdana"/>
                <w:sz w:val="18"/>
                <w:szCs w:val="18"/>
              </w:rPr>
              <w:br/>
            </w:r>
          </w:p>
        </w:tc>
      </w:tr>
    </w:tbl>
    <w:p w:rsidR="007A7D6D" w:rsidRDefault="007A7D6D" w14:paraId="4CF86FED" w14:textId="77777777">
      <w:pPr>
        <w:rPr>
          <w:rFonts w:ascii="Verdana" w:hAnsi="Verdana"/>
          <w:sz w:val="18"/>
          <w:szCs w:val="18"/>
        </w:rPr>
      </w:pPr>
    </w:p>
    <w:p w:rsidR="008E291B" w:rsidRDefault="008E291B" w14:paraId="4098E88C" w14:textId="77777777">
      <w:pPr>
        <w:rPr>
          <w:rFonts w:ascii="Verdana" w:hAnsi="Verdana"/>
          <w:sz w:val="18"/>
          <w:szCs w:val="18"/>
        </w:rPr>
      </w:pPr>
      <w:r>
        <w:rPr>
          <w:rFonts w:ascii="Verdana" w:hAnsi="Verdana"/>
          <w:sz w:val="18"/>
          <w:szCs w:val="18"/>
        </w:rPr>
        <w:br w:type="page"/>
      </w:r>
    </w:p>
    <w:p w:rsidRPr="008E291B" w:rsidR="008E291B" w:rsidP="008E291B" w:rsidRDefault="008E291B" w14:paraId="2EC43643" w14:textId="6806E375">
      <w:pPr>
        <w:rPr>
          <w:rFonts w:ascii="Verdana" w:hAnsi="Verdana"/>
          <w:b/>
          <w:bCs/>
          <w:sz w:val="18"/>
          <w:szCs w:val="18"/>
        </w:rPr>
      </w:pPr>
      <w:r w:rsidRPr="008E291B">
        <w:rPr>
          <w:rFonts w:ascii="Verdana" w:hAnsi="Verdana"/>
          <w:b/>
          <w:bCs/>
          <w:sz w:val="18"/>
          <w:szCs w:val="18"/>
        </w:rPr>
        <w:lastRenderedPageBreak/>
        <w:t>Tabel 1 (behorend bij antwoord 1)</w:t>
      </w:r>
    </w:p>
    <w:p w:rsidRPr="008E291B" w:rsidR="008E291B" w:rsidP="008E291B" w:rsidRDefault="008E291B" w14:paraId="30264399" w14:textId="451E197A">
      <w:pPr>
        <w:rPr>
          <w:rFonts w:ascii="Verdana" w:hAnsi="Verdana"/>
          <w:sz w:val="18"/>
          <w:szCs w:val="18"/>
        </w:rPr>
      </w:pPr>
      <w:r w:rsidRPr="008E291B">
        <w:rPr>
          <w:rFonts w:ascii="Verdana" w:hAnsi="Verdana"/>
          <w:sz w:val="18"/>
          <w:szCs w:val="18"/>
        </w:rPr>
        <w:t>De bezuiniging op apparaatslasten vanuit het regeerprogramma op het Deltafonds slaat neer op de volgende organisaties:</w:t>
      </w:r>
    </w:p>
    <w:tbl>
      <w:tblPr>
        <w:tblStyle w:val="TableGrid"/>
        <w:tblW w:w="8931" w:type="dxa"/>
        <w:tblInd w:w="-5" w:type="dxa"/>
        <w:tblLook w:val="04A0" w:firstRow="1" w:lastRow="0" w:firstColumn="1" w:lastColumn="0" w:noHBand="0" w:noVBand="1"/>
      </w:tblPr>
      <w:tblGrid>
        <w:gridCol w:w="2127"/>
        <w:gridCol w:w="1740"/>
        <w:gridCol w:w="2234"/>
        <w:gridCol w:w="1805"/>
        <w:gridCol w:w="1025"/>
      </w:tblGrid>
      <w:tr w:rsidRPr="008E291B" w:rsidR="008E291B" w:rsidTr="008E291B" w14:paraId="00B12FDE" w14:textId="77777777">
        <w:trPr>
          <w:trHeight w:val="255"/>
        </w:trPr>
        <w:tc>
          <w:tcPr>
            <w:tcW w:w="2127" w:type="dxa"/>
            <w:tcBorders>
              <w:top w:val="single" w:color="auto" w:sz="4" w:space="0"/>
              <w:left w:val="single" w:color="auto" w:sz="4" w:space="0"/>
              <w:bottom w:val="single" w:color="auto" w:sz="4" w:space="0"/>
              <w:right w:val="single" w:color="auto" w:sz="4" w:space="0"/>
            </w:tcBorders>
            <w:noWrap/>
            <w:hideMark/>
          </w:tcPr>
          <w:p w:rsidRPr="008E291B" w:rsidR="008E291B" w:rsidP="008E291B" w:rsidRDefault="008E291B" w14:paraId="46FC05B2" w14:textId="7BC97A0F">
            <w:pPr>
              <w:spacing w:after="160" w:line="278" w:lineRule="auto"/>
              <w:rPr>
                <w:rFonts w:ascii="Verdana" w:hAnsi="Verdana"/>
                <w:b/>
                <w:bCs/>
                <w:sz w:val="18"/>
                <w:szCs w:val="18"/>
                <w:lang w:val="en-US"/>
              </w:rPr>
            </w:pPr>
            <w:r w:rsidRPr="008E291B">
              <w:rPr>
                <w:rFonts w:ascii="Verdana" w:hAnsi="Verdana"/>
                <w:b/>
                <w:bCs/>
                <w:sz w:val="18"/>
                <w:szCs w:val="18"/>
                <w:lang w:val="en-US"/>
              </w:rPr>
              <w:t>Organisatie</w:t>
            </w:r>
          </w:p>
        </w:tc>
        <w:tc>
          <w:tcPr>
            <w:tcW w:w="1740" w:type="dxa"/>
            <w:tcBorders>
              <w:top w:val="single" w:color="auto" w:sz="4" w:space="0"/>
              <w:left w:val="single" w:color="auto" w:sz="4" w:space="0"/>
              <w:bottom w:val="single" w:color="auto" w:sz="4" w:space="0"/>
              <w:right w:val="single" w:color="auto" w:sz="4" w:space="0"/>
            </w:tcBorders>
            <w:hideMark/>
          </w:tcPr>
          <w:p w:rsidRPr="008E291B" w:rsidR="008E291B" w:rsidP="008E291B" w:rsidRDefault="008E291B" w14:paraId="4D735195" w14:textId="77777777">
            <w:pPr>
              <w:spacing w:after="160" w:line="278" w:lineRule="auto"/>
              <w:rPr>
                <w:rFonts w:ascii="Verdana" w:hAnsi="Verdana"/>
                <w:b/>
                <w:bCs/>
                <w:sz w:val="18"/>
                <w:szCs w:val="18"/>
                <w:lang w:val="en-US"/>
              </w:rPr>
            </w:pPr>
            <w:r w:rsidRPr="008E291B">
              <w:rPr>
                <w:rFonts w:ascii="Verdana" w:hAnsi="Verdana"/>
                <w:b/>
                <w:bCs/>
                <w:sz w:val="18"/>
                <w:szCs w:val="18"/>
                <w:lang w:val="en-US"/>
              </w:rPr>
              <w:t>Bezuiniging</w:t>
            </w:r>
          </w:p>
        </w:tc>
        <w:tc>
          <w:tcPr>
            <w:tcW w:w="2234" w:type="dxa"/>
            <w:tcBorders>
              <w:top w:val="single" w:color="auto" w:sz="4" w:space="0"/>
              <w:left w:val="single" w:color="auto" w:sz="4" w:space="0"/>
              <w:bottom w:val="single" w:color="auto" w:sz="4" w:space="0"/>
              <w:right w:val="single" w:color="auto" w:sz="4" w:space="0"/>
            </w:tcBorders>
            <w:hideMark/>
          </w:tcPr>
          <w:p w:rsidRPr="008E291B" w:rsidR="008E291B" w:rsidP="008E291B" w:rsidRDefault="008E291B" w14:paraId="5C0DABC0" w14:textId="77777777">
            <w:pPr>
              <w:spacing w:after="160" w:line="278" w:lineRule="auto"/>
              <w:rPr>
                <w:rFonts w:ascii="Verdana" w:hAnsi="Verdana"/>
                <w:b/>
                <w:bCs/>
                <w:sz w:val="18"/>
                <w:szCs w:val="18"/>
                <w:lang w:val="en-US"/>
              </w:rPr>
            </w:pPr>
            <w:r w:rsidRPr="008E291B">
              <w:rPr>
                <w:rFonts w:ascii="Verdana" w:hAnsi="Verdana"/>
                <w:b/>
                <w:bCs/>
                <w:sz w:val="18"/>
                <w:szCs w:val="18"/>
                <w:lang w:val="en-US"/>
              </w:rPr>
              <w:t>Externe inhuur</w:t>
            </w:r>
          </w:p>
        </w:tc>
        <w:tc>
          <w:tcPr>
            <w:tcW w:w="1805" w:type="dxa"/>
            <w:tcBorders>
              <w:top w:val="single" w:color="auto" w:sz="4" w:space="0"/>
              <w:left w:val="single" w:color="auto" w:sz="4" w:space="0"/>
              <w:bottom w:val="single" w:color="auto" w:sz="4" w:space="0"/>
              <w:right w:val="single" w:color="auto" w:sz="4" w:space="0"/>
            </w:tcBorders>
            <w:hideMark/>
          </w:tcPr>
          <w:p w:rsidRPr="008E291B" w:rsidR="008E291B" w:rsidP="008E291B" w:rsidRDefault="008E291B" w14:paraId="1382D0CD" w14:textId="77777777">
            <w:pPr>
              <w:spacing w:after="160" w:line="278" w:lineRule="auto"/>
              <w:rPr>
                <w:rFonts w:ascii="Verdana" w:hAnsi="Verdana"/>
                <w:b/>
                <w:bCs/>
                <w:sz w:val="18"/>
                <w:szCs w:val="18"/>
                <w:lang w:val="en-US"/>
              </w:rPr>
            </w:pPr>
            <w:r w:rsidRPr="008E291B">
              <w:rPr>
                <w:rFonts w:ascii="Verdana" w:hAnsi="Verdana"/>
                <w:b/>
                <w:bCs/>
                <w:sz w:val="18"/>
                <w:szCs w:val="18"/>
                <w:lang w:val="en-US"/>
              </w:rPr>
              <w:t>Aantal fte</w:t>
            </w:r>
          </w:p>
        </w:tc>
        <w:tc>
          <w:tcPr>
            <w:tcW w:w="1025" w:type="dxa"/>
            <w:tcBorders>
              <w:top w:val="single" w:color="auto" w:sz="4" w:space="0"/>
              <w:left w:val="single" w:color="auto" w:sz="4" w:space="0"/>
              <w:bottom w:val="single" w:color="auto" w:sz="4" w:space="0"/>
              <w:right w:val="single" w:color="auto" w:sz="4" w:space="0"/>
            </w:tcBorders>
            <w:hideMark/>
          </w:tcPr>
          <w:p w:rsidRPr="008E291B" w:rsidR="008E291B" w:rsidP="008E291B" w:rsidRDefault="008E291B" w14:paraId="1C90F91B" w14:textId="77777777">
            <w:pPr>
              <w:spacing w:after="160" w:line="278" w:lineRule="auto"/>
              <w:rPr>
                <w:rFonts w:ascii="Verdana" w:hAnsi="Verdana"/>
                <w:b/>
                <w:bCs/>
                <w:sz w:val="18"/>
                <w:szCs w:val="18"/>
                <w:lang w:val="en-US"/>
              </w:rPr>
            </w:pPr>
            <w:r w:rsidRPr="008E291B">
              <w:rPr>
                <w:rFonts w:ascii="Verdana" w:hAnsi="Verdana"/>
                <w:b/>
                <w:bCs/>
                <w:sz w:val="18"/>
                <w:szCs w:val="18"/>
                <w:lang w:val="en-US"/>
              </w:rPr>
              <w:t>Type functies</w:t>
            </w:r>
          </w:p>
        </w:tc>
      </w:tr>
      <w:tr w:rsidRPr="008E291B" w:rsidR="008E291B" w:rsidTr="008E291B" w14:paraId="26157B43" w14:textId="77777777">
        <w:trPr>
          <w:trHeight w:val="255"/>
        </w:trPr>
        <w:tc>
          <w:tcPr>
            <w:tcW w:w="2127" w:type="dxa"/>
            <w:tcBorders>
              <w:top w:val="single" w:color="auto" w:sz="4" w:space="0"/>
              <w:left w:val="single" w:color="auto" w:sz="4" w:space="0"/>
              <w:bottom w:val="single" w:color="auto" w:sz="4" w:space="0"/>
              <w:right w:val="single" w:color="auto" w:sz="4" w:space="0"/>
            </w:tcBorders>
            <w:noWrap/>
            <w:hideMark/>
          </w:tcPr>
          <w:p w:rsidRPr="008E291B" w:rsidR="008E291B" w:rsidP="008E291B" w:rsidRDefault="008E291B" w14:paraId="28860DD3" w14:textId="77777777">
            <w:pPr>
              <w:spacing w:after="160" w:line="278" w:lineRule="auto"/>
              <w:rPr>
                <w:rFonts w:ascii="Verdana" w:hAnsi="Verdana"/>
                <w:sz w:val="18"/>
                <w:szCs w:val="18"/>
                <w:lang w:val="en-US"/>
              </w:rPr>
            </w:pPr>
            <w:r w:rsidRPr="008E291B">
              <w:rPr>
                <w:rFonts w:ascii="Verdana" w:hAnsi="Verdana"/>
                <w:sz w:val="18"/>
                <w:szCs w:val="18"/>
                <w:lang w:val="en-US"/>
              </w:rPr>
              <w:t xml:space="preserve">Rijkswaterstaat </w:t>
            </w:r>
          </w:p>
        </w:tc>
        <w:tc>
          <w:tcPr>
            <w:tcW w:w="1740" w:type="dxa"/>
            <w:tcBorders>
              <w:top w:val="single" w:color="auto" w:sz="4" w:space="0"/>
              <w:left w:val="single" w:color="auto" w:sz="4" w:space="0"/>
              <w:bottom w:val="single" w:color="auto" w:sz="4" w:space="0"/>
              <w:right w:val="single" w:color="auto" w:sz="4" w:space="0"/>
            </w:tcBorders>
            <w:hideMark/>
          </w:tcPr>
          <w:p w:rsidRPr="008E291B" w:rsidR="008E291B" w:rsidP="008E291B" w:rsidRDefault="008E291B" w14:paraId="39CD17A5" w14:textId="77777777">
            <w:pPr>
              <w:spacing w:after="160" w:line="278" w:lineRule="auto"/>
              <w:rPr>
                <w:rFonts w:ascii="Verdana" w:hAnsi="Verdana"/>
                <w:sz w:val="18"/>
                <w:szCs w:val="18"/>
                <w:lang w:val="en-US"/>
              </w:rPr>
            </w:pPr>
            <w:r w:rsidRPr="008E291B">
              <w:rPr>
                <w:rFonts w:ascii="Verdana" w:hAnsi="Verdana"/>
                <w:sz w:val="18"/>
                <w:szCs w:val="18"/>
                <w:lang w:val="en-US"/>
              </w:rPr>
              <w:t>0,5% van het apparaatsbudget 2029*</w:t>
            </w:r>
          </w:p>
        </w:tc>
        <w:tc>
          <w:tcPr>
            <w:tcW w:w="2234" w:type="dxa"/>
            <w:tcBorders>
              <w:top w:val="single" w:color="auto" w:sz="4" w:space="0"/>
              <w:left w:val="single" w:color="auto" w:sz="4" w:space="0"/>
              <w:bottom w:val="single" w:color="auto" w:sz="4" w:space="0"/>
              <w:right w:val="single" w:color="auto" w:sz="4" w:space="0"/>
            </w:tcBorders>
            <w:hideMark/>
          </w:tcPr>
          <w:p w:rsidRPr="008E291B" w:rsidR="008E291B" w:rsidP="008E291B" w:rsidRDefault="008E291B" w14:paraId="0C10D891" w14:textId="77777777">
            <w:pPr>
              <w:spacing w:after="160" w:line="278" w:lineRule="auto"/>
              <w:rPr>
                <w:rFonts w:ascii="Verdana" w:hAnsi="Verdana"/>
                <w:sz w:val="18"/>
                <w:szCs w:val="18"/>
              </w:rPr>
            </w:pPr>
            <w:r w:rsidRPr="008E291B">
              <w:rPr>
                <w:rFonts w:ascii="Verdana" w:hAnsi="Verdana"/>
                <w:sz w:val="18"/>
                <w:szCs w:val="18"/>
              </w:rPr>
              <w:t>Reductie door verambtelijking van ca. 60 fte</w:t>
            </w:r>
          </w:p>
        </w:tc>
        <w:tc>
          <w:tcPr>
            <w:tcW w:w="2830" w:type="dxa"/>
            <w:gridSpan w:val="2"/>
            <w:tcBorders>
              <w:top w:val="single" w:color="auto" w:sz="4" w:space="0"/>
              <w:left w:val="single" w:color="auto" w:sz="4" w:space="0"/>
              <w:bottom w:val="single" w:color="auto" w:sz="4" w:space="0"/>
              <w:right w:val="single" w:color="auto" w:sz="4" w:space="0"/>
            </w:tcBorders>
            <w:hideMark/>
          </w:tcPr>
          <w:p w:rsidRPr="008E291B" w:rsidR="008E291B" w:rsidP="008E291B" w:rsidRDefault="008E291B" w14:paraId="7D50F6B5" w14:textId="77777777">
            <w:pPr>
              <w:spacing w:after="160" w:line="278" w:lineRule="auto"/>
              <w:rPr>
                <w:rFonts w:ascii="Verdana" w:hAnsi="Verdana"/>
                <w:sz w:val="18"/>
                <w:szCs w:val="18"/>
              </w:rPr>
            </w:pPr>
            <w:r w:rsidRPr="008E291B">
              <w:rPr>
                <w:rFonts w:ascii="Verdana" w:hAnsi="Verdana"/>
                <w:sz w:val="18"/>
                <w:szCs w:val="18"/>
              </w:rPr>
              <w:t>Uitgangspunt is dat het aantal directe fte toeneemt waarbij de kosten per saldo afnemen door het lagere kostenniveau ten opzichte van inhuur. Verambtelijking wordt per casus beoordeeld. Reeds doorgevoerde zaken betreft o.a. IT-beheer van applicaties, Incident-management en expertise op Cybersecurity.</w:t>
            </w:r>
            <w:r w:rsidRPr="008E291B">
              <w:rPr>
                <w:rFonts w:ascii="Verdana" w:hAnsi="Verdana"/>
                <w:sz w:val="18"/>
                <w:szCs w:val="18"/>
              </w:rPr>
              <w:br/>
            </w:r>
          </w:p>
        </w:tc>
      </w:tr>
    </w:tbl>
    <w:p w:rsidRPr="008E291B" w:rsidR="008E291B" w:rsidP="008E291B" w:rsidRDefault="008E291B" w14:paraId="21267669" w14:textId="77777777">
      <w:pPr>
        <w:rPr>
          <w:rFonts w:ascii="Verdana" w:hAnsi="Verdana"/>
          <w:sz w:val="16"/>
          <w:szCs w:val="16"/>
        </w:rPr>
      </w:pPr>
      <w:r w:rsidRPr="008E291B">
        <w:rPr>
          <w:rFonts w:ascii="Verdana" w:hAnsi="Verdana"/>
          <w:sz w:val="16"/>
          <w:szCs w:val="16"/>
        </w:rPr>
        <w:t>* RWS realiseert deze bezuiniging door vloerenreductie (vermindering kantooroppervlak), bezuinigingen op materiele kosten en de verambtelijking van ca. 60 fte.</w:t>
      </w:r>
    </w:p>
    <w:p w:rsidRPr="008E291B" w:rsidR="008E291B" w:rsidRDefault="008E291B" w14:paraId="5E20A69D" w14:textId="77777777">
      <w:pPr>
        <w:rPr>
          <w:rFonts w:ascii="Verdana" w:hAnsi="Verdana"/>
          <w:sz w:val="18"/>
          <w:szCs w:val="18"/>
        </w:rPr>
      </w:pPr>
    </w:p>
    <w:sectPr w:rsidRPr="008E291B" w:rsidR="008E29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4C8"/>
    <w:rsid w:val="000009DF"/>
    <w:rsid w:val="004B34C8"/>
    <w:rsid w:val="007A7D6D"/>
    <w:rsid w:val="008E291B"/>
    <w:rsid w:val="009749EF"/>
    <w:rsid w:val="00ED0CBD"/>
    <w:rsid w:val="00FA3E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75966">
      <w:bodyDiv w:val="1"/>
      <w:marLeft w:val="0"/>
      <w:marRight w:val="0"/>
      <w:marTop w:val="0"/>
      <w:marBottom w:val="0"/>
      <w:divBdr>
        <w:top w:val="none" w:sz="0" w:space="0" w:color="auto"/>
        <w:left w:val="none" w:sz="0" w:space="0" w:color="auto"/>
        <w:bottom w:val="none" w:sz="0" w:space="0" w:color="auto"/>
        <w:right w:val="none" w:sz="0" w:space="0" w:color="auto"/>
      </w:divBdr>
    </w:div>
    <w:div w:id="264001137">
      <w:bodyDiv w:val="1"/>
      <w:marLeft w:val="0"/>
      <w:marRight w:val="0"/>
      <w:marTop w:val="0"/>
      <w:marBottom w:val="0"/>
      <w:divBdr>
        <w:top w:val="none" w:sz="0" w:space="0" w:color="auto"/>
        <w:left w:val="none" w:sz="0" w:space="0" w:color="auto"/>
        <w:bottom w:val="none" w:sz="0" w:space="0" w:color="auto"/>
        <w:right w:val="none" w:sz="0" w:space="0" w:color="auto"/>
      </w:divBdr>
    </w:div>
    <w:div w:id="536741660">
      <w:bodyDiv w:val="1"/>
      <w:marLeft w:val="0"/>
      <w:marRight w:val="0"/>
      <w:marTop w:val="0"/>
      <w:marBottom w:val="0"/>
      <w:divBdr>
        <w:top w:val="none" w:sz="0" w:space="0" w:color="auto"/>
        <w:left w:val="none" w:sz="0" w:space="0" w:color="auto"/>
        <w:bottom w:val="none" w:sz="0" w:space="0" w:color="auto"/>
        <w:right w:val="none" w:sz="0" w:space="0" w:color="auto"/>
      </w:divBdr>
    </w:div>
    <w:div w:id="1610432656">
      <w:bodyDiv w:val="1"/>
      <w:marLeft w:val="0"/>
      <w:marRight w:val="0"/>
      <w:marTop w:val="0"/>
      <w:marBottom w:val="0"/>
      <w:divBdr>
        <w:top w:val="none" w:sz="0" w:space="0" w:color="auto"/>
        <w:left w:val="none" w:sz="0" w:space="0" w:color="auto"/>
        <w:bottom w:val="none" w:sz="0" w:space="0" w:color="auto"/>
        <w:right w:val="none" w:sz="0" w:space="0" w:color="auto"/>
      </w:divBdr>
    </w:div>
    <w:div w:id="2044818739">
      <w:bodyDiv w:val="1"/>
      <w:marLeft w:val="0"/>
      <w:marRight w:val="0"/>
      <w:marTop w:val="0"/>
      <w:marBottom w:val="0"/>
      <w:divBdr>
        <w:top w:val="none" w:sz="0" w:space="0" w:color="auto"/>
        <w:left w:val="none" w:sz="0" w:space="0" w:color="auto"/>
        <w:bottom w:val="none" w:sz="0" w:space="0" w:color="auto"/>
        <w:right w:val="none" w:sz="0" w:space="0" w:color="auto"/>
      </w:divBdr>
    </w:div>
    <w:div w:id="2122648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550</ap:Words>
  <ap:Characters>3138</ap:Characters>
  <ap:DocSecurity>0</ap:DocSecurity>
  <ap:Lines>26</ap:Lines>
  <ap:Paragraphs>7</ap:Paragraphs>
  <ap:ScaleCrop>false</ap:ScaleCrop>
  <ap:LinksUpToDate>false</ap:LinksUpToDate>
  <ap:CharactersWithSpaces>3681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2025-11-19T09:52:00.0000000Z</dcterms:created>
  <dcterms:modified xsi:type="dcterms:W3CDTF">2025-11-19T09:52:00.0000000Z</dcterms:modified>
  <dc:creator/>
  <dc:description>------------------------</dc:description>
  <dc:subject/>
  <dc:title/>
  <keywords/>
  <version/>
  <category/>
</coreProperties>
</file>