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627CE" w:rsidTr="00D9561B" w14:paraId="54672697" w14:textId="77777777">
        <w:trPr>
          <w:trHeight w:val="1514"/>
        </w:trPr>
        <w:tc>
          <w:tcPr>
            <w:tcW w:w="7522" w:type="dxa"/>
            <w:tcBorders>
              <w:top w:val="nil"/>
              <w:left w:val="nil"/>
              <w:bottom w:val="nil"/>
              <w:right w:val="nil"/>
            </w:tcBorders>
            <w:tcMar>
              <w:left w:w="0" w:type="dxa"/>
              <w:right w:w="0" w:type="dxa"/>
            </w:tcMar>
          </w:tcPr>
          <w:p w:rsidR="00374412" w:rsidP="00D9561B" w:rsidRDefault="00367BA3" w14:paraId="1D35D40A" w14:textId="77777777">
            <w:r>
              <w:t>De v</w:t>
            </w:r>
            <w:r w:rsidR="008E3932">
              <w:t>oorzitter van de Tweede Kamer der Staten-Generaal</w:t>
            </w:r>
          </w:p>
          <w:p w:rsidR="00374412" w:rsidP="00D9561B" w:rsidRDefault="00367BA3" w14:paraId="3514353D" w14:textId="77777777">
            <w:r>
              <w:t>Postbus 20018</w:t>
            </w:r>
          </w:p>
          <w:p w:rsidR="008E3932" w:rsidP="00D9561B" w:rsidRDefault="00367BA3" w14:paraId="634B2213" w14:textId="7FB40549">
            <w:r>
              <w:t>2500 EA</w:t>
            </w:r>
            <w:r w:rsidR="005442CC">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627CE" w:rsidTr="00FF66F9" w14:paraId="58970144" w14:textId="77777777">
        <w:trPr>
          <w:trHeight w:val="289" w:hRule="exact"/>
        </w:trPr>
        <w:tc>
          <w:tcPr>
            <w:tcW w:w="929" w:type="dxa"/>
          </w:tcPr>
          <w:p w:rsidRPr="00434042" w:rsidR="0005404B" w:rsidP="00FF66F9" w:rsidRDefault="00367BA3" w14:paraId="14405A15" w14:textId="77777777">
            <w:pPr>
              <w:rPr>
                <w:lang w:eastAsia="en-US"/>
              </w:rPr>
            </w:pPr>
            <w:r>
              <w:rPr>
                <w:lang w:eastAsia="en-US"/>
              </w:rPr>
              <w:t>Datum</w:t>
            </w:r>
          </w:p>
        </w:tc>
        <w:tc>
          <w:tcPr>
            <w:tcW w:w="6581" w:type="dxa"/>
          </w:tcPr>
          <w:p w:rsidRPr="00434042" w:rsidR="0005404B" w:rsidP="00FF66F9" w:rsidRDefault="00307D6C" w14:paraId="03CC8856" w14:textId="39F84C85">
            <w:pPr>
              <w:rPr>
                <w:lang w:eastAsia="en-US"/>
              </w:rPr>
            </w:pPr>
            <w:r>
              <w:rPr>
                <w:lang w:eastAsia="en-US"/>
              </w:rPr>
              <w:t>20 november 2025</w:t>
            </w:r>
          </w:p>
        </w:tc>
      </w:tr>
      <w:tr w:rsidR="000627CE" w:rsidTr="00FF66F9" w14:paraId="09EA9C17" w14:textId="77777777">
        <w:trPr>
          <w:trHeight w:val="368"/>
        </w:trPr>
        <w:tc>
          <w:tcPr>
            <w:tcW w:w="929" w:type="dxa"/>
          </w:tcPr>
          <w:p w:rsidR="0005404B" w:rsidP="00FF66F9" w:rsidRDefault="00367BA3" w14:paraId="3418661F" w14:textId="77777777">
            <w:pPr>
              <w:rPr>
                <w:lang w:eastAsia="en-US"/>
              </w:rPr>
            </w:pPr>
            <w:r>
              <w:rPr>
                <w:lang w:eastAsia="en-US"/>
              </w:rPr>
              <w:t>Betreft</w:t>
            </w:r>
          </w:p>
        </w:tc>
        <w:tc>
          <w:tcPr>
            <w:tcW w:w="6581" w:type="dxa"/>
          </w:tcPr>
          <w:p w:rsidR="0005404B" w:rsidP="00FF66F9" w:rsidRDefault="00BF16D9" w14:paraId="271273A1" w14:textId="6FA79A7E">
            <w:pPr>
              <w:rPr>
                <w:lang w:eastAsia="en-US"/>
              </w:rPr>
            </w:pPr>
            <w:r>
              <w:rPr>
                <w:lang w:eastAsia="en-US"/>
              </w:rPr>
              <w:t xml:space="preserve">Cijfers </w:t>
            </w:r>
            <w:r w:rsidR="00367BA3">
              <w:rPr>
                <w:lang w:eastAsia="en-US"/>
              </w:rPr>
              <w:t xml:space="preserve">mentale gezondheid en middelengebruik </w:t>
            </w:r>
            <w:r w:rsidR="00CB133B">
              <w:rPr>
                <w:lang w:eastAsia="en-US"/>
              </w:rPr>
              <w:t xml:space="preserve">in het vervolgonderwijs </w:t>
            </w:r>
          </w:p>
        </w:tc>
      </w:tr>
    </w:tbl>
    <w:p w:rsidR="000627CE" w:rsidRDefault="000627CE" w14:paraId="0872E577" w14:textId="1253EFEF"/>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07D6C" w:rsidR="000627CE" w:rsidTr="00A421A1" w14:paraId="1A1CE4E3" w14:textId="77777777">
        <w:tc>
          <w:tcPr>
            <w:tcW w:w="2160" w:type="dxa"/>
          </w:tcPr>
          <w:p w:rsidRPr="00F53C9D" w:rsidR="006205C0" w:rsidP="00686AED" w:rsidRDefault="00367BA3" w14:paraId="3AD9C82B" w14:textId="77777777">
            <w:pPr>
              <w:pStyle w:val="Colofonkop"/>
              <w:framePr w:hSpace="0" w:wrap="auto" w:hAnchor="text" w:vAnchor="margin" w:xAlign="left" w:yAlign="inline"/>
            </w:pPr>
            <w:r>
              <w:t>Hoger Onderwijs en Studiefinanciering</w:t>
            </w:r>
          </w:p>
          <w:p w:rsidR="006205C0" w:rsidP="00A421A1" w:rsidRDefault="00367BA3" w14:paraId="4FE0ED77" w14:textId="77777777">
            <w:pPr>
              <w:pStyle w:val="Huisstijl-Gegeven"/>
              <w:spacing w:after="0"/>
            </w:pPr>
            <w:r>
              <w:t xml:space="preserve">Rijnstraat 50 </w:t>
            </w:r>
          </w:p>
          <w:p w:rsidRPr="009D12AA" w:rsidR="004425A7" w:rsidP="00E972A2" w:rsidRDefault="00367BA3" w14:paraId="0302D1E4" w14:textId="77777777">
            <w:pPr>
              <w:pStyle w:val="Huisstijl-Gegeven"/>
              <w:spacing w:after="0"/>
              <w:rPr>
                <w:lang w:val="de-DE"/>
              </w:rPr>
            </w:pPr>
            <w:r w:rsidRPr="009D12AA">
              <w:rPr>
                <w:lang w:val="de-DE"/>
              </w:rPr>
              <w:t>Den Haag</w:t>
            </w:r>
          </w:p>
          <w:p w:rsidRPr="009D12AA" w:rsidR="004425A7" w:rsidP="00E972A2" w:rsidRDefault="00367BA3" w14:paraId="1E3ABB46" w14:textId="77777777">
            <w:pPr>
              <w:pStyle w:val="Huisstijl-Gegeven"/>
              <w:spacing w:after="0"/>
              <w:rPr>
                <w:lang w:val="de-DE"/>
              </w:rPr>
            </w:pPr>
            <w:r w:rsidRPr="009D12AA">
              <w:rPr>
                <w:lang w:val="de-DE"/>
              </w:rPr>
              <w:t>Postbus 16375</w:t>
            </w:r>
          </w:p>
          <w:p w:rsidRPr="009D12AA" w:rsidR="004425A7" w:rsidP="00E972A2" w:rsidRDefault="00367BA3" w14:paraId="4E2F1CAF" w14:textId="77777777">
            <w:pPr>
              <w:pStyle w:val="Huisstijl-Gegeven"/>
              <w:spacing w:after="0"/>
              <w:rPr>
                <w:lang w:val="de-DE"/>
              </w:rPr>
            </w:pPr>
            <w:r w:rsidRPr="009D12AA">
              <w:rPr>
                <w:lang w:val="de-DE"/>
              </w:rPr>
              <w:t>2500 BJ Den Haag</w:t>
            </w:r>
          </w:p>
          <w:p w:rsidRPr="009D12AA" w:rsidR="004425A7" w:rsidP="00E972A2" w:rsidRDefault="00367BA3" w14:paraId="006C5585" w14:textId="77777777">
            <w:pPr>
              <w:pStyle w:val="Huisstijl-Gegeven"/>
              <w:spacing w:after="90"/>
              <w:rPr>
                <w:lang w:val="de-DE"/>
              </w:rPr>
            </w:pPr>
            <w:r w:rsidRPr="009D12AA">
              <w:rPr>
                <w:lang w:val="de-DE"/>
              </w:rPr>
              <w:t>www.rijksoverheid.nl</w:t>
            </w:r>
          </w:p>
          <w:p w:rsidRPr="00307D6C" w:rsidR="006205C0" w:rsidP="00A421A1" w:rsidRDefault="00367BA3" w14:paraId="57199107" w14:textId="77777777">
            <w:pPr>
              <w:spacing w:line="180" w:lineRule="exact"/>
              <w:rPr>
                <w:b/>
                <w:sz w:val="13"/>
                <w:szCs w:val="13"/>
                <w:lang w:val="de-DE"/>
              </w:rPr>
            </w:pPr>
            <w:r w:rsidRPr="00307D6C">
              <w:rPr>
                <w:b/>
                <w:sz w:val="13"/>
                <w:szCs w:val="13"/>
                <w:lang w:val="de-DE"/>
              </w:rPr>
              <w:t>Contactpersoon</w:t>
            </w:r>
          </w:p>
          <w:p w:rsidRPr="005B4E40" w:rsidR="006205C0" w:rsidP="00A421A1" w:rsidRDefault="006205C0" w14:paraId="3D87B44E" w14:textId="0FCBFDBC">
            <w:pPr>
              <w:spacing w:line="180" w:lineRule="exact"/>
              <w:rPr>
                <w:sz w:val="13"/>
                <w:szCs w:val="13"/>
                <w:lang w:val="en-US"/>
              </w:rPr>
            </w:pPr>
          </w:p>
        </w:tc>
      </w:tr>
      <w:tr w:rsidRPr="00307D6C" w:rsidR="000627CE" w:rsidTr="00A421A1" w14:paraId="5CDA7CC3" w14:textId="77777777">
        <w:trPr>
          <w:trHeight w:val="200" w:hRule="exact"/>
        </w:trPr>
        <w:tc>
          <w:tcPr>
            <w:tcW w:w="2160" w:type="dxa"/>
          </w:tcPr>
          <w:p w:rsidRPr="005B4E40" w:rsidR="006205C0" w:rsidP="00A421A1" w:rsidRDefault="006205C0" w14:paraId="6185960E" w14:textId="77777777">
            <w:pPr>
              <w:spacing w:after="90" w:line="180" w:lineRule="exact"/>
              <w:rPr>
                <w:sz w:val="13"/>
                <w:szCs w:val="13"/>
                <w:lang w:val="en-US"/>
              </w:rPr>
            </w:pPr>
          </w:p>
        </w:tc>
      </w:tr>
      <w:tr w:rsidR="000627CE" w:rsidTr="00A421A1" w14:paraId="071B1845" w14:textId="77777777">
        <w:trPr>
          <w:trHeight w:val="450"/>
        </w:trPr>
        <w:tc>
          <w:tcPr>
            <w:tcW w:w="2160" w:type="dxa"/>
          </w:tcPr>
          <w:p w:rsidR="00F51A76" w:rsidP="00A421A1" w:rsidRDefault="00367BA3" w14:paraId="44F13156" w14:textId="77777777">
            <w:pPr>
              <w:spacing w:line="180" w:lineRule="exact"/>
              <w:rPr>
                <w:b/>
                <w:sz w:val="13"/>
                <w:szCs w:val="13"/>
              </w:rPr>
            </w:pPr>
            <w:r>
              <w:rPr>
                <w:b/>
                <w:sz w:val="13"/>
                <w:szCs w:val="13"/>
              </w:rPr>
              <w:t>Onze referentie</w:t>
            </w:r>
          </w:p>
          <w:p w:rsidRPr="00FA7882" w:rsidR="006205C0" w:rsidP="00215356" w:rsidRDefault="00367BA3" w14:paraId="73FE8AAE" w14:textId="6714FE3E">
            <w:pPr>
              <w:spacing w:line="180" w:lineRule="exact"/>
              <w:rPr>
                <w:sz w:val="13"/>
                <w:szCs w:val="13"/>
              </w:rPr>
            </w:pPr>
            <w:r>
              <w:rPr>
                <w:sz w:val="13"/>
                <w:szCs w:val="13"/>
              </w:rPr>
              <w:t>5</w:t>
            </w:r>
            <w:r w:rsidR="00D20B97">
              <w:rPr>
                <w:sz w:val="13"/>
                <w:szCs w:val="13"/>
              </w:rPr>
              <w:t>5368032</w:t>
            </w:r>
          </w:p>
        </w:tc>
      </w:tr>
      <w:tr w:rsidR="000627CE" w:rsidTr="00D130C0" w14:paraId="5BBD975F" w14:textId="77777777">
        <w:trPr>
          <w:trHeight w:val="113"/>
        </w:trPr>
        <w:tc>
          <w:tcPr>
            <w:tcW w:w="2160" w:type="dxa"/>
          </w:tcPr>
          <w:p w:rsidRPr="00C5333A" w:rsidR="006205C0" w:rsidP="00D36088" w:rsidRDefault="00367BA3" w14:paraId="357EC7A3" w14:textId="77777777">
            <w:pPr>
              <w:tabs>
                <w:tab w:val="center" w:pos="1080"/>
              </w:tabs>
              <w:spacing w:line="180" w:lineRule="exact"/>
              <w:rPr>
                <w:sz w:val="13"/>
                <w:szCs w:val="13"/>
              </w:rPr>
            </w:pPr>
            <w:r>
              <w:rPr>
                <w:b/>
                <w:sz w:val="13"/>
                <w:szCs w:val="13"/>
              </w:rPr>
              <w:t>Bijlagen</w:t>
            </w:r>
          </w:p>
        </w:tc>
      </w:tr>
      <w:tr w:rsidR="000627CE" w:rsidTr="00D130C0" w14:paraId="2679EE1B" w14:textId="77777777">
        <w:trPr>
          <w:trHeight w:val="113"/>
        </w:trPr>
        <w:tc>
          <w:tcPr>
            <w:tcW w:w="2160" w:type="dxa"/>
          </w:tcPr>
          <w:p w:rsidRPr="00D74F66" w:rsidR="006205C0" w:rsidP="00A421A1" w:rsidRDefault="006765AC" w14:paraId="13650B94" w14:textId="09C76CE2">
            <w:pPr>
              <w:spacing w:after="90" w:line="180" w:lineRule="exact"/>
              <w:rPr>
                <w:sz w:val="13"/>
              </w:rPr>
            </w:pPr>
            <w:r>
              <w:rPr>
                <w:sz w:val="13"/>
              </w:rPr>
              <w:t>3</w:t>
            </w:r>
          </w:p>
        </w:tc>
      </w:tr>
    </w:tbl>
    <w:p w:rsidR="00B55ADB" w:rsidP="003C2734" w:rsidRDefault="00B55ADB" w14:paraId="031F222D" w14:textId="77777777">
      <w:bookmarkStart w:name="_Hlk87624656" w:id="0"/>
    </w:p>
    <w:p w:rsidR="00770702" w:rsidP="00687511" w:rsidRDefault="005B4E40" w14:paraId="11AFE612" w14:textId="0D46BA6A">
      <w:r w:rsidRPr="005B4E40">
        <w:t>Met deze brief informe</w:t>
      </w:r>
      <w:r>
        <w:t xml:space="preserve">ren wij uw Kamer over de resultaten van de derde meting van de Monitor mentale gezondheid en middelengebruik </w:t>
      </w:r>
      <w:r w:rsidR="00030F75">
        <w:t>voor hbo- en wo-studenten</w:t>
      </w:r>
      <w:r>
        <w:t xml:space="preserve">. Tevens informeren wij uw </w:t>
      </w:r>
      <w:r w:rsidR="00A40B73">
        <w:t>K</w:t>
      </w:r>
      <w:r>
        <w:t xml:space="preserve">amer over de </w:t>
      </w:r>
      <w:r w:rsidR="00BF16D9">
        <w:t xml:space="preserve">cijfers </w:t>
      </w:r>
      <w:r>
        <w:t>voor mbo</w:t>
      </w:r>
      <w:r w:rsidR="00EF0EAF">
        <w:t>-</w:t>
      </w:r>
      <w:r>
        <w:t xml:space="preserve">studenten </w:t>
      </w:r>
      <w:r w:rsidR="007A7A1A">
        <w:t xml:space="preserve">voor 2024-2025 </w:t>
      </w:r>
      <w:r>
        <w:t xml:space="preserve">met de gegevens van </w:t>
      </w:r>
      <w:proofErr w:type="spellStart"/>
      <w:r>
        <w:t>T</w:t>
      </w:r>
      <w:r w:rsidR="00453248">
        <w:t>e</w:t>
      </w:r>
      <w:r>
        <w:t>stJeLeefstijl</w:t>
      </w:r>
      <w:proofErr w:type="spellEnd"/>
      <w:r>
        <w:t xml:space="preserve">. Hiermee </w:t>
      </w:r>
      <w:r w:rsidR="00EF0EAF">
        <w:t xml:space="preserve">geven </w:t>
      </w:r>
      <w:r>
        <w:t>wij</w:t>
      </w:r>
      <w:r w:rsidR="00EF0EAF">
        <w:t xml:space="preserve"> opvolging</w:t>
      </w:r>
      <w:r>
        <w:t xml:space="preserve"> aan de motie van de leden </w:t>
      </w:r>
      <w:proofErr w:type="spellStart"/>
      <w:r>
        <w:t>Paternotte</w:t>
      </w:r>
      <w:proofErr w:type="spellEnd"/>
      <w:r w:rsidR="00D235CF">
        <w:t xml:space="preserve"> </w:t>
      </w:r>
      <w:r>
        <w:t xml:space="preserve">en </w:t>
      </w:r>
      <w:proofErr w:type="spellStart"/>
      <w:r>
        <w:t>Tseggai</w:t>
      </w:r>
      <w:proofErr w:type="spellEnd"/>
      <w:r w:rsidR="001C7778">
        <w:rPr>
          <w:rStyle w:val="Voetnootmarkering"/>
        </w:rPr>
        <w:footnoteReference w:id="1"/>
      </w:r>
      <w:r>
        <w:t xml:space="preserve"> over het tweejaarlijks rapporteren over de mentale gezondheid van mbo</w:t>
      </w:r>
      <w:r w:rsidR="00EF0EAF">
        <w:t>-</w:t>
      </w:r>
      <w:r>
        <w:t>, hbo- en wo-studenten.</w:t>
      </w:r>
      <w:r w:rsidR="00B55ADB">
        <w:t xml:space="preserve"> </w:t>
      </w:r>
    </w:p>
    <w:p w:rsidR="00770702" w:rsidP="00687511" w:rsidRDefault="00770702" w14:paraId="59CF97FE" w14:textId="77777777"/>
    <w:p w:rsidR="005B4E40" w:rsidP="00687511" w:rsidRDefault="00B55ADB" w14:paraId="643BA488" w14:textId="18DC9858">
      <w:r>
        <w:t xml:space="preserve">In deze brief gaan we in op de belangrijkste cijfers uit de </w:t>
      </w:r>
      <w:r w:rsidR="0099613A">
        <w:t>rapporten</w:t>
      </w:r>
      <w:r w:rsidR="00C311EC">
        <w:t xml:space="preserve"> </w:t>
      </w:r>
      <w:r w:rsidR="00D175C7">
        <w:t xml:space="preserve">en </w:t>
      </w:r>
      <w:r w:rsidR="001C4CF5">
        <w:t>de samenhang met lopende activiteiten op het gebied van welzijn</w:t>
      </w:r>
      <w:r w:rsidR="00D7203F">
        <w:t xml:space="preserve"> en</w:t>
      </w:r>
      <w:r w:rsidR="00E279E3">
        <w:t xml:space="preserve"> </w:t>
      </w:r>
      <w:r w:rsidR="00D7203F">
        <w:t>middelengebruik</w:t>
      </w:r>
      <w:r w:rsidR="001C4CF5">
        <w:t xml:space="preserve"> in het </w:t>
      </w:r>
      <w:r w:rsidR="001C7778">
        <w:t>vervolg</w:t>
      </w:r>
      <w:r w:rsidR="001C4CF5">
        <w:t>onderwijs</w:t>
      </w:r>
      <w:r w:rsidR="00D175C7">
        <w:t xml:space="preserve">. </w:t>
      </w:r>
      <w:r w:rsidR="0098345B">
        <w:t xml:space="preserve">Deze cijfers laten op vrijwel alle gebieden een verbetering zien. </w:t>
      </w:r>
      <w:r w:rsidR="00D175C7">
        <w:t xml:space="preserve">Tot slot wordt in deze brief ingegaan op diverse </w:t>
      </w:r>
      <w:r>
        <w:t xml:space="preserve">moties en toezeggingen </w:t>
      </w:r>
      <w:r w:rsidR="00DC2377">
        <w:t>die raken aan het onderwerp studentenwelzijn</w:t>
      </w:r>
      <w:r>
        <w:t xml:space="preserve">. </w:t>
      </w:r>
    </w:p>
    <w:p w:rsidR="00C1018D" w:rsidP="00687511" w:rsidRDefault="00C1018D" w14:paraId="7C8128BA" w14:textId="14AE96EB"/>
    <w:p w:rsidR="005B4E40" w:rsidP="00687511" w:rsidRDefault="00C74D1F" w14:paraId="72639DF0" w14:textId="5C22912A">
      <w:r>
        <w:rPr>
          <w:b/>
          <w:bCs/>
        </w:rPr>
        <w:t xml:space="preserve">Monitor mentale gezondheid en middelengebruik studenten </w:t>
      </w:r>
      <w:r w:rsidR="00030F75">
        <w:rPr>
          <w:b/>
          <w:bCs/>
        </w:rPr>
        <w:t>hbo en wo</w:t>
      </w:r>
    </w:p>
    <w:p w:rsidR="004031E8" w:rsidP="00687511" w:rsidRDefault="005B09E6" w14:paraId="79A75BB9" w14:textId="1E3CC616">
      <w:r>
        <w:t xml:space="preserve">Al voor de coronapandemie </w:t>
      </w:r>
      <w:r w:rsidR="00030F75">
        <w:t xml:space="preserve">wezen cijfers </w:t>
      </w:r>
      <w:r>
        <w:t xml:space="preserve">uit lokale onderzoeken op onderwijsinstellingen op een verslechterde mentale gezondheid </w:t>
      </w:r>
      <w:r w:rsidR="00C74D1F">
        <w:t xml:space="preserve">en middelengebruik </w:t>
      </w:r>
      <w:r>
        <w:t xml:space="preserve">onder studenten. Dit heeft geleid tot de gezamenlijke opdracht van </w:t>
      </w:r>
      <w:r w:rsidR="00E25B82">
        <w:t xml:space="preserve">de ministeries van </w:t>
      </w:r>
      <w:r>
        <w:t>OCW en VWS voor een Monitor mentale gezondheid en middelengebruik voor hbo- en wo-studenten. De eerste meting, tijdens de coronapandemie in 2021, liet zien dat het inderdaad niet goed ging met studenten</w:t>
      </w:r>
      <w:r w:rsidR="009132D4">
        <w:t xml:space="preserve">. </w:t>
      </w:r>
      <w:r w:rsidR="00E25B82">
        <w:t>H</w:t>
      </w:r>
      <w:r w:rsidR="009132D4">
        <w:t xml:space="preserve">ieruit volgde onder andere de grote inzet van het Nationaal Programma Onderwijs om het welzijn van studenten te verbeteren. </w:t>
      </w:r>
    </w:p>
    <w:p w:rsidR="004031E8" w:rsidP="004031E8" w:rsidRDefault="004031E8" w14:paraId="36B0A9AE" w14:textId="77777777"/>
    <w:p w:rsidR="004031E8" w:rsidP="004031E8" w:rsidRDefault="004031E8" w14:paraId="1397B4D1" w14:textId="66DD9A61">
      <w:r>
        <w:t xml:space="preserve">De Monitor mentale gezondheid en middelengebruik studenten </w:t>
      </w:r>
      <w:r w:rsidR="00030F75">
        <w:t>hbo en wo</w:t>
      </w:r>
      <w:r>
        <w:t xml:space="preserve"> is inmiddels voor de derde keer uitgevoerd door het consortium van Trimbos-instituut, RIVM en GGD GHOR NL. Ruim 27.000 studenten van 23 verschillende onderwijsinstellingen hebben de vragenlijst ingevuld in het voorjaar van 2025. De resultaten zijn gewogen en kunnen worden vertaald naar een landelijk beeld van het welzijn</w:t>
      </w:r>
      <w:r w:rsidR="00E279E3">
        <w:t xml:space="preserve"> en middelengebruik</w:t>
      </w:r>
      <w:r>
        <w:t xml:space="preserve"> van hbo- en wo-studenten in Nederland. </w:t>
      </w:r>
    </w:p>
    <w:p w:rsidR="004031E8" w:rsidP="00687511" w:rsidRDefault="004031E8" w14:paraId="20A0EEF9" w14:textId="77777777"/>
    <w:p w:rsidR="00A40B73" w:rsidP="00687511" w:rsidRDefault="00A40B73" w14:paraId="48F58BD8" w14:textId="03ABDBFD">
      <w:r>
        <w:t xml:space="preserve">Onderstaande tabel </w:t>
      </w:r>
      <w:r w:rsidR="004031E8">
        <w:t xml:space="preserve">1 </w:t>
      </w:r>
      <w:r>
        <w:t>toont</w:t>
      </w:r>
      <w:r w:rsidR="004D25F2">
        <w:t xml:space="preserve"> de mentale gezondheid cijfers van studenten in het hbo en wo over drie metingen. </w:t>
      </w:r>
    </w:p>
    <w:p w:rsidR="00A40B73" w:rsidP="00687511" w:rsidRDefault="00A40B73" w14:paraId="555BDA55" w14:textId="77777777"/>
    <w:p w:rsidR="00EA6416" w:rsidP="00687511" w:rsidRDefault="00EA6416" w14:paraId="7E1D0B81" w14:textId="60A8E0C0">
      <w:r>
        <w:t>Tabel 1</w:t>
      </w:r>
    </w:p>
    <w:tbl>
      <w:tblPr>
        <w:tblStyle w:val="Onopgemaaktetabel1"/>
        <w:tblW w:w="7225" w:type="dxa"/>
        <w:tblLook w:val="04A0" w:firstRow="1" w:lastRow="0" w:firstColumn="1" w:lastColumn="0" w:noHBand="0" w:noVBand="1"/>
      </w:tblPr>
      <w:tblGrid>
        <w:gridCol w:w="4957"/>
        <w:gridCol w:w="742"/>
        <w:gridCol w:w="728"/>
        <w:gridCol w:w="798"/>
      </w:tblGrid>
      <w:tr w:rsidR="001B2F5E" w:rsidTr="008506E9" w14:paraId="6713903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B2F5E" w:rsidP="001B2F5E" w:rsidRDefault="001B2F5E" w14:paraId="6845ACFD" w14:textId="3AFC1747">
            <w:r>
              <w:t>Mentale gezondheid van studenten in het hbo en wo die deelnamen aan het onderzoek</w:t>
            </w:r>
          </w:p>
        </w:tc>
        <w:tc>
          <w:tcPr>
            <w:tcW w:w="742" w:type="dxa"/>
          </w:tcPr>
          <w:p w:rsidR="001B2F5E" w:rsidP="00687511" w:rsidRDefault="001B2F5E" w14:paraId="540A41EC" w14:textId="6FF2CC87">
            <w:pPr>
              <w:cnfStyle w:val="100000000000" w:firstRow="1" w:lastRow="0" w:firstColumn="0" w:lastColumn="0" w:oddVBand="0" w:evenVBand="0" w:oddHBand="0" w:evenHBand="0" w:firstRowFirstColumn="0" w:firstRowLastColumn="0" w:lastRowFirstColumn="0" w:lastRowLastColumn="0"/>
            </w:pPr>
            <w:r>
              <w:t>2021</w:t>
            </w:r>
          </w:p>
        </w:tc>
        <w:tc>
          <w:tcPr>
            <w:tcW w:w="728" w:type="dxa"/>
          </w:tcPr>
          <w:p w:rsidR="001B2F5E" w:rsidP="00687511" w:rsidRDefault="001B2F5E" w14:paraId="288FD6AC" w14:textId="420E587D">
            <w:pPr>
              <w:cnfStyle w:val="100000000000" w:firstRow="1" w:lastRow="0" w:firstColumn="0" w:lastColumn="0" w:oddVBand="0" w:evenVBand="0" w:oddHBand="0" w:evenHBand="0" w:firstRowFirstColumn="0" w:firstRowLastColumn="0" w:lastRowFirstColumn="0" w:lastRowLastColumn="0"/>
            </w:pPr>
            <w:r>
              <w:t>2023</w:t>
            </w:r>
          </w:p>
        </w:tc>
        <w:tc>
          <w:tcPr>
            <w:tcW w:w="798" w:type="dxa"/>
          </w:tcPr>
          <w:p w:rsidR="001B2F5E" w:rsidP="00687511" w:rsidRDefault="001B2F5E" w14:paraId="312B5974" w14:textId="4C7FF14F">
            <w:pPr>
              <w:cnfStyle w:val="100000000000" w:firstRow="1" w:lastRow="0" w:firstColumn="0" w:lastColumn="0" w:oddVBand="0" w:evenVBand="0" w:oddHBand="0" w:evenHBand="0" w:firstRowFirstColumn="0" w:firstRowLastColumn="0" w:lastRowFirstColumn="0" w:lastRowLastColumn="0"/>
            </w:pPr>
            <w:r>
              <w:t>2025</w:t>
            </w:r>
          </w:p>
        </w:tc>
      </w:tr>
      <w:tr w:rsidR="001B2F5E" w:rsidTr="008506E9" w14:paraId="08D62E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Pr="001B2F5E" w:rsidR="001B2F5E" w:rsidP="00687511" w:rsidRDefault="001B2F5E" w14:paraId="093D1EE0" w14:textId="27EE8D07">
            <w:pPr>
              <w:rPr>
                <w:b w:val="0"/>
                <w:bCs w:val="0"/>
                <w:i/>
                <w:iCs/>
              </w:rPr>
            </w:pPr>
            <w:r w:rsidRPr="001B2F5E">
              <w:rPr>
                <w:b w:val="0"/>
                <w:bCs w:val="0"/>
                <w:i/>
                <w:iCs/>
              </w:rPr>
              <w:t>Mentaal welbevinden</w:t>
            </w:r>
          </w:p>
        </w:tc>
      </w:tr>
      <w:tr w:rsidR="001B2F5E" w:rsidTr="008506E9" w14:paraId="7672F5F3" w14:textId="77777777">
        <w:tc>
          <w:tcPr>
            <w:cnfStyle w:val="001000000000" w:firstRow="0" w:lastRow="0" w:firstColumn="1" w:lastColumn="0" w:oddVBand="0" w:evenVBand="0" w:oddHBand="0" w:evenHBand="0" w:firstRowFirstColumn="0" w:firstRowLastColumn="0" w:lastRowFirstColumn="0" w:lastRowLastColumn="0"/>
            <w:tcW w:w="4957" w:type="dxa"/>
          </w:tcPr>
          <w:p w:rsidRPr="00E7185C" w:rsidR="001B2F5E" w:rsidP="00687511" w:rsidRDefault="00E7185C" w14:paraId="1BB2594F" w14:textId="485A4760">
            <w:pPr>
              <w:rPr>
                <w:b w:val="0"/>
                <w:bCs w:val="0"/>
              </w:rPr>
            </w:pPr>
            <w:r>
              <w:rPr>
                <w:b w:val="0"/>
                <w:bCs w:val="0"/>
              </w:rPr>
              <w:t>Levenstevredenheid</w:t>
            </w:r>
          </w:p>
        </w:tc>
        <w:tc>
          <w:tcPr>
            <w:tcW w:w="742" w:type="dxa"/>
          </w:tcPr>
          <w:p w:rsidR="001B2F5E" w:rsidP="00687511" w:rsidRDefault="007B4968" w14:paraId="2418ED57" w14:textId="0B2BE358">
            <w:pPr>
              <w:cnfStyle w:val="000000000000" w:firstRow="0" w:lastRow="0" w:firstColumn="0" w:lastColumn="0" w:oddVBand="0" w:evenVBand="0" w:oddHBand="0" w:evenHBand="0" w:firstRowFirstColumn="0" w:firstRowLastColumn="0" w:lastRowFirstColumn="0" w:lastRowLastColumn="0"/>
            </w:pPr>
            <w:r>
              <w:t>6</w:t>
            </w:r>
          </w:p>
        </w:tc>
        <w:tc>
          <w:tcPr>
            <w:tcW w:w="728" w:type="dxa"/>
          </w:tcPr>
          <w:p w:rsidR="001B2F5E" w:rsidP="00687511" w:rsidRDefault="007B4968" w14:paraId="6B55DA93" w14:textId="0892A97D">
            <w:pPr>
              <w:cnfStyle w:val="000000000000" w:firstRow="0" w:lastRow="0" w:firstColumn="0" w:lastColumn="0" w:oddVBand="0" w:evenVBand="0" w:oddHBand="0" w:evenHBand="0" w:firstRowFirstColumn="0" w:firstRowLastColumn="0" w:lastRowFirstColumn="0" w:lastRowLastColumn="0"/>
            </w:pPr>
            <w:r>
              <w:t>6,7</w:t>
            </w:r>
          </w:p>
        </w:tc>
        <w:tc>
          <w:tcPr>
            <w:tcW w:w="798" w:type="dxa"/>
          </w:tcPr>
          <w:p w:rsidRPr="007B4968" w:rsidR="001B2F5E" w:rsidP="00687511" w:rsidRDefault="007B4968" w14:paraId="57AF2D8A" w14:textId="49BAA9D7">
            <w:pPr>
              <w:cnfStyle w:val="000000000000" w:firstRow="0" w:lastRow="0" w:firstColumn="0" w:lastColumn="0" w:oddVBand="0" w:evenVBand="0" w:oddHBand="0" w:evenHBand="0" w:firstRowFirstColumn="0" w:firstRowLastColumn="0" w:lastRowFirstColumn="0" w:lastRowLastColumn="0"/>
              <w:rPr>
                <w:b/>
                <w:bCs/>
              </w:rPr>
            </w:pPr>
            <w:r w:rsidRPr="007B4968">
              <w:rPr>
                <w:b/>
                <w:bCs/>
              </w:rPr>
              <w:t>6,8</w:t>
            </w:r>
          </w:p>
        </w:tc>
      </w:tr>
      <w:tr w:rsidR="001B2F5E" w:rsidTr="008506E9" w14:paraId="3BA2A5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E7185C" w:rsidR="001B2F5E" w:rsidP="00687511" w:rsidRDefault="00E7185C" w14:paraId="33525DEB" w14:textId="2C63FA03">
            <w:pPr>
              <w:rPr>
                <w:b w:val="0"/>
                <w:bCs w:val="0"/>
              </w:rPr>
            </w:pPr>
            <w:r>
              <w:rPr>
                <w:b w:val="0"/>
                <w:bCs w:val="0"/>
              </w:rPr>
              <w:t>Gemiddelde tot hoge mate van veerkracht</w:t>
            </w:r>
          </w:p>
        </w:tc>
        <w:tc>
          <w:tcPr>
            <w:tcW w:w="742" w:type="dxa"/>
          </w:tcPr>
          <w:p w:rsidR="001B2F5E" w:rsidP="00687511" w:rsidRDefault="007B4968" w14:paraId="79E9D6E9" w14:textId="2EC145C8">
            <w:pPr>
              <w:cnfStyle w:val="000000100000" w:firstRow="0" w:lastRow="0" w:firstColumn="0" w:lastColumn="0" w:oddVBand="0" w:evenVBand="0" w:oddHBand="1" w:evenHBand="0" w:firstRowFirstColumn="0" w:firstRowLastColumn="0" w:lastRowFirstColumn="0" w:lastRowLastColumn="0"/>
            </w:pPr>
            <w:r>
              <w:t>51%</w:t>
            </w:r>
          </w:p>
        </w:tc>
        <w:tc>
          <w:tcPr>
            <w:tcW w:w="728" w:type="dxa"/>
          </w:tcPr>
          <w:p w:rsidR="001B2F5E" w:rsidP="00687511" w:rsidRDefault="007B4968" w14:paraId="1AE6A0FB" w14:textId="43AADEF0">
            <w:pPr>
              <w:cnfStyle w:val="000000100000" w:firstRow="0" w:lastRow="0" w:firstColumn="0" w:lastColumn="0" w:oddVBand="0" w:evenVBand="0" w:oddHBand="1" w:evenHBand="0" w:firstRowFirstColumn="0" w:firstRowLastColumn="0" w:lastRowFirstColumn="0" w:lastRowLastColumn="0"/>
            </w:pPr>
            <w:r>
              <w:t>54%</w:t>
            </w:r>
          </w:p>
        </w:tc>
        <w:tc>
          <w:tcPr>
            <w:tcW w:w="798" w:type="dxa"/>
          </w:tcPr>
          <w:p w:rsidRPr="007B4968" w:rsidR="001B2F5E" w:rsidP="00687511" w:rsidRDefault="007B4968" w14:paraId="1CBA8C3C" w14:textId="583DA32E">
            <w:pPr>
              <w:cnfStyle w:val="000000100000" w:firstRow="0" w:lastRow="0" w:firstColumn="0" w:lastColumn="0" w:oddVBand="0" w:evenVBand="0" w:oddHBand="1" w:evenHBand="0" w:firstRowFirstColumn="0" w:firstRowLastColumn="0" w:lastRowFirstColumn="0" w:lastRowLastColumn="0"/>
              <w:rPr>
                <w:b/>
                <w:bCs/>
              </w:rPr>
            </w:pPr>
            <w:r w:rsidRPr="007B4968">
              <w:rPr>
                <w:b/>
                <w:bCs/>
              </w:rPr>
              <w:t>57%</w:t>
            </w:r>
          </w:p>
        </w:tc>
      </w:tr>
      <w:tr w:rsidR="001B2F5E" w:rsidTr="008506E9" w14:paraId="17329198" w14:textId="77777777">
        <w:tc>
          <w:tcPr>
            <w:cnfStyle w:val="001000000000" w:firstRow="0" w:lastRow="0" w:firstColumn="1" w:lastColumn="0" w:oddVBand="0" w:evenVBand="0" w:oddHBand="0" w:evenHBand="0" w:firstRowFirstColumn="0" w:firstRowLastColumn="0" w:lastRowFirstColumn="0" w:lastRowLastColumn="0"/>
            <w:tcW w:w="4957" w:type="dxa"/>
          </w:tcPr>
          <w:p w:rsidRPr="00E7185C" w:rsidR="001B2F5E" w:rsidP="00687511" w:rsidRDefault="00E7185C" w14:paraId="69B2FE54" w14:textId="1CA43B86">
            <w:pPr>
              <w:rPr>
                <w:b w:val="0"/>
                <w:bCs w:val="0"/>
              </w:rPr>
            </w:pPr>
            <w:r>
              <w:rPr>
                <w:b w:val="0"/>
                <w:bCs w:val="0"/>
              </w:rPr>
              <w:t>Floreren (bovengemiddeld positieve mentale gezondheid)</w:t>
            </w:r>
          </w:p>
        </w:tc>
        <w:tc>
          <w:tcPr>
            <w:tcW w:w="742" w:type="dxa"/>
          </w:tcPr>
          <w:p w:rsidR="001B2F5E" w:rsidP="00687511" w:rsidRDefault="007B4968" w14:paraId="12D3C186" w14:textId="05794010">
            <w:pPr>
              <w:cnfStyle w:val="000000000000" w:firstRow="0" w:lastRow="0" w:firstColumn="0" w:lastColumn="0" w:oddVBand="0" w:evenVBand="0" w:oddHBand="0" w:evenHBand="0" w:firstRowFirstColumn="0" w:firstRowLastColumn="0" w:lastRowFirstColumn="0" w:lastRowLastColumn="0"/>
            </w:pPr>
            <w:r>
              <w:t>18%</w:t>
            </w:r>
          </w:p>
        </w:tc>
        <w:tc>
          <w:tcPr>
            <w:tcW w:w="728" w:type="dxa"/>
          </w:tcPr>
          <w:p w:rsidR="001B2F5E" w:rsidP="00687511" w:rsidRDefault="007B4968" w14:paraId="60B3DF76" w14:textId="2DAAD527">
            <w:pPr>
              <w:cnfStyle w:val="000000000000" w:firstRow="0" w:lastRow="0" w:firstColumn="0" w:lastColumn="0" w:oddVBand="0" w:evenVBand="0" w:oddHBand="0" w:evenHBand="0" w:firstRowFirstColumn="0" w:firstRowLastColumn="0" w:lastRowFirstColumn="0" w:lastRowLastColumn="0"/>
            </w:pPr>
            <w:r>
              <w:t>20%</w:t>
            </w:r>
          </w:p>
        </w:tc>
        <w:tc>
          <w:tcPr>
            <w:tcW w:w="798" w:type="dxa"/>
          </w:tcPr>
          <w:p w:rsidRPr="007B4968" w:rsidR="001B2F5E" w:rsidP="00687511" w:rsidRDefault="007B4968" w14:paraId="6F908B07" w14:textId="2A44517F">
            <w:pPr>
              <w:cnfStyle w:val="000000000000" w:firstRow="0" w:lastRow="0" w:firstColumn="0" w:lastColumn="0" w:oddVBand="0" w:evenVBand="0" w:oddHBand="0" w:evenHBand="0" w:firstRowFirstColumn="0" w:firstRowLastColumn="0" w:lastRowFirstColumn="0" w:lastRowLastColumn="0"/>
              <w:rPr>
                <w:b/>
                <w:bCs/>
              </w:rPr>
            </w:pPr>
            <w:r w:rsidRPr="007B4968">
              <w:rPr>
                <w:b/>
                <w:bCs/>
              </w:rPr>
              <w:t>23%</w:t>
            </w:r>
          </w:p>
        </w:tc>
      </w:tr>
      <w:tr w:rsidR="00E7185C" w:rsidTr="008506E9" w14:paraId="0665B2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00E7185C" w:rsidP="00687511" w:rsidRDefault="00E7185C" w14:paraId="2E802DB1" w14:textId="47588BAA">
            <w:r w:rsidRPr="001B2F5E">
              <w:rPr>
                <w:b w:val="0"/>
                <w:bCs w:val="0"/>
                <w:i/>
                <w:iCs/>
              </w:rPr>
              <w:t>Psychische klachten</w:t>
            </w:r>
          </w:p>
        </w:tc>
      </w:tr>
      <w:tr w:rsidR="00E7185C" w:rsidTr="008506E9" w14:paraId="0A593624" w14:textId="77777777">
        <w:tc>
          <w:tcPr>
            <w:cnfStyle w:val="001000000000" w:firstRow="0" w:lastRow="0" w:firstColumn="1" w:lastColumn="0" w:oddVBand="0" w:evenVBand="0" w:oddHBand="0" w:evenHBand="0" w:firstRowFirstColumn="0" w:firstRowLastColumn="0" w:lastRowFirstColumn="0" w:lastRowLastColumn="0"/>
            <w:tcW w:w="4957" w:type="dxa"/>
          </w:tcPr>
          <w:p w:rsidRPr="00E7185C" w:rsidR="00E7185C" w:rsidP="00E7185C" w:rsidRDefault="00E7185C" w14:paraId="7B707C76" w14:textId="01A6046C">
            <w:pPr>
              <w:rPr>
                <w:b w:val="0"/>
                <w:bCs w:val="0"/>
              </w:rPr>
            </w:pPr>
            <w:r w:rsidRPr="00E7185C">
              <w:rPr>
                <w:b w:val="0"/>
                <w:bCs w:val="0"/>
              </w:rPr>
              <w:t xml:space="preserve">Emotionele uitputtingsklachten </w:t>
            </w:r>
          </w:p>
        </w:tc>
        <w:tc>
          <w:tcPr>
            <w:tcW w:w="742" w:type="dxa"/>
          </w:tcPr>
          <w:p w:rsidR="00E7185C" w:rsidP="00E7185C" w:rsidRDefault="007B4968" w14:paraId="2563C45D" w14:textId="02519235">
            <w:pPr>
              <w:cnfStyle w:val="000000000000" w:firstRow="0" w:lastRow="0" w:firstColumn="0" w:lastColumn="0" w:oddVBand="0" w:evenVBand="0" w:oddHBand="0" w:evenHBand="0" w:firstRowFirstColumn="0" w:firstRowLastColumn="0" w:lastRowFirstColumn="0" w:lastRowLastColumn="0"/>
            </w:pPr>
            <w:r>
              <w:t>68%</w:t>
            </w:r>
          </w:p>
        </w:tc>
        <w:tc>
          <w:tcPr>
            <w:tcW w:w="728" w:type="dxa"/>
          </w:tcPr>
          <w:p w:rsidR="00E7185C" w:rsidP="00E7185C" w:rsidRDefault="007B4968" w14:paraId="7F70E33F" w14:textId="5DBA1D59">
            <w:pPr>
              <w:cnfStyle w:val="000000000000" w:firstRow="0" w:lastRow="0" w:firstColumn="0" w:lastColumn="0" w:oddVBand="0" w:evenVBand="0" w:oddHBand="0" w:evenHBand="0" w:firstRowFirstColumn="0" w:firstRowLastColumn="0" w:lastRowFirstColumn="0" w:lastRowLastColumn="0"/>
            </w:pPr>
            <w:r>
              <w:t>59%</w:t>
            </w:r>
          </w:p>
        </w:tc>
        <w:tc>
          <w:tcPr>
            <w:tcW w:w="798" w:type="dxa"/>
          </w:tcPr>
          <w:p w:rsidRPr="007B4968" w:rsidR="00E7185C" w:rsidP="00E7185C" w:rsidRDefault="007B4968" w14:paraId="28CAE252" w14:textId="1E09CADF">
            <w:pPr>
              <w:cnfStyle w:val="000000000000" w:firstRow="0" w:lastRow="0" w:firstColumn="0" w:lastColumn="0" w:oddVBand="0" w:evenVBand="0" w:oddHBand="0" w:evenHBand="0" w:firstRowFirstColumn="0" w:firstRowLastColumn="0" w:lastRowFirstColumn="0" w:lastRowLastColumn="0"/>
              <w:rPr>
                <w:b/>
                <w:bCs/>
              </w:rPr>
            </w:pPr>
            <w:r w:rsidRPr="007B4968">
              <w:rPr>
                <w:b/>
                <w:bCs/>
              </w:rPr>
              <w:t>56%</w:t>
            </w:r>
          </w:p>
        </w:tc>
      </w:tr>
      <w:tr w:rsidR="00E7185C" w:rsidTr="008506E9" w14:paraId="77B81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E7185C" w:rsidR="00E7185C" w:rsidP="00E7185C" w:rsidRDefault="00E7185C" w14:paraId="1B7EA818" w14:textId="59044C5E">
            <w:pPr>
              <w:rPr>
                <w:b w:val="0"/>
                <w:bCs w:val="0"/>
              </w:rPr>
            </w:pPr>
            <w:r>
              <w:rPr>
                <w:b w:val="0"/>
                <w:bCs w:val="0"/>
              </w:rPr>
              <w:t>(af en toe of vaker) levensmoe</w:t>
            </w:r>
          </w:p>
        </w:tc>
        <w:tc>
          <w:tcPr>
            <w:tcW w:w="742" w:type="dxa"/>
          </w:tcPr>
          <w:p w:rsidR="00E7185C" w:rsidP="00E7185C" w:rsidRDefault="007B4968" w14:paraId="65037037" w14:textId="37A0268D">
            <w:pPr>
              <w:cnfStyle w:val="000000100000" w:firstRow="0" w:lastRow="0" w:firstColumn="0" w:lastColumn="0" w:oddVBand="0" w:evenVBand="0" w:oddHBand="1" w:evenHBand="0" w:firstRowFirstColumn="0" w:firstRowLastColumn="0" w:lastRowFirstColumn="0" w:lastRowLastColumn="0"/>
            </w:pPr>
            <w:r>
              <w:t>25%</w:t>
            </w:r>
          </w:p>
        </w:tc>
        <w:tc>
          <w:tcPr>
            <w:tcW w:w="728" w:type="dxa"/>
          </w:tcPr>
          <w:p w:rsidR="00E7185C" w:rsidP="00E7185C" w:rsidRDefault="007B4968" w14:paraId="4FF4E378" w14:textId="6738086B">
            <w:pPr>
              <w:cnfStyle w:val="000000100000" w:firstRow="0" w:lastRow="0" w:firstColumn="0" w:lastColumn="0" w:oddVBand="0" w:evenVBand="0" w:oddHBand="1" w:evenHBand="0" w:firstRowFirstColumn="0" w:firstRowLastColumn="0" w:lastRowFirstColumn="0" w:lastRowLastColumn="0"/>
            </w:pPr>
            <w:r>
              <w:t>26%</w:t>
            </w:r>
          </w:p>
        </w:tc>
        <w:tc>
          <w:tcPr>
            <w:tcW w:w="798" w:type="dxa"/>
          </w:tcPr>
          <w:p w:rsidRPr="007B4968" w:rsidR="00E7185C" w:rsidP="00E7185C" w:rsidRDefault="007B4968" w14:paraId="00C7453E" w14:textId="2A1BA74C">
            <w:pPr>
              <w:cnfStyle w:val="000000100000" w:firstRow="0" w:lastRow="0" w:firstColumn="0" w:lastColumn="0" w:oddVBand="0" w:evenVBand="0" w:oddHBand="1" w:evenHBand="0" w:firstRowFirstColumn="0" w:firstRowLastColumn="0" w:lastRowFirstColumn="0" w:lastRowLastColumn="0"/>
              <w:rPr>
                <w:b/>
                <w:bCs/>
              </w:rPr>
            </w:pPr>
            <w:r w:rsidRPr="007B4968">
              <w:rPr>
                <w:b/>
                <w:bCs/>
              </w:rPr>
              <w:t>25%</w:t>
            </w:r>
          </w:p>
        </w:tc>
      </w:tr>
      <w:tr w:rsidR="007B4968" w:rsidTr="008506E9" w14:paraId="7308286E" w14:textId="77777777">
        <w:tc>
          <w:tcPr>
            <w:cnfStyle w:val="001000000000" w:firstRow="0" w:lastRow="0" w:firstColumn="1" w:lastColumn="0" w:oddVBand="0" w:evenVBand="0" w:oddHBand="0" w:evenHBand="0" w:firstRowFirstColumn="0" w:firstRowLastColumn="0" w:lastRowFirstColumn="0" w:lastRowLastColumn="0"/>
            <w:tcW w:w="4957" w:type="dxa"/>
          </w:tcPr>
          <w:p w:rsidRPr="007B4968" w:rsidR="007B4968" w:rsidP="00E7185C" w:rsidRDefault="007B4968" w14:paraId="605793B6" w14:textId="63825B53">
            <w:pPr>
              <w:rPr>
                <w:b w:val="0"/>
                <w:bCs w:val="0"/>
              </w:rPr>
            </w:pPr>
            <w:r w:rsidRPr="007B4968">
              <w:rPr>
                <w:b w:val="0"/>
                <w:bCs w:val="0"/>
              </w:rPr>
              <w:t>(heel) veel hinder vanwege psychische klachten</w:t>
            </w:r>
          </w:p>
        </w:tc>
        <w:tc>
          <w:tcPr>
            <w:tcW w:w="742" w:type="dxa"/>
          </w:tcPr>
          <w:p w:rsidR="007B4968" w:rsidP="00E7185C" w:rsidRDefault="007B4968" w14:paraId="1ACA8DA1" w14:textId="445C3FB7">
            <w:pPr>
              <w:cnfStyle w:val="000000000000" w:firstRow="0" w:lastRow="0" w:firstColumn="0" w:lastColumn="0" w:oddVBand="0" w:evenVBand="0" w:oddHBand="0" w:evenHBand="0" w:firstRowFirstColumn="0" w:firstRowLastColumn="0" w:lastRowFirstColumn="0" w:lastRowLastColumn="0"/>
            </w:pPr>
            <w:r>
              <w:t>x</w:t>
            </w:r>
          </w:p>
        </w:tc>
        <w:tc>
          <w:tcPr>
            <w:tcW w:w="728" w:type="dxa"/>
          </w:tcPr>
          <w:p w:rsidR="007B4968" w:rsidP="00E7185C" w:rsidRDefault="007B4968" w14:paraId="67A80B2A" w14:textId="2B3C5BC9">
            <w:pPr>
              <w:cnfStyle w:val="000000000000" w:firstRow="0" w:lastRow="0" w:firstColumn="0" w:lastColumn="0" w:oddVBand="0" w:evenVBand="0" w:oddHBand="0" w:evenHBand="0" w:firstRowFirstColumn="0" w:firstRowLastColumn="0" w:lastRowFirstColumn="0" w:lastRowLastColumn="0"/>
            </w:pPr>
            <w:r>
              <w:t>x</w:t>
            </w:r>
          </w:p>
        </w:tc>
        <w:tc>
          <w:tcPr>
            <w:tcW w:w="798" w:type="dxa"/>
          </w:tcPr>
          <w:p w:rsidRPr="007B4968" w:rsidR="007B4968" w:rsidP="00E7185C" w:rsidRDefault="007B4968" w14:paraId="34C13482" w14:textId="604C0AE0">
            <w:pPr>
              <w:cnfStyle w:val="000000000000" w:firstRow="0" w:lastRow="0" w:firstColumn="0" w:lastColumn="0" w:oddVBand="0" w:evenVBand="0" w:oddHBand="0" w:evenHBand="0" w:firstRowFirstColumn="0" w:firstRowLastColumn="0" w:lastRowFirstColumn="0" w:lastRowLastColumn="0"/>
              <w:rPr>
                <w:b/>
                <w:bCs/>
              </w:rPr>
            </w:pPr>
            <w:r w:rsidRPr="007B4968">
              <w:rPr>
                <w:b/>
                <w:bCs/>
              </w:rPr>
              <w:t>29%</w:t>
            </w:r>
          </w:p>
        </w:tc>
      </w:tr>
      <w:tr w:rsidR="00E7185C" w:rsidTr="008506E9" w14:paraId="1CC199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00E7185C" w:rsidP="00E7185C" w:rsidRDefault="00E7185C" w14:paraId="32BD21AC" w14:textId="3E12BBC0">
            <w:r w:rsidRPr="001B2F5E">
              <w:rPr>
                <w:b w:val="0"/>
                <w:bCs w:val="0"/>
                <w:i/>
                <w:iCs/>
              </w:rPr>
              <w:t>Overige maten</w:t>
            </w:r>
          </w:p>
        </w:tc>
      </w:tr>
      <w:tr w:rsidR="00E7185C" w:rsidTr="008506E9" w14:paraId="09947D87" w14:textId="77777777">
        <w:tc>
          <w:tcPr>
            <w:cnfStyle w:val="001000000000" w:firstRow="0" w:lastRow="0" w:firstColumn="1" w:lastColumn="0" w:oddVBand="0" w:evenVBand="0" w:oddHBand="0" w:evenHBand="0" w:firstRowFirstColumn="0" w:firstRowLastColumn="0" w:lastRowFirstColumn="0" w:lastRowLastColumn="0"/>
            <w:tcW w:w="4957" w:type="dxa"/>
          </w:tcPr>
          <w:p w:rsidR="00E7185C" w:rsidP="00E7185C" w:rsidRDefault="00E7185C" w14:paraId="4A2D914A" w14:textId="331D7BD2">
            <w:r>
              <w:rPr>
                <w:b w:val="0"/>
                <w:bCs w:val="0"/>
              </w:rPr>
              <w:t>(Heel) veel stress</w:t>
            </w:r>
          </w:p>
        </w:tc>
        <w:tc>
          <w:tcPr>
            <w:tcW w:w="742" w:type="dxa"/>
          </w:tcPr>
          <w:p w:rsidR="00E7185C" w:rsidP="00E7185C" w:rsidRDefault="007B4968" w14:paraId="512BAB82" w14:textId="30B9C4D0">
            <w:pPr>
              <w:cnfStyle w:val="000000000000" w:firstRow="0" w:lastRow="0" w:firstColumn="0" w:lastColumn="0" w:oddVBand="0" w:evenVBand="0" w:oddHBand="0" w:evenHBand="0" w:firstRowFirstColumn="0" w:firstRowLastColumn="0" w:lastRowFirstColumn="0" w:lastRowLastColumn="0"/>
            </w:pPr>
            <w:r>
              <w:t>62%</w:t>
            </w:r>
          </w:p>
        </w:tc>
        <w:tc>
          <w:tcPr>
            <w:tcW w:w="728" w:type="dxa"/>
          </w:tcPr>
          <w:p w:rsidR="00E7185C" w:rsidP="00E7185C" w:rsidRDefault="007B4968" w14:paraId="135F7C16" w14:textId="7A142891">
            <w:pPr>
              <w:cnfStyle w:val="000000000000" w:firstRow="0" w:lastRow="0" w:firstColumn="0" w:lastColumn="0" w:oddVBand="0" w:evenVBand="0" w:oddHBand="0" w:evenHBand="0" w:firstRowFirstColumn="0" w:firstRowLastColumn="0" w:lastRowFirstColumn="0" w:lastRowLastColumn="0"/>
            </w:pPr>
            <w:r>
              <w:t>56%</w:t>
            </w:r>
          </w:p>
        </w:tc>
        <w:tc>
          <w:tcPr>
            <w:tcW w:w="798" w:type="dxa"/>
          </w:tcPr>
          <w:p w:rsidRPr="007B4968" w:rsidR="00E7185C" w:rsidP="00E7185C" w:rsidRDefault="007B4968" w14:paraId="51281402" w14:textId="280C4E32">
            <w:pPr>
              <w:cnfStyle w:val="000000000000" w:firstRow="0" w:lastRow="0" w:firstColumn="0" w:lastColumn="0" w:oddVBand="0" w:evenVBand="0" w:oddHBand="0" w:evenHBand="0" w:firstRowFirstColumn="0" w:firstRowLastColumn="0" w:lastRowFirstColumn="0" w:lastRowLastColumn="0"/>
              <w:rPr>
                <w:b/>
                <w:bCs/>
              </w:rPr>
            </w:pPr>
            <w:r w:rsidRPr="007B4968">
              <w:rPr>
                <w:b/>
                <w:bCs/>
              </w:rPr>
              <w:t>54%</w:t>
            </w:r>
          </w:p>
        </w:tc>
      </w:tr>
      <w:tr w:rsidR="00E7185C" w:rsidTr="008506E9" w14:paraId="06A338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E7185C" w:rsidP="00E7185C" w:rsidRDefault="00E7185C" w14:paraId="20A04DA1" w14:textId="0D23F405">
            <w:r w:rsidRPr="00E7185C">
              <w:rPr>
                <w:b w:val="0"/>
                <w:bCs w:val="0"/>
              </w:rPr>
              <w:t>Vaak prestatiedruk</w:t>
            </w:r>
          </w:p>
        </w:tc>
        <w:tc>
          <w:tcPr>
            <w:tcW w:w="742" w:type="dxa"/>
          </w:tcPr>
          <w:p w:rsidR="00E7185C" w:rsidP="00E7185C" w:rsidRDefault="007B4968" w14:paraId="40CEEC0F" w14:textId="6DDBBB57">
            <w:pPr>
              <w:cnfStyle w:val="000000100000" w:firstRow="0" w:lastRow="0" w:firstColumn="0" w:lastColumn="0" w:oddVBand="0" w:evenVBand="0" w:oddHBand="1" w:evenHBand="0" w:firstRowFirstColumn="0" w:firstRowLastColumn="0" w:lastRowFirstColumn="0" w:lastRowLastColumn="0"/>
            </w:pPr>
            <w:r>
              <w:t>54%</w:t>
            </w:r>
          </w:p>
        </w:tc>
        <w:tc>
          <w:tcPr>
            <w:tcW w:w="728" w:type="dxa"/>
          </w:tcPr>
          <w:p w:rsidR="00E7185C" w:rsidP="00E7185C" w:rsidRDefault="007B4968" w14:paraId="5D42DBBB" w14:textId="79A195B8">
            <w:pPr>
              <w:cnfStyle w:val="000000100000" w:firstRow="0" w:lastRow="0" w:firstColumn="0" w:lastColumn="0" w:oddVBand="0" w:evenVBand="0" w:oddHBand="1" w:evenHBand="0" w:firstRowFirstColumn="0" w:firstRowLastColumn="0" w:lastRowFirstColumn="0" w:lastRowLastColumn="0"/>
            </w:pPr>
            <w:r>
              <w:t>44%</w:t>
            </w:r>
          </w:p>
        </w:tc>
        <w:tc>
          <w:tcPr>
            <w:tcW w:w="798" w:type="dxa"/>
          </w:tcPr>
          <w:p w:rsidRPr="007B4968" w:rsidR="00E7185C" w:rsidP="00E7185C" w:rsidRDefault="007B4968" w14:paraId="68F47E6E" w14:textId="75AC004A">
            <w:pPr>
              <w:cnfStyle w:val="000000100000" w:firstRow="0" w:lastRow="0" w:firstColumn="0" w:lastColumn="0" w:oddVBand="0" w:evenVBand="0" w:oddHBand="1" w:evenHBand="0" w:firstRowFirstColumn="0" w:firstRowLastColumn="0" w:lastRowFirstColumn="0" w:lastRowLastColumn="0"/>
              <w:rPr>
                <w:b/>
                <w:bCs/>
              </w:rPr>
            </w:pPr>
            <w:r w:rsidRPr="007B4968">
              <w:rPr>
                <w:b/>
                <w:bCs/>
              </w:rPr>
              <w:t>41%</w:t>
            </w:r>
          </w:p>
        </w:tc>
      </w:tr>
      <w:tr w:rsidR="00E7185C" w:rsidTr="008506E9" w14:paraId="3CC31A50" w14:textId="77777777">
        <w:tc>
          <w:tcPr>
            <w:cnfStyle w:val="001000000000" w:firstRow="0" w:lastRow="0" w:firstColumn="1" w:lastColumn="0" w:oddVBand="0" w:evenVBand="0" w:oddHBand="0" w:evenHBand="0" w:firstRowFirstColumn="0" w:firstRowLastColumn="0" w:lastRowFirstColumn="0" w:lastRowLastColumn="0"/>
            <w:tcW w:w="4957" w:type="dxa"/>
          </w:tcPr>
          <w:p w:rsidR="00E7185C" w:rsidP="00E7185C" w:rsidRDefault="00E7185C" w14:paraId="2A392402" w14:textId="3755174B">
            <w:r>
              <w:rPr>
                <w:b w:val="0"/>
                <w:bCs w:val="0"/>
              </w:rPr>
              <w:t>Enigszins of sterk eenzaam</w:t>
            </w:r>
          </w:p>
        </w:tc>
        <w:tc>
          <w:tcPr>
            <w:tcW w:w="742" w:type="dxa"/>
          </w:tcPr>
          <w:p w:rsidR="00E7185C" w:rsidP="00E7185C" w:rsidRDefault="007B4968" w14:paraId="6D271DCA" w14:textId="0B313336">
            <w:pPr>
              <w:cnfStyle w:val="000000000000" w:firstRow="0" w:lastRow="0" w:firstColumn="0" w:lastColumn="0" w:oddVBand="0" w:evenVBand="0" w:oddHBand="0" w:evenHBand="0" w:firstRowFirstColumn="0" w:firstRowLastColumn="0" w:lastRowFirstColumn="0" w:lastRowLastColumn="0"/>
            </w:pPr>
            <w:r>
              <w:t>79%</w:t>
            </w:r>
          </w:p>
        </w:tc>
        <w:tc>
          <w:tcPr>
            <w:tcW w:w="728" w:type="dxa"/>
          </w:tcPr>
          <w:p w:rsidR="00E7185C" w:rsidP="00E7185C" w:rsidRDefault="007B4968" w14:paraId="10AED003" w14:textId="55A2DCFD">
            <w:pPr>
              <w:cnfStyle w:val="000000000000" w:firstRow="0" w:lastRow="0" w:firstColumn="0" w:lastColumn="0" w:oddVBand="0" w:evenVBand="0" w:oddHBand="0" w:evenHBand="0" w:firstRowFirstColumn="0" w:firstRowLastColumn="0" w:lastRowFirstColumn="0" w:lastRowLastColumn="0"/>
            </w:pPr>
            <w:r>
              <w:t>62%</w:t>
            </w:r>
          </w:p>
        </w:tc>
        <w:tc>
          <w:tcPr>
            <w:tcW w:w="798" w:type="dxa"/>
          </w:tcPr>
          <w:p w:rsidRPr="007B4968" w:rsidR="00E7185C" w:rsidP="00E7185C" w:rsidRDefault="007B4968" w14:paraId="1D6EBFDC" w14:textId="47BB01B4">
            <w:pPr>
              <w:cnfStyle w:val="000000000000" w:firstRow="0" w:lastRow="0" w:firstColumn="0" w:lastColumn="0" w:oddVBand="0" w:evenVBand="0" w:oddHBand="0" w:evenHBand="0" w:firstRowFirstColumn="0" w:firstRowLastColumn="0" w:lastRowFirstColumn="0" w:lastRowLastColumn="0"/>
              <w:rPr>
                <w:b/>
                <w:bCs/>
              </w:rPr>
            </w:pPr>
            <w:r w:rsidRPr="007B4968">
              <w:rPr>
                <w:b/>
                <w:bCs/>
              </w:rPr>
              <w:t>60%</w:t>
            </w:r>
          </w:p>
        </w:tc>
      </w:tr>
    </w:tbl>
    <w:p w:rsidR="005B4E40" w:rsidP="00687511" w:rsidRDefault="005B4E40" w14:paraId="17271BC9" w14:textId="6E0F3688"/>
    <w:p w:rsidR="00A81D39" w:rsidP="00A81D39" w:rsidRDefault="00CB133B" w14:paraId="05E16EC7" w14:textId="7EA43E37">
      <w:r>
        <w:t xml:space="preserve">Zoals </w:t>
      </w:r>
      <w:r w:rsidR="00A40B73">
        <w:t xml:space="preserve">tabel </w:t>
      </w:r>
      <w:r w:rsidR="00EA6416">
        <w:t xml:space="preserve">1 </w:t>
      </w:r>
      <w:r w:rsidR="00A40B73">
        <w:t>laat zien</w:t>
      </w:r>
      <w:r>
        <w:t xml:space="preserve"> is de mentale gezondheid </w:t>
      </w:r>
      <w:r w:rsidR="00EA6416">
        <w:t>van studenten in het hbo en wo</w:t>
      </w:r>
      <w:r w:rsidR="00767A48">
        <w:t xml:space="preserve"> in het algemeen</w:t>
      </w:r>
      <w:r w:rsidR="00EA6416">
        <w:t xml:space="preserve"> </w:t>
      </w:r>
      <w:r>
        <w:t xml:space="preserve">verder verbeterd ten opzichte van de eerste meting in 2021. We zien dat niet alle cijfers tussen 2023 en 2025 betekenisvol zijn verbeterd, maar dat de verbetering </w:t>
      </w:r>
      <w:r w:rsidR="00767A48">
        <w:t xml:space="preserve">op de meeste punten </w:t>
      </w:r>
      <w:r>
        <w:t xml:space="preserve">wel duidelijk zichtbaar is als we kijken naar </w:t>
      </w:r>
      <w:r w:rsidR="00EA6416">
        <w:t>de derde meting ten opzichte van de eerste meting</w:t>
      </w:r>
      <w:r>
        <w:t xml:space="preserve">. </w:t>
      </w:r>
    </w:p>
    <w:p w:rsidR="004031E8" w:rsidP="00A81D39" w:rsidRDefault="004031E8" w14:paraId="3639EF88" w14:textId="77777777"/>
    <w:p w:rsidR="004031E8" w:rsidP="00A81D39" w:rsidRDefault="004031E8" w14:paraId="26689541" w14:textId="55729FCD">
      <w:r>
        <w:t>Onderstaande tabel 2 toont het middelengebruik van studenten in het hbo en wo over drie metingen.</w:t>
      </w:r>
    </w:p>
    <w:p w:rsidR="00C74D1F" w:rsidP="00C74D1F" w:rsidRDefault="00C74D1F" w14:paraId="4DBD2326" w14:textId="77777777"/>
    <w:p w:rsidR="00C74D1F" w:rsidP="00C74D1F" w:rsidRDefault="00C74D1F" w14:paraId="6BFA3767" w14:textId="1B787333">
      <w:r>
        <w:t xml:space="preserve">Tabel </w:t>
      </w:r>
      <w:r w:rsidR="004031E8">
        <w:t>2</w:t>
      </w:r>
    </w:p>
    <w:tbl>
      <w:tblPr>
        <w:tblStyle w:val="Onopgemaaktetabel1"/>
        <w:tblW w:w="7225" w:type="dxa"/>
        <w:tblLook w:val="04A0" w:firstRow="1" w:lastRow="0" w:firstColumn="1" w:lastColumn="0" w:noHBand="0" w:noVBand="1"/>
      </w:tblPr>
      <w:tblGrid>
        <w:gridCol w:w="4920"/>
        <w:gridCol w:w="728"/>
        <w:gridCol w:w="728"/>
        <w:gridCol w:w="849"/>
      </w:tblGrid>
      <w:tr w:rsidR="00C74D1F" w:rsidTr="008506E9" w14:paraId="507E09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00C74D1F" w:rsidP="00B137F1" w:rsidRDefault="00C74D1F" w14:paraId="792C5902" w14:textId="77777777">
            <w:r>
              <w:t>Middelengebruik van studenten in het hbo en wo die deelnamen aan het onderzoek</w:t>
            </w:r>
          </w:p>
        </w:tc>
        <w:tc>
          <w:tcPr>
            <w:tcW w:w="728" w:type="dxa"/>
          </w:tcPr>
          <w:p w:rsidR="00C74D1F" w:rsidP="00B137F1" w:rsidRDefault="00C74D1F" w14:paraId="355FA5D3" w14:textId="77777777">
            <w:pPr>
              <w:cnfStyle w:val="100000000000" w:firstRow="1" w:lastRow="0" w:firstColumn="0" w:lastColumn="0" w:oddVBand="0" w:evenVBand="0" w:oddHBand="0" w:evenHBand="0" w:firstRowFirstColumn="0" w:firstRowLastColumn="0" w:lastRowFirstColumn="0" w:lastRowLastColumn="0"/>
            </w:pPr>
            <w:r>
              <w:t>2021</w:t>
            </w:r>
          </w:p>
        </w:tc>
        <w:tc>
          <w:tcPr>
            <w:tcW w:w="728" w:type="dxa"/>
          </w:tcPr>
          <w:p w:rsidR="00C74D1F" w:rsidP="00B137F1" w:rsidRDefault="00C74D1F" w14:paraId="3169727C" w14:textId="77777777">
            <w:pPr>
              <w:cnfStyle w:val="100000000000" w:firstRow="1" w:lastRow="0" w:firstColumn="0" w:lastColumn="0" w:oddVBand="0" w:evenVBand="0" w:oddHBand="0" w:evenHBand="0" w:firstRowFirstColumn="0" w:firstRowLastColumn="0" w:lastRowFirstColumn="0" w:lastRowLastColumn="0"/>
            </w:pPr>
            <w:r>
              <w:t>2023</w:t>
            </w:r>
          </w:p>
        </w:tc>
        <w:tc>
          <w:tcPr>
            <w:tcW w:w="849" w:type="dxa"/>
          </w:tcPr>
          <w:p w:rsidR="00C74D1F" w:rsidP="00B137F1" w:rsidRDefault="00C74D1F" w14:paraId="3559C8ED" w14:textId="77777777">
            <w:pPr>
              <w:cnfStyle w:val="100000000000" w:firstRow="1" w:lastRow="0" w:firstColumn="0" w:lastColumn="0" w:oddVBand="0" w:evenVBand="0" w:oddHBand="0" w:evenHBand="0" w:firstRowFirstColumn="0" w:firstRowLastColumn="0" w:lastRowFirstColumn="0" w:lastRowLastColumn="0"/>
            </w:pPr>
            <w:r>
              <w:t>2025</w:t>
            </w:r>
          </w:p>
        </w:tc>
      </w:tr>
      <w:tr w:rsidRPr="001B2F5E" w:rsidR="00C74D1F" w:rsidTr="008506E9" w14:paraId="3AFA14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Pr="001B2F5E" w:rsidR="00C74D1F" w:rsidP="00B137F1" w:rsidRDefault="00C74D1F" w14:paraId="0E465365" w14:textId="77777777">
            <w:pPr>
              <w:rPr>
                <w:b w:val="0"/>
                <w:bCs w:val="0"/>
                <w:i/>
                <w:iCs/>
              </w:rPr>
            </w:pPr>
            <w:r>
              <w:rPr>
                <w:b w:val="0"/>
                <w:bCs w:val="0"/>
                <w:i/>
                <w:iCs/>
              </w:rPr>
              <w:t>Alcoholgebruik</w:t>
            </w:r>
          </w:p>
        </w:tc>
      </w:tr>
      <w:tr w:rsidR="00C74D1F" w:rsidTr="008506E9" w14:paraId="692B803F" w14:textId="77777777">
        <w:tc>
          <w:tcPr>
            <w:cnfStyle w:val="001000000000" w:firstRow="0" w:lastRow="0" w:firstColumn="1" w:lastColumn="0" w:oddVBand="0" w:evenVBand="0" w:oddHBand="0" w:evenHBand="0" w:firstRowFirstColumn="0" w:firstRowLastColumn="0" w:lastRowFirstColumn="0" w:lastRowLastColumn="0"/>
            <w:tcW w:w="4920" w:type="dxa"/>
          </w:tcPr>
          <w:p w:rsidRPr="00E7185C" w:rsidR="00C74D1F" w:rsidP="00B137F1" w:rsidRDefault="00C74D1F" w14:paraId="26FE836E" w14:textId="77777777">
            <w:pPr>
              <w:rPr>
                <w:b w:val="0"/>
                <w:bCs w:val="0"/>
              </w:rPr>
            </w:pPr>
            <w:r>
              <w:rPr>
                <w:b w:val="0"/>
                <w:bCs w:val="0"/>
              </w:rPr>
              <w:t>Zwaar alcoholgebruik</w:t>
            </w:r>
          </w:p>
        </w:tc>
        <w:tc>
          <w:tcPr>
            <w:tcW w:w="728" w:type="dxa"/>
          </w:tcPr>
          <w:p w:rsidR="00C74D1F" w:rsidP="00B137F1" w:rsidRDefault="00C74D1F" w14:paraId="0D04C817" w14:textId="77777777">
            <w:pPr>
              <w:cnfStyle w:val="000000000000" w:firstRow="0" w:lastRow="0" w:firstColumn="0" w:lastColumn="0" w:oddVBand="0" w:evenVBand="0" w:oddHBand="0" w:evenHBand="0" w:firstRowFirstColumn="0" w:firstRowLastColumn="0" w:lastRowFirstColumn="0" w:lastRowLastColumn="0"/>
            </w:pPr>
            <w:r>
              <w:t>16%</w:t>
            </w:r>
          </w:p>
        </w:tc>
        <w:tc>
          <w:tcPr>
            <w:tcW w:w="728" w:type="dxa"/>
          </w:tcPr>
          <w:p w:rsidR="00C74D1F" w:rsidP="00B137F1" w:rsidRDefault="00C74D1F" w14:paraId="0B7CC585" w14:textId="77777777">
            <w:pPr>
              <w:cnfStyle w:val="000000000000" w:firstRow="0" w:lastRow="0" w:firstColumn="0" w:lastColumn="0" w:oddVBand="0" w:evenVBand="0" w:oddHBand="0" w:evenHBand="0" w:firstRowFirstColumn="0" w:firstRowLastColumn="0" w:lastRowFirstColumn="0" w:lastRowLastColumn="0"/>
            </w:pPr>
            <w:r>
              <w:t>16%</w:t>
            </w:r>
          </w:p>
        </w:tc>
        <w:tc>
          <w:tcPr>
            <w:tcW w:w="849" w:type="dxa"/>
          </w:tcPr>
          <w:p w:rsidRPr="00851899" w:rsidR="00C74D1F" w:rsidP="00B137F1" w:rsidRDefault="00C74D1F" w14:paraId="4CB22468" w14:textId="77777777">
            <w:pPr>
              <w:cnfStyle w:val="000000000000" w:firstRow="0" w:lastRow="0" w:firstColumn="0" w:lastColumn="0" w:oddVBand="0" w:evenVBand="0" w:oddHBand="0" w:evenHBand="0" w:firstRowFirstColumn="0" w:firstRowLastColumn="0" w:lastRowFirstColumn="0" w:lastRowLastColumn="0"/>
              <w:rPr>
                <w:b/>
                <w:bCs/>
              </w:rPr>
            </w:pPr>
            <w:r w:rsidRPr="00851899">
              <w:rPr>
                <w:b/>
                <w:bCs/>
              </w:rPr>
              <w:t>13%</w:t>
            </w:r>
          </w:p>
        </w:tc>
      </w:tr>
      <w:tr w:rsidR="00C74D1F" w:rsidTr="008506E9" w14:paraId="756BAA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00C74D1F" w:rsidP="00B137F1" w:rsidRDefault="00C74D1F" w14:paraId="44E3E241" w14:textId="77777777">
            <w:r w:rsidRPr="00E7185C">
              <w:rPr>
                <w:b w:val="0"/>
                <w:bCs w:val="0"/>
                <w:i/>
                <w:iCs/>
              </w:rPr>
              <w:t xml:space="preserve">Roken en </w:t>
            </w:r>
            <w:proofErr w:type="spellStart"/>
            <w:r w:rsidRPr="00E7185C">
              <w:rPr>
                <w:b w:val="0"/>
                <w:bCs w:val="0"/>
                <w:i/>
                <w:iCs/>
              </w:rPr>
              <w:t>vapen</w:t>
            </w:r>
            <w:proofErr w:type="spellEnd"/>
          </w:p>
        </w:tc>
      </w:tr>
      <w:tr w:rsidR="00C74D1F" w:rsidTr="008506E9" w14:paraId="0030B4DC" w14:textId="77777777">
        <w:tc>
          <w:tcPr>
            <w:cnfStyle w:val="001000000000" w:firstRow="0" w:lastRow="0" w:firstColumn="1" w:lastColumn="0" w:oddVBand="0" w:evenVBand="0" w:oddHBand="0" w:evenHBand="0" w:firstRowFirstColumn="0" w:firstRowLastColumn="0" w:lastRowFirstColumn="0" w:lastRowLastColumn="0"/>
            <w:tcW w:w="4920" w:type="dxa"/>
          </w:tcPr>
          <w:p w:rsidRPr="00E7185C" w:rsidR="00C74D1F" w:rsidP="00B137F1" w:rsidRDefault="00C74D1F" w14:paraId="3E7DEC95" w14:textId="77777777">
            <w:pPr>
              <w:rPr>
                <w:b w:val="0"/>
                <w:bCs w:val="0"/>
              </w:rPr>
            </w:pPr>
            <w:r>
              <w:rPr>
                <w:b w:val="0"/>
                <w:bCs w:val="0"/>
              </w:rPr>
              <w:t>Dagelijks roken</w:t>
            </w:r>
          </w:p>
        </w:tc>
        <w:tc>
          <w:tcPr>
            <w:tcW w:w="728" w:type="dxa"/>
          </w:tcPr>
          <w:p w:rsidR="00C74D1F" w:rsidP="00B137F1" w:rsidRDefault="00C74D1F" w14:paraId="7FE9E0F9" w14:textId="77777777">
            <w:pPr>
              <w:cnfStyle w:val="000000000000" w:firstRow="0" w:lastRow="0" w:firstColumn="0" w:lastColumn="0" w:oddVBand="0" w:evenVBand="0" w:oddHBand="0" w:evenHBand="0" w:firstRowFirstColumn="0" w:firstRowLastColumn="0" w:lastRowFirstColumn="0" w:lastRowLastColumn="0"/>
            </w:pPr>
            <w:r>
              <w:t>8%</w:t>
            </w:r>
          </w:p>
        </w:tc>
        <w:tc>
          <w:tcPr>
            <w:tcW w:w="728" w:type="dxa"/>
          </w:tcPr>
          <w:p w:rsidR="00C74D1F" w:rsidP="00B137F1" w:rsidRDefault="00C74D1F" w14:paraId="4A68B049" w14:textId="77777777">
            <w:pPr>
              <w:cnfStyle w:val="000000000000" w:firstRow="0" w:lastRow="0" w:firstColumn="0" w:lastColumn="0" w:oddVBand="0" w:evenVBand="0" w:oddHBand="0" w:evenHBand="0" w:firstRowFirstColumn="0" w:firstRowLastColumn="0" w:lastRowFirstColumn="0" w:lastRowLastColumn="0"/>
            </w:pPr>
            <w:r>
              <w:t>6%</w:t>
            </w:r>
          </w:p>
        </w:tc>
        <w:tc>
          <w:tcPr>
            <w:tcW w:w="849" w:type="dxa"/>
          </w:tcPr>
          <w:p w:rsidRPr="00851899" w:rsidR="00C74D1F" w:rsidP="00B137F1" w:rsidRDefault="00C74D1F" w14:paraId="2D3FB5DD" w14:textId="77777777">
            <w:pPr>
              <w:cnfStyle w:val="000000000000" w:firstRow="0" w:lastRow="0" w:firstColumn="0" w:lastColumn="0" w:oddVBand="0" w:evenVBand="0" w:oddHBand="0" w:evenHBand="0" w:firstRowFirstColumn="0" w:firstRowLastColumn="0" w:lastRowFirstColumn="0" w:lastRowLastColumn="0"/>
              <w:rPr>
                <w:b/>
                <w:bCs/>
              </w:rPr>
            </w:pPr>
            <w:r w:rsidRPr="00851899">
              <w:rPr>
                <w:b/>
                <w:bCs/>
              </w:rPr>
              <w:t>5%</w:t>
            </w:r>
          </w:p>
        </w:tc>
      </w:tr>
      <w:tr w:rsidR="00C74D1F" w:rsidTr="008506E9" w14:paraId="5C355C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00C74D1F" w:rsidP="00B137F1" w:rsidRDefault="00C74D1F" w14:paraId="6796F9AB" w14:textId="77777777">
            <w:pPr>
              <w:rPr>
                <w:b w:val="0"/>
                <w:bCs w:val="0"/>
              </w:rPr>
            </w:pPr>
            <w:r>
              <w:rPr>
                <w:b w:val="0"/>
                <w:bCs w:val="0"/>
              </w:rPr>
              <w:t xml:space="preserve">Dagelijks of regelmatig </w:t>
            </w:r>
            <w:proofErr w:type="spellStart"/>
            <w:r>
              <w:rPr>
                <w:b w:val="0"/>
                <w:bCs w:val="0"/>
              </w:rPr>
              <w:t>vapen</w:t>
            </w:r>
            <w:proofErr w:type="spellEnd"/>
          </w:p>
        </w:tc>
        <w:tc>
          <w:tcPr>
            <w:tcW w:w="728" w:type="dxa"/>
          </w:tcPr>
          <w:p w:rsidR="00C74D1F" w:rsidP="00B137F1" w:rsidRDefault="00C74D1F" w14:paraId="25F4F33C" w14:textId="77777777">
            <w:pPr>
              <w:cnfStyle w:val="000000100000" w:firstRow="0" w:lastRow="0" w:firstColumn="0" w:lastColumn="0" w:oddVBand="0" w:evenVBand="0" w:oddHBand="1" w:evenHBand="0" w:firstRowFirstColumn="0" w:firstRowLastColumn="0" w:lastRowFirstColumn="0" w:lastRowLastColumn="0"/>
            </w:pPr>
            <w:r>
              <w:t>1%</w:t>
            </w:r>
          </w:p>
        </w:tc>
        <w:tc>
          <w:tcPr>
            <w:tcW w:w="728" w:type="dxa"/>
          </w:tcPr>
          <w:p w:rsidR="00C74D1F" w:rsidP="00B137F1" w:rsidRDefault="00C74D1F" w14:paraId="41240C0E" w14:textId="77777777">
            <w:pPr>
              <w:cnfStyle w:val="000000100000" w:firstRow="0" w:lastRow="0" w:firstColumn="0" w:lastColumn="0" w:oddVBand="0" w:evenVBand="0" w:oddHBand="1" w:evenHBand="0" w:firstRowFirstColumn="0" w:firstRowLastColumn="0" w:lastRowFirstColumn="0" w:lastRowLastColumn="0"/>
            </w:pPr>
            <w:r>
              <w:t>4%</w:t>
            </w:r>
          </w:p>
        </w:tc>
        <w:tc>
          <w:tcPr>
            <w:tcW w:w="849" w:type="dxa"/>
          </w:tcPr>
          <w:p w:rsidRPr="00851899" w:rsidR="00C74D1F" w:rsidP="00B137F1" w:rsidRDefault="00C74D1F" w14:paraId="1EEF44F6" w14:textId="77777777">
            <w:pPr>
              <w:cnfStyle w:val="000000100000" w:firstRow="0" w:lastRow="0" w:firstColumn="0" w:lastColumn="0" w:oddVBand="0" w:evenVBand="0" w:oddHBand="1" w:evenHBand="0" w:firstRowFirstColumn="0" w:firstRowLastColumn="0" w:lastRowFirstColumn="0" w:lastRowLastColumn="0"/>
              <w:rPr>
                <w:b/>
                <w:bCs/>
              </w:rPr>
            </w:pPr>
            <w:r w:rsidRPr="00851899">
              <w:rPr>
                <w:b/>
                <w:bCs/>
              </w:rPr>
              <w:t>3%</w:t>
            </w:r>
          </w:p>
        </w:tc>
      </w:tr>
      <w:tr w:rsidR="00C74D1F" w:rsidTr="008506E9" w14:paraId="59344343" w14:textId="77777777">
        <w:tc>
          <w:tcPr>
            <w:cnfStyle w:val="001000000000" w:firstRow="0" w:lastRow="0" w:firstColumn="1" w:lastColumn="0" w:oddVBand="0" w:evenVBand="0" w:oddHBand="0" w:evenHBand="0" w:firstRowFirstColumn="0" w:firstRowLastColumn="0" w:lastRowFirstColumn="0" w:lastRowLastColumn="0"/>
            <w:tcW w:w="7225" w:type="dxa"/>
            <w:gridSpan w:val="4"/>
          </w:tcPr>
          <w:p w:rsidR="00C74D1F" w:rsidP="00B137F1" w:rsidRDefault="00C74D1F" w14:paraId="063C7A80" w14:textId="77777777">
            <w:r w:rsidRPr="00E7185C">
              <w:rPr>
                <w:b w:val="0"/>
                <w:bCs w:val="0"/>
                <w:i/>
                <w:iCs/>
              </w:rPr>
              <w:t>Gebruik andere middelen</w:t>
            </w:r>
          </w:p>
        </w:tc>
      </w:tr>
      <w:tr w:rsidR="00C74D1F" w:rsidTr="008506E9" w14:paraId="4844FC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Pr="00E7185C" w:rsidR="00C74D1F" w:rsidP="00B137F1" w:rsidRDefault="00C74D1F" w14:paraId="4505351C" w14:textId="77777777">
            <w:pPr>
              <w:rPr>
                <w:b w:val="0"/>
                <w:bCs w:val="0"/>
              </w:rPr>
            </w:pPr>
            <w:r w:rsidRPr="00E7185C">
              <w:rPr>
                <w:b w:val="0"/>
                <w:bCs w:val="0"/>
              </w:rPr>
              <w:t>Frequent cannabisgebruik</w:t>
            </w:r>
          </w:p>
        </w:tc>
        <w:tc>
          <w:tcPr>
            <w:tcW w:w="728" w:type="dxa"/>
          </w:tcPr>
          <w:p w:rsidR="00C74D1F" w:rsidP="00B137F1" w:rsidRDefault="00C74D1F" w14:paraId="73D34FDB" w14:textId="77777777">
            <w:pPr>
              <w:cnfStyle w:val="000000100000" w:firstRow="0" w:lastRow="0" w:firstColumn="0" w:lastColumn="0" w:oddVBand="0" w:evenVBand="0" w:oddHBand="1" w:evenHBand="0" w:firstRowFirstColumn="0" w:firstRowLastColumn="0" w:lastRowFirstColumn="0" w:lastRowLastColumn="0"/>
            </w:pPr>
            <w:r>
              <w:t>8%</w:t>
            </w:r>
          </w:p>
        </w:tc>
        <w:tc>
          <w:tcPr>
            <w:tcW w:w="728" w:type="dxa"/>
          </w:tcPr>
          <w:p w:rsidR="00C74D1F" w:rsidP="00B137F1" w:rsidRDefault="00C74D1F" w14:paraId="0CAB78DA" w14:textId="77777777">
            <w:pPr>
              <w:cnfStyle w:val="000000100000" w:firstRow="0" w:lastRow="0" w:firstColumn="0" w:lastColumn="0" w:oddVBand="0" w:evenVBand="0" w:oddHBand="1" w:evenHBand="0" w:firstRowFirstColumn="0" w:firstRowLastColumn="0" w:lastRowFirstColumn="0" w:lastRowLastColumn="0"/>
            </w:pPr>
            <w:r>
              <w:t>6%</w:t>
            </w:r>
          </w:p>
        </w:tc>
        <w:tc>
          <w:tcPr>
            <w:tcW w:w="849" w:type="dxa"/>
          </w:tcPr>
          <w:p w:rsidRPr="00851899" w:rsidR="00C74D1F" w:rsidP="00B137F1" w:rsidRDefault="00C74D1F" w14:paraId="2947F314" w14:textId="77777777">
            <w:pPr>
              <w:cnfStyle w:val="000000100000" w:firstRow="0" w:lastRow="0" w:firstColumn="0" w:lastColumn="0" w:oddVBand="0" w:evenVBand="0" w:oddHBand="1" w:evenHBand="0" w:firstRowFirstColumn="0" w:firstRowLastColumn="0" w:lastRowFirstColumn="0" w:lastRowLastColumn="0"/>
              <w:rPr>
                <w:b/>
                <w:bCs/>
              </w:rPr>
            </w:pPr>
            <w:r w:rsidRPr="00851899">
              <w:rPr>
                <w:b/>
                <w:bCs/>
              </w:rPr>
              <w:t>5%</w:t>
            </w:r>
          </w:p>
        </w:tc>
      </w:tr>
      <w:tr w:rsidR="00C74D1F" w:rsidTr="008506E9" w14:paraId="4FBDD7A1" w14:textId="77777777">
        <w:tc>
          <w:tcPr>
            <w:cnfStyle w:val="001000000000" w:firstRow="0" w:lastRow="0" w:firstColumn="1" w:lastColumn="0" w:oddVBand="0" w:evenVBand="0" w:oddHBand="0" w:evenHBand="0" w:firstRowFirstColumn="0" w:firstRowLastColumn="0" w:lastRowFirstColumn="0" w:lastRowLastColumn="0"/>
            <w:tcW w:w="4920" w:type="dxa"/>
          </w:tcPr>
          <w:p w:rsidRPr="00E7185C" w:rsidR="00C74D1F" w:rsidP="00B137F1" w:rsidRDefault="00C74D1F" w14:paraId="19925B2C" w14:textId="77777777">
            <w:pPr>
              <w:rPr>
                <w:b w:val="0"/>
                <w:bCs w:val="0"/>
              </w:rPr>
            </w:pPr>
            <w:r w:rsidRPr="00233FE6">
              <w:rPr>
                <w:b w:val="0"/>
                <w:bCs w:val="0"/>
              </w:rPr>
              <w:t>Recent xtc-gebruik (afgelopen maand)</w:t>
            </w:r>
          </w:p>
        </w:tc>
        <w:tc>
          <w:tcPr>
            <w:tcW w:w="728" w:type="dxa"/>
          </w:tcPr>
          <w:p w:rsidR="00C74D1F" w:rsidP="00B137F1" w:rsidRDefault="00C74D1F" w14:paraId="1EC0633B" w14:textId="77777777">
            <w:pPr>
              <w:cnfStyle w:val="000000000000" w:firstRow="0" w:lastRow="0" w:firstColumn="0" w:lastColumn="0" w:oddVBand="0" w:evenVBand="0" w:oddHBand="0" w:evenHBand="0" w:firstRowFirstColumn="0" w:firstRowLastColumn="0" w:lastRowFirstColumn="0" w:lastRowLastColumn="0"/>
            </w:pPr>
            <w:r>
              <w:t>3%</w:t>
            </w:r>
          </w:p>
        </w:tc>
        <w:tc>
          <w:tcPr>
            <w:tcW w:w="728" w:type="dxa"/>
          </w:tcPr>
          <w:p w:rsidR="00C74D1F" w:rsidP="00B137F1" w:rsidRDefault="00C74D1F" w14:paraId="55AB8368" w14:textId="77777777">
            <w:pPr>
              <w:cnfStyle w:val="000000000000" w:firstRow="0" w:lastRow="0" w:firstColumn="0" w:lastColumn="0" w:oddVBand="0" w:evenVBand="0" w:oddHBand="0" w:evenHBand="0" w:firstRowFirstColumn="0" w:firstRowLastColumn="0" w:lastRowFirstColumn="0" w:lastRowLastColumn="0"/>
            </w:pPr>
            <w:r>
              <w:t>4%</w:t>
            </w:r>
          </w:p>
        </w:tc>
        <w:tc>
          <w:tcPr>
            <w:tcW w:w="849" w:type="dxa"/>
          </w:tcPr>
          <w:p w:rsidRPr="00851899" w:rsidR="00C74D1F" w:rsidP="00B137F1" w:rsidRDefault="00C74D1F" w14:paraId="2FDD16BB" w14:textId="77777777">
            <w:pPr>
              <w:cnfStyle w:val="000000000000" w:firstRow="0" w:lastRow="0" w:firstColumn="0" w:lastColumn="0" w:oddVBand="0" w:evenVBand="0" w:oddHBand="0" w:evenHBand="0" w:firstRowFirstColumn="0" w:firstRowLastColumn="0" w:lastRowFirstColumn="0" w:lastRowLastColumn="0"/>
              <w:rPr>
                <w:b/>
                <w:bCs/>
              </w:rPr>
            </w:pPr>
            <w:r w:rsidRPr="00851899">
              <w:rPr>
                <w:b/>
                <w:bCs/>
              </w:rPr>
              <w:t>2%</w:t>
            </w:r>
          </w:p>
        </w:tc>
      </w:tr>
      <w:tr w:rsidR="00C74D1F" w:rsidTr="008506E9" w14:paraId="70D23E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Pr="00233FE6" w:rsidR="00C74D1F" w:rsidP="00B137F1" w:rsidRDefault="00C74D1F" w14:paraId="41061135" w14:textId="77777777">
            <w:r w:rsidRPr="00233FE6">
              <w:rPr>
                <w:b w:val="0"/>
                <w:bCs w:val="0"/>
              </w:rPr>
              <w:t>Recent cocaïnegebruik (afgelopen maand)</w:t>
            </w:r>
          </w:p>
        </w:tc>
        <w:tc>
          <w:tcPr>
            <w:tcW w:w="728" w:type="dxa"/>
          </w:tcPr>
          <w:p w:rsidR="00C74D1F" w:rsidP="00B137F1" w:rsidRDefault="00C74D1F" w14:paraId="20CEF04D" w14:textId="77777777">
            <w:pPr>
              <w:cnfStyle w:val="000000100000" w:firstRow="0" w:lastRow="0" w:firstColumn="0" w:lastColumn="0" w:oddVBand="0" w:evenVBand="0" w:oddHBand="1" w:evenHBand="0" w:firstRowFirstColumn="0" w:firstRowLastColumn="0" w:lastRowFirstColumn="0" w:lastRowLastColumn="0"/>
            </w:pPr>
            <w:r>
              <w:t>2%</w:t>
            </w:r>
          </w:p>
        </w:tc>
        <w:tc>
          <w:tcPr>
            <w:tcW w:w="728" w:type="dxa"/>
          </w:tcPr>
          <w:p w:rsidR="00C74D1F" w:rsidP="00B137F1" w:rsidRDefault="00C74D1F" w14:paraId="3DE58FD7" w14:textId="77777777">
            <w:pPr>
              <w:cnfStyle w:val="000000100000" w:firstRow="0" w:lastRow="0" w:firstColumn="0" w:lastColumn="0" w:oddVBand="0" w:evenVBand="0" w:oddHBand="1" w:evenHBand="0" w:firstRowFirstColumn="0" w:firstRowLastColumn="0" w:lastRowFirstColumn="0" w:lastRowLastColumn="0"/>
            </w:pPr>
            <w:r>
              <w:t>2%</w:t>
            </w:r>
          </w:p>
        </w:tc>
        <w:tc>
          <w:tcPr>
            <w:tcW w:w="849" w:type="dxa"/>
          </w:tcPr>
          <w:p w:rsidRPr="00851899" w:rsidR="00C74D1F" w:rsidP="00B137F1" w:rsidRDefault="00C74D1F" w14:paraId="2ACC0B17" w14:textId="77777777">
            <w:pPr>
              <w:cnfStyle w:val="000000100000" w:firstRow="0" w:lastRow="0" w:firstColumn="0" w:lastColumn="0" w:oddVBand="0" w:evenVBand="0" w:oddHBand="1" w:evenHBand="0" w:firstRowFirstColumn="0" w:firstRowLastColumn="0" w:lastRowFirstColumn="0" w:lastRowLastColumn="0"/>
              <w:rPr>
                <w:b/>
                <w:bCs/>
              </w:rPr>
            </w:pPr>
            <w:r w:rsidRPr="00851899">
              <w:rPr>
                <w:b/>
                <w:bCs/>
              </w:rPr>
              <w:t>1%</w:t>
            </w:r>
          </w:p>
        </w:tc>
      </w:tr>
      <w:tr w:rsidR="00C74D1F" w:rsidTr="008506E9" w14:paraId="777000BE" w14:textId="77777777">
        <w:tc>
          <w:tcPr>
            <w:cnfStyle w:val="001000000000" w:firstRow="0" w:lastRow="0" w:firstColumn="1" w:lastColumn="0" w:oddVBand="0" w:evenVBand="0" w:oddHBand="0" w:evenHBand="0" w:firstRowFirstColumn="0" w:firstRowLastColumn="0" w:lastRowFirstColumn="0" w:lastRowLastColumn="0"/>
            <w:tcW w:w="4920" w:type="dxa"/>
          </w:tcPr>
          <w:p w:rsidR="00C74D1F" w:rsidP="00B137F1" w:rsidRDefault="00C74D1F" w14:paraId="4CC703EA" w14:textId="77777777">
            <w:r w:rsidRPr="00233FE6">
              <w:rPr>
                <w:b w:val="0"/>
                <w:bCs w:val="0"/>
              </w:rPr>
              <w:t>Recent psychedelicagebruik (afgelopen maand)</w:t>
            </w:r>
          </w:p>
        </w:tc>
        <w:tc>
          <w:tcPr>
            <w:tcW w:w="728" w:type="dxa"/>
          </w:tcPr>
          <w:p w:rsidR="00C74D1F" w:rsidP="00B137F1" w:rsidRDefault="00C74D1F" w14:paraId="09EE1508" w14:textId="77777777">
            <w:pPr>
              <w:cnfStyle w:val="000000000000" w:firstRow="0" w:lastRow="0" w:firstColumn="0" w:lastColumn="0" w:oddVBand="0" w:evenVBand="0" w:oddHBand="0" w:evenHBand="0" w:firstRowFirstColumn="0" w:firstRowLastColumn="0" w:lastRowFirstColumn="0" w:lastRowLastColumn="0"/>
            </w:pPr>
            <w:r>
              <w:t>2,2%</w:t>
            </w:r>
          </w:p>
        </w:tc>
        <w:tc>
          <w:tcPr>
            <w:tcW w:w="728" w:type="dxa"/>
          </w:tcPr>
          <w:p w:rsidR="00C74D1F" w:rsidP="00B137F1" w:rsidRDefault="00C74D1F" w14:paraId="0DA99266" w14:textId="77777777">
            <w:pPr>
              <w:cnfStyle w:val="000000000000" w:firstRow="0" w:lastRow="0" w:firstColumn="0" w:lastColumn="0" w:oddVBand="0" w:evenVBand="0" w:oddHBand="0" w:evenHBand="0" w:firstRowFirstColumn="0" w:firstRowLastColumn="0" w:lastRowFirstColumn="0" w:lastRowLastColumn="0"/>
            </w:pPr>
            <w:r>
              <w:t>1,5%</w:t>
            </w:r>
          </w:p>
        </w:tc>
        <w:tc>
          <w:tcPr>
            <w:tcW w:w="849" w:type="dxa"/>
          </w:tcPr>
          <w:p w:rsidRPr="00851899" w:rsidR="00C74D1F" w:rsidP="00B137F1" w:rsidRDefault="00C74D1F" w14:paraId="3D621943" w14:textId="77777777">
            <w:pPr>
              <w:cnfStyle w:val="000000000000" w:firstRow="0" w:lastRow="0" w:firstColumn="0" w:lastColumn="0" w:oddVBand="0" w:evenVBand="0" w:oddHBand="0" w:evenHBand="0" w:firstRowFirstColumn="0" w:firstRowLastColumn="0" w:lastRowFirstColumn="0" w:lastRowLastColumn="0"/>
              <w:rPr>
                <w:b/>
                <w:bCs/>
              </w:rPr>
            </w:pPr>
            <w:r w:rsidRPr="00851899">
              <w:rPr>
                <w:b/>
                <w:bCs/>
              </w:rPr>
              <w:t>1%</w:t>
            </w:r>
          </w:p>
        </w:tc>
      </w:tr>
      <w:tr w:rsidR="00C74D1F" w:rsidTr="008506E9" w14:paraId="18CFEF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4"/>
          </w:tcPr>
          <w:p w:rsidR="00C74D1F" w:rsidP="00B137F1" w:rsidRDefault="00C74D1F" w14:paraId="1ED97E53" w14:textId="77777777">
            <w:r w:rsidRPr="00233FE6">
              <w:rPr>
                <w:b w:val="0"/>
                <w:bCs w:val="0"/>
                <w:i/>
                <w:iCs/>
              </w:rPr>
              <w:t>Gebruik medicijnen zonder doktersvoorschrift (oneigenlijk gebruik)</w:t>
            </w:r>
          </w:p>
        </w:tc>
      </w:tr>
      <w:tr w:rsidR="00C74D1F" w:rsidTr="008506E9" w14:paraId="53BB044B" w14:textId="77777777">
        <w:tc>
          <w:tcPr>
            <w:cnfStyle w:val="001000000000" w:firstRow="0" w:lastRow="0" w:firstColumn="1" w:lastColumn="0" w:oddVBand="0" w:evenVBand="0" w:oddHBand="0" w:evenHBand="0" w:firstRowFirstColumn="0" w:firstRowLastColumn="0" w:lastRowFirstColumn="0" w:lastRowLastColumn="0"/>
            <w:tcW w:w="4920" w:type="dxa"/>
          </w:tcPr>
          <w:p w:rsidRPr="00233FE6" w:rsidR="00C74D1F" w:rsidP="00B137F1" w:rsidRDefault="00C74D1F" w14:paraId="7C118DD8" w14:textId="77777777">
            <w:pPr>
              <w:rPr>
                <w:b w:val="0"/>
                <w:bCs w:val="0"/>
              </w:rPr>
            </w:pPr>
            <w:r w:rsidRPr="00233FE6">
              <w:rPr>
                <w:b w:val="0"/>
                <w:bCs w:val="0"/>
              </w:rPr>
              <w:t xml:space="preserve">Concentratie-verhogende middelen (afgelopen 12 </w:t>
            </w:r>
          </w:p>
          <w:p w:rsidR="00C74D1F" w:rsidP="00B137F1" w:rsidRDefault="00C74D1F" w14:paraId="487BA169" w14:textId="77777777">
            <w:r w:rsidRPr="00233FE6">
              <w:rPr>
                <w:b w:val="0"/>
                <w:bCs w:val="0"/>
              </w:rPr>
              <w:t>maanden)</w:t>
            </w:r>
          </w:p>
        </w:tc>
        <w:tc>
          <w:tcPr>
            <w:tcW w:w="728" w:type="dxa"/>
          </w:tcPr>
          <w:p w:rsidR="00C74D1F" w:rsidP="00B137F1" w:rsidRDefault="00C74D1F" w14:paraId="49EC226B" w14:textId="77777777">
            <w:pPr>
              <w:cnfStyle w:val="000000000000" w:firstRow="0" w:lastRow="0" w:firstColumn="0" w:lastColumn="0" w:oddVBand="0" w:evenVBand="0" w:oddHBand="0" w:evenHBand="0" w:firstRowFirstColumn="0" w:firstRowLastColumn="0" w:lastRowFirstColumn="0" w:lastRowLastColumn="0"/>
            </w:pPr>
            <w:r>
              <w:t>4%</w:t>
            </w:r>
          </w:p>
        </w:tc>
        <w:tc>
          <w:tcPr>
            <w:tcW w:w="728" w:type="dxa"/>
          </w:tcPr>
          <w:p w:rsidR="00C74D1F" w:rsidP="00B137F1" w:rsidRDefault="00C74D1F" w14:paraId="02F14495" w14:textId="77777777">
            <w:pPr>
              <w:cnfStyle w:val="000000000000" w:firstRow="0" w:lastRow="0" w:firstColumn="0" w:lastColumn="0" w:oddVBand="0" w:evenVBand="0" w:oddHBand="0" w:evenHBand="0" w:firstRowFirstColumn="0" w:firstRowLastColumn="0" w:lastRowFirstColumn="0" w:lastRowLastColumn="0"/>
            </w:pPr>
            <w:r>
              <w:t>3%</w:t>
            </w:r>
          </w:p>
        </w:tc>
        <w:tc>
          <w:tcPr>
            <w:tcW w:w="849" w:type="dxa"/>
          </w:tcPr>
          <w:p w:rsidRPr="00851899" w:rsidR="00C74D1F" w:rsidP="00B137F1" w:rsidRDefault="00C74D1F" w14:paraId="7CE0B635" w14:textId="77777777">
            <w:pPr>
              <w:cnfStyle w:val="000000000000" w:firstRow="0" w:lastRow="0" w:firstColumn="0" w:lastColumn="0" w:oddVBand="0" w:evenVBand="0" w:oddHBand="0" w:evenHBand="0" w:firstRowFirstColumn="0" w:firstRowLastColumn="0" w:lastRowFirstColumn="0" w:lastRowLastColumn="0"/>
              <w:rPr>
                <w:b/>
                <w:bCs/>
              </w:rPr>
            </w:pPr>
            <w:r w:rsidRPr="00851899">
              <w:rPr>
                <w:b/>
                <w:bCs/>
              </w:rPr>
              <w:t>3%</w:t>
            </w:r>
          </w:p>
        </w:tc>
      </w:tr>
      <w:tr w:rsidR="00C74D1F" w:rsidTr="008506E9" w14:paraId="4D675C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rsidR="00C74D1F" w:rsidP="00B137F1" w:rsidRDefault="00C74D1F" w14:paraId="48A09786" w14:textId="77777777">
            <w:pPr>
              <w:rPr>
                <w:b w:val="0"/>
                <w:bCs w:val="0"/>
              </w:rPr>
            </w:pPr>
            <w:r w:rsidRPr="00233FE6">
              <w:rPr>
                <w:b w:val="0"/>
                <w:bCs w:val="0"/>
              </w:rPr>
              <w:t>Slaap- en kalmeringsmiddelen</w:t>
            </w:r>
            <w:r>
              <w:rPr>
                <w:b w:val="0"/>
                <w:bCs w:val="0"/>
              </w:rPr>
              <w:t xml:space="preserve"> </w:t>
            </w:r>
            <w:r w:rsidRPr="00233FE6">
              <w:rPr>
                <w:b w:val="0"/>
                <w:bCs w:val="0"/>
              </w:rPr>
              <w:t>(afgelopen 12 maanden)</w:t>
            </w:r>
          </w:p>
        </w:tc>
        <w:tc>
          <w:tcPr>
            <w:tcW w:w="728" w:type="dxa"/>
          </w:tcPr>
          <w:p w:rsidR="00C74D1F" w:rsidP="00B137F1" w:rsidRDefault="00C74D1F" w14:paraId="53E1C732" w14:textId="77777777">
            <w:pPr>
              <w:cnfStyle w:val="000000100000" w:firstRow="0" w:lastRow="0" w:firstColumn="0" w:lastColumn="0" w:oddVBand="0" w:evenVBand="0" w:oddHBand="1" w:evenHBand="0" w:firstRowFirstColumn="0" w:firstRowLastColumn="0" w:lastRowFirstColumn="0" w:lastRowLastColumn="0"/>
            </w:pPr>
            <w:r>
              <w:t>4%</w:t>
            </w:r>
          </w:p>
        </w:tc>
        <w:tc>
          <w:tcPr>
            <w:tcW w:w="728" w:type="dxa"/>
          </w:tcPr>
          <w:p w:rsidR="00C74D1F" w:rsidP="00B137F1" w:rsidRDefault="00C74D1F" w14:paraId="17A3A900" w14:textId="77777777">
            <w:pPr>
              <w:cnfStyle w:val="000000100000" w:firstRow="0" w:lastRow="0" w:firstColumn="0" w:lastColumn="0" w:oddVBand="0" w:evenVBand="0" w:oddHBand="1" w:evenHBand="0" w:firstRowFirstColumn="0" w:firstRowLastColumn="0" w:lastRowFirstColumn="0" w:lastRowLastColumn="0"/>
            </w:pPr>
            <w:r>
              <w:t>3%</w:t>
            </w:r>
          </w:p>
        </w:tc>
        <w:tc>
          <w:tcPr>
            <w:tcW w:w="849" w:type="dxa"/>
          </w:tcPr>
          <w:p w:rsidRPr="00851899" w:rsidR="00C74D1F" w:rsidP="00B137F1" w:rsidRDefault="00C74D1F" w14:paraId="7C9724B0" w14:textId="77777777">
            <w:pPr>
              <w:cnfStyle w:val="000000100000" w:firstRow="0" w:lastRow="0" w:firstColumn="0" w:lastColumn="0" w:oddVBand="0" w:evenVBand="0" w:oddHBand="1" w:evenHBand="0" w:firstRowFirstColumn="0" w:firstRowLastColumn="0" w:lastRowFirstColumn="0" w:lastRowLastColumn="0"/>
              <w:rPr>
                <w:b/>
                <w:bCs/>
              </w:rPr>
            </w:pPr>
            <w:r w:rsidRPr="00851899">
              <w:rPr>
                <w:b/>
                <w:bCs/>
              </w:rPr>
              <w:t>2%</w:t>
            </w:r>
          </w:p>
        </w:tc>
      </w:tr>
    </w:tbl>
    <w:p w:rsidR="00C74D1F" w:rsidP="00C74D1F" w:rsidRDefault="00C74D1F" w14:paraId="116442EB" w14:textId="77777777"/>
    <w:p w:rsidR="00C74D1F" w:rsidP="00C74D1F" w:rsidRDefault="00770702" w14:paraId="4E67F6E7" w14:textId="1B35CA73">
      <w:r>
        <w:lastRenderedPageBreak/>
        <w:t>Ook w</w:t>
      </w:r>
      <w:r w:rsidR="00C74D1F">
        <w:t xml:space="preserve">at betreft het middelengebruik van studenten in het hbo en wo zien we in tabel </w:t>
      </w:r>
      <w:r w:rsidR="004031E8">
        <w:t>2</w:t>
      </w:r>
      <w:r w:rsidR="00C74D1F">
        <w:t xml:space="preserve"> over de gehele linie een daling. Wel blijft het gebruik relatief hoog onder bepaalde subgroepen. Zo komt middelengebruik vaker voor bij studenten die op kamers wonen, is er relatief meer cannabisgebruik onder buitenlande studenten en is alcoholgebruik onder studenten die lid zijn van een studentenvereniging relatief hoog. Dat zijn overigens dezelfde risicofactoren als uit eerdere monitors naar voren kwamen. </w:t>
      </w:r>
    </w:p>
    <w:p w:rsidR="00233FE6" w:rsidP="00233FE6" w:rsidRDefault="00233FE6" w14:paraId="448DBD05" w14:textId="77777777"/>
    <w:p w:rsidRPr="000136E1" w:rsidR="00C1018D" w:rsidP="00233FE6" w:rsidRDefault="004031E8" w14:paraId="7565DB07" w14:textId="4F29DFC1">
      <w:pPr>
        <w:rPr>
          <w:b/>
          <w:bCs/>
        </w:rPr>
      </w:pPr>
      <w:r>
        <w:rPr>
          <w:b/>
          <w:bCs/>
        </w:rPr>
        <w:t>Rapport mentale gezondheid en middelengebruik mbo-studenten</w:t>
      </w:r>
    </w:p>
    <w:p w:rsidR="00A40B73" w:rsidP="00A40B73" w:rsidRDefault="00A40B73" w14:paraId="1ECF1B17" w14:textId="1F25E484">
      <w:r>
        <w:t>Met de</w:t>
      </w:r>
      <w:r w:rsidR="001C7778">
        <w:t xml:space="preserve"> eerder genoemde</w:t>
      </w:r>
      <w:r>
        <w:t xml:space="preserve"> motie </w:t>
      </w:r>
      <w:r w:rsidR="00BF16D9">
        <w:t xml:space="preserve">van de leden </w:t>
      </w:r>
      <w:proofErr w:type="spellStart"/>
      <w:r>
        <w:t>Paternotte</w:t>
      </w:r>
      <w:proofErr w:type="spellEnd"/>
      <w:r>
        <w:t xml:space="preserve"> en </w:t>
      </w:r>
      <w:proofErr w:type="spellStart"/>
      <w:r>
        <w:t>Tseggai</w:t>
      </w:r>
      <w:proofErr w:type="spellEnd"/>
      <w:r>
        <w:t xml:space="preserve"> is verzocht om ook inzicht te krijgen in de mentale gezondheid van studenten in het mbo. Met behulp van cijfers uit het meet- en signaleringsinstrument </w:t>
      </w:r>
      <w:proofErr w:type="spellStart"/>
      <w:r>
        <w:t>TestJeLeefstijl</w:t>
      </w:r>
      <w:proofErr w:type="spellEnd"/>
      <w:r>
        <w:t xml:space="preserve"> is het rapport Monitor Mentale Gezondheid, Middelengebruik en Bredere Gezondheidsindicatoren mbo-studenten 2024-2025 opgesteld. Doordat deze monitor een iets andere opzet kent, kunnen de resultaten niet één op één met het hbo en wo worden vergeleken. </w:t>
      </w:r>
      <w:r w:rsidR="00E8110C">
        <w:t xml:space="preserve">Ondanks </w:t>
      </w:r>
      <w:r w:rsidR="00030F75">
        <w:t xml:space="preserve">het feit </w:t>
      </w:r>
      <w:r w:rsidR="00E8110C">
        <w:t xml:space="preserve">dat </w:t>
      </w:r>
      <w:proofErr w:type="spellStart"/>
      <w:r w:rsidR="00E8110C">
        <w:t>TestJeLeefstijl</w:t>
      </w:r>
      <w:proofErr w:type="spellEnd"/>
      <w:r w:rsidR="00E8110C">
        <w:t xml:space="preserve"> al jaren door studenten en instellingen wordt gebruikt om inzicht te krijgen in de leefstijl en</w:t>
      </w:r>
      <w:r w:rsidR="00F4613A">
        <w:t xml:space="preserve"> om</w:t>
      </w:r>
      <w:r w:rsidR="00E8110C">
        <w:t xml:space="preserve"> praktische tips mee te krijgen</w:t>
      </w:r>
      <w:r w:rsidR="009A3503">
        <w:t xml:space="preserve"> om leefstijlfactoren te verbeteren</w:t>
      </w:r>
      <w:r w:rsidR="00E8110C">
        <w:t>, is dit rapport de eerste meting in deze vorm.</w:t>
      </w:r>
      <w:r w:rsidR="006F259D">
        <w:t xml:space="preserve"> Om gegevens uit het schooljaar 2024-2025 te vergelijken, wordt gebruik gemaakt van de Landelijke mbo-leefstijlmonitor 2022-2023</w:t>
      </w:r>
      <w:r w:rsidR="006F259D">
        <w:rPr>
          <w:rStyle w:val="Voetnootmarkering"/>
        </w:rPr>
        <w:footnoteReference w:id="2"/>
      </w:r>
      <w:r w:rsidR="006F259D">
        <w:t>.</w:t>
      </w:r>
      <w:r w:rsidR="00E8110C">
        <w:t xml:space="preserve"> </w:t>
      </w:r>
    </w:p>
    <w:p w:rsidR="00C74D1F" w:rsidP="00A40B73" w:rsidRDefault="00C74D1F" w14:paraId="34F7C332" w14:textId="77777777"/>
    <w:p w:rsidR="00D1538A" w:rsidP="00687511" w:rsidRDefault="00D1538A" w14:paraId="71B36499" w14:textId="1E364611">
      <w:r>
        <w:t>Onderstaande tabel</w:t>
      </w:r>
      <w:r w:rsidR="00753048">
        <w:t xml:space="preserve"> 3</w:t>
      </w:r>
      <w:r>
        <w:t xml:space="preserve"> toont de cijfers</w:t>
      </w:r>
      <w:r w:rsidR="00753048">
        <w:t xml:space="preserve"> mentale gezondheid</w:t>
      </w:r>
      <w:r>
        <w:t xml:space="preserve"> van mbo-studenten uit het rapport van </w:t>
      </w:r>
      <w:proofErr w:type="spellStart"/>
      <w:r>
        <w:t>TestJeLeefstijl</w:t>
      </w:r>
      <w:proofErr w:type="spellEnd"/>
      <w:r>
        <w:t xml:space="preserve">. </w:t>
      </w:r>
    </w:p>
    <w:p w:rsidR="00D1538A" w:rsidP="00687511" w:rsidRDefault="00D1538A" w14:paraId="4D0C68DC" w14:textId="77777777"/>
    <w:p w:rsidR="004031E8" w:rsidP="004031E8" w:rsidRDefault="004031E8" w14:paraId="1C980396" w14:textId="50C80D7F">
      <w:r>
        <w:t xml:space="preserve">Tabel </w:t>
      </w:r>
      <w:r w:rsidR="00753048">
        <w:t>3</w:t>
      </w:r>
    </w:p>
    <w:tbl>
      <w:tblPr>
        <w:tblStyle w:val="Onopgemaaktetabel1"/>
        <w:tblW w:w="7508" w:type="dxa"/>
        <w:tblLook w:val="04A0" w:firstRow="1" w:lastRow="0" w:firstColumn="1" w:lastColumn="0" w:noHBand="0" w:noVBand="1"/>
      </w:tblPr>
      <w:tblGrid>
        <w:gridCol w:w="3379"/>
        <w:gridCol w:w="2186"/>
        <w:gridCol w:w="1943"/>
      </w:tblGrid>
      <w:tr w:rsidRPr="006F259D" w:rsidR="004031E8" w:rsidTr="00F66C98" w14:paraId="559485DD"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6F259D" w:rsidR="004031E8" w:rsidP="00B137F1" w:rsidRDefault="004031E8" w14:paraId="0ECE457F" w14:textId="3F058407">
            <w:pPr>
              <w:spacing w:line="240" w:lineRule="auto"/>
              <w:rPr>
                <w:color w:val="000000"/>
                <w:szCs w:val="18"/>
              </w:rPr>
            </w:pPr>
            <w:r w:rsidRPr="006F259D">
              <w:rPr>
                <w:color w:val="000000"/>
                <w:szCs w:val="18"/>
              </w:rPr>
              <w:t xml:space="preserve">Mentale gezondheid van studenten in het mbo die gebruik hebben gemaakt van </w:t>
            </w:r>
            <w:proofErr w:type="spellStart"/>
            <w:r w:rsidRPr="006F259D">
              <w:rPr>
                <w:color w:val="000000"/>
                <w:szCs w:val="18"/>
              </w:rPr>
              <w:t>TestJeLeefstij</w:t>
            </w:r>
            <w:r w:rsidR="00753048">
              <w:rPr>
                <w:color w:val="000000"/>
                <w:szCs w:val="18"/>
              </w:rPr>
              <w:t>l</w:t>
            </w:r>
            <w:proofErr w:type="spellEnd"/>
          </w:p>
        </w:tc>
        <w:tc>
          <w:tcPr>
            <w:tcW w:w="1276" w:type="dxa"/>
            <w:noWrap/>
            <w:hideMark/>
          </w:tcPr>
          <w:p w:rsidRPr="006F259D" w:rsidR="004031E8" w:rsidP="00B137F1" w:rsidRDefault="004031E8" w14:paraId="1A4CCEDD" w14:textId="5B478810">
            <w:pPr>
              <w:spacing w:line="240" w:lineRule="auto"/>
              <w:cnfStyle w:val="100000000000" w:firstRow="1" w:lastRow="0" w:firstColumn="0" w:lastColumn="0" w:oddVBand="0" w:evenVBand="0" w:oddHBand="0" w:evenHBand="0" w:firstRowFirstColumn="0" w:firstRowLastColumn="0" w:lastRowFirstColumn="0" w:lastRowLastColumn="0"/>
              <w:rPr>
                <w:color w:val="000000"/>
                <w:szCs w:val="18"/>
              </w:rPr>
            </w:pPr>
            <w:r w:rsidRPr="006F259D">
              <w:rPr>
                <w:color w:val="000000"/>
                <w:szCs w:val="18"/>
              </w:rPr>
              <w:t>2022-2023</w:t>
            </w:r>
            <w:r w:rsidR="00E279E3">
              <w:rPr>
                <w:color w:val="000000"/>
                <w:szCs w:val="18"/>
              </w:rPr>
              <w:t>*</w:t>
            </w:r>
          </w:p>
        </w:tc>
        <w:tc>
          <w:tcPr>
            <w:tcW w:w="1134" w:type="dxa"/>
            <w:noWrap/>
            <w:hideMark/>
          </w:tcPr>
          <w:p w:rsidRPr="006F259D" w:rsidR="004031E8" w:rsidP="00B137F1" w:rsidRDefault="004031E8" w14:paraId="0FA8B0D5" w14:textId="77777777">
            <w:pPr>
              <w:spacing w:line="240" w:lineRule="auto"/>
              <w:cnfStyle w:val="100000000000" w:firstRow="1" w:lastRow="0" w:firstColumn="0" w:lastColumn="0" w:oddVBand="0" w:evenVBand="0" w:oddHBand="0" w:evenHBand="0" w:firstRowFirstColumn="0" w:firstRowLastColumn="0" w:lastRowFirstColumn="0" w:lastRowLastColumn="0"/>
              <w:rPr>
                <w:color w:val="000000"/>
                <w:szCs w:val="18"/>
              </w:rPr>
            </w:pPr>
            <w:r w:rsidRPr="006F259D">
              <w:rPr>
                <w:color w:val="000000"/>
                <w:szCs w:val="18"/>
              </w:rPr>
              <w:t>2024-2025</w:t>
            </w:r>
          </w:p>
        </w:tc>
      </w:tr>
      <w:tr w:rsidRPr="006F259D" w:rsidR="004031E8" w:rsidTr="00F66C98" w14:paraId="79921835"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4031E8" w:rsidP="00B137F1" w:rsidRDefault="004031E8" w14:paraId="3DE048C0" w14:textId="77777777">
            <w:pPr>
              <w:spacing w:line="240" w:lineRule="auto"/>
              <w:rPr>
                <w:b w:val="0"/>
                <w:bCs w:val="0"/>
                <w:color w:val="000000"/>
                <w:szCs w:val="18"/>
              </w:rPr>
            </w:pPr>
            <w:r w:rsidRPr="00D235CF">
              <w:rPr>
                <w:b w:val="0"/>
                <w:bCs w:val="0"/>
                <w:color w:val="000000"/>
                <w:szCs w:val="18"/>
              </w:rPr>
              <w:t>Vermoeid zonder reden</w:t>
            </w:r>
          </w:p>
        </w:tc>
        <w:tc>
          <w:tcPr>
            <w:tcW w:w="1276" w:type="dxa"/>
            <w:noWrap/>
            <w:hideMark/>
          </w:tcPr>
          <w:p w:rsidRPr="006F259D" w:rsidR="004031E8" w:rsidP="00B137F1" w:rsidRDefault="004031E8" w14:paraId="6053C2F1"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szCs w:val="18"/>
              </w:rPr>
            </w:pPr>
            <w:r w:rsidRPr="006F259D">
              <w:rPr>
                <w:color w:val="000000"/>
                <w:szCs w:val="18"/>
              </w:rPr>
              <w:t>34,4%</w:t>
            </w:r>
          </w:p>
        </w:tc>
        <w:tc>
          <w:tcPr>
            <w:tcW w:w="1134" w:type="dxa"/>
            <w:noWrap/>
            <w:hideMark/>
          </w:tcPr>
          <w:p w:rsidRPr="00D235CF" w:rsidR="004031E8" w:rsidP="00B137F1" w:rsidRDefault="004031E8" w14:paraId="086A858D" w14:textId="77777777">
            <w:pPr>
              <w:spacing w:line="240" w:lineRule="auto"/>
              <w:cnfStyle w:val="000000100000" w:firstRow="0" w:lastRow="0" w:firstColumn="0" w:lastColumn="0" w:oddVBand="0" w:evenVBand="0" w:oddHBand="1" w:evenHBand="0" w:firstRowFirstColumn="0" w:firstRowLastColumn="0" w:lastRowFirstColumn="0" w:lastRowLastColumn="0"/>
              <w:rPr>
                <w:b/>
                <w:bCs/>
                <w:color w:val="000000"/>
                <w:szCs w:val="18"/>
              </w:rPr>
            </w:pPr>
            <w:r w:rsidRPr="00D235CF">
              <w:rPr>
                <w:b/>
                <w:bCs/>
                <w:color w:val="000000"/>
                <w:szCs w:val="18"/>
              </w:rPr>
              <w:t>27,6%</w:t>
            </w:r>
          </w:p>
        </w:tc>
      </w:tr>
      <w:tr w:rsidRPr="006F259D" w:rsidR="004031E8" w:rsidTr="00F66C98" w14:paraId="39286011" w14:textId="77777777">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4031E8" w:rsidP="00B137F1" w:rsidRDefault="004031E8" w14:paraId="74B7ACFA" w14:textId="77777777">
            <w:pPr>
              <w:spacing w:line="240" w:lineRule="auto"/>
              <w:rPr>
                <w:b w:val="0"/>
                <w:bCs w:val="0"/>
                <w:color w:val="000000"/>
                <w:szCs w:val="18"/>
              </w:rPr>
            </w:pPr>
            <w:r w:rsidRPr="00D235CF">
              <w:rPr>
                <w:b w:val="0"/>
                <w:bCs w:val="0"/>
                <w:color w:val="000000"/>
                <w:szCs w:val="18"/>
              </w:rPr>
              <w:t>Gevoel van minderwaardigheid</w:t>
            </w:r>
          </w:p>
        </w:tc>
        <w:tc>
          <w:tcPr>
            <w:tcW w:w="1276" w:type="dxa"/>
            <w:noWrap/>
            <w:hideMark/>
          </w:tcPr>
          <w:p w:rsidRPr="006F259D" w:rsidR="004031E8" w:rsidP="00B137F1" w:rsidRDefault="004031E8" w14:paraId="4573D93F"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szCs w:val="18"/>
              </w:rPr>
            </w:pPr>
            <w:r w:rsidRPr="006F259D">
              <w:rPr>
                <w:color w:val="000000"/>
                <w:szCs w:val="18"/>
              </w:rPr>
              <w:t>21,2%</w:t>
            </w:r>
          </w:p>
        </w:tc>
        <w:tc>
          <w:tcPr>
            <w:tcW w:w="1134" w:type="dxa"/>
            <w:noWrap/>
            <w:hideMark/>
          </w:tcPr>
          <w:p w:rsidRPr="00D235CF" w:rsidR="004031E8" w:rsidP="00B137F1" w:rsidRDefault="004031E8" w14:paraId="08622B6B" w14:textId="77777777">
            <w:pPr>
              <w:spacing w:line="240" w:lineRule="auto"/>
              <w:cnfStyle w:val="000000000000" w:firstRow="0" w:lastRow="0" w:firstColumn="0" w:lastColumn="0" w:oddVBand="0" w:evenVBand="0" w:oddHBand="0" w:evenHBand="0" w:firstRowFirstColumn="0" w:firstRowLastColumn="0" w:lastRowFirstColumn="0" w:lastRowLastColumn="0"/>
              <w:rPr>
                <w:b/>
                <w:bCs/>
                <w:color w:val="000000"/>
                <w:szCs w:val="18"/>
              </w:rPr>
            </w:pPr>
            <w:r w:rsidRPr="00D235CF">
              <w:rPr>
                <w:b/>
                <w:bCs/>
                <w:color w:val="000000"/>
                <w:szCs w:val="18"/>
              </w:rPr>
              <w:t>18,4%</w:t>
            </w:r>
          </w:p>
        </w:tc>
      </w:tr>
      <w:tr w:rsidRPr="006F259D" w:rsidR="004031E8" w:rsidTr="00F66C98" w14:paraId="183CB19C"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4031E8" w:rsidP="00B137F1" w:rsidRDefault="004031E8" w14:paraId="5CFA4EDB" w14:textId="77777777">
            <w:pPr>
              <w:spacing w:line="240" w:lineRule="auto"/>
              <w:rPr>
                <w:b w:val="0"/>
                <w:bCs w:val="0"/>
                <w:color w:val="000000"/>
                <w:szCs w:val="18"/>
              </w:rPr>
            </w:pPr>
            <w:r w:rsidRPr="00D235CF">
              <w:rPr>
                <w:b w:val="0"/>
                <w:bCs w:val="0"/>
                <w:color w:val="000000"/>
                <w:szCs w:val="18"/>
              </w:rPr>
              <w:t>Sombere of depressieve gevoelens</w:t>
            </w:r>
          </w:p>
        </w:tc>
        <w:tc>
          <w:tcPr>
            <w:tcW w:w="1276" w:type="dxa"/>
            <w:noWrap/>
            <w:hideMark/>
          </w:tcPr>
          <w:p w:rsidRPr="006F259D" w:rsidR="004031E8" w:rsidP="00B137F1" w:rsidRDefault="004031E8" w14:paraId="09B009DE"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szCs w:val="18"/>
              </w:rPr>
            </w:pPr>
            <w:r w:rsidRPr="006F259D">
              <w:rPr>
                <w:color w:val="000000"/>
                <w:szCs w:val="18"/>
              </w:rPr>
              <w:t>15,3%</w:t>
            </w:r>
          </w:p>
        </w:tc>
        <w:tc>
          <w:tcPr>
            <w:tcW w:w="1134" w:type="dxa"/>
            <w:noWrap/>
            <w:hideMark/>
          </w:tcPr>
          <w:p w:rsidRPr="00D235CF" w:rsidR="004031E8" w:rsidP="00B137F1" w:rsidRDefault="004031E8" w14:paraId="4177491D" w14:textId="77777777">
            <w:pPr>
              <w:spacing w:line="240" w:lineRule="auto"/>
              <w:cnfStyle w:val="000000100000" w:firstRow="0" w:lastRow="0" w:firstColumn="0" w:lastColumn="0" w:oddVBand="0" w:evenVBand="0" w:oddHBand="1" w:evenHBand="0" w:firstRowFirstColumn="0" w:firstRowLastColumn="0" w:lastRowFirstColumn="0" w:lastRowLastColumn="0"/>
              <w:rPr>
                <w:b/>
                <w:bCs/>
                <w:color w:val="000000"/>
                <w:szCs w:val="18"/>
              </w:rPr>
            </w:pPr>
            <w:r w:rsidRPr="00D235CF">
              <w:rPr>
                <w:b/>
                <w:bCs/>
                <w:color w:val="000000"/>
                <w:szCs w:val="18"/>
              </w:rPr>
              <w:t>12,1%</w:t>
            </w:r>
          </w:p>
        </w:tc>
      </w:tr>
      <w:tr w:rsidRPr="006F259D" w:rsidR="004031E8" w:rsidTr="00F66C98" w14:paraId="754CDCA8" w14:textId="77777777">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4031E8" w:rsidP="00B137F1" w:rsidRDefault="004031E8" w14:paraId="6B765981" w14:textId="77777777">
            <w:pPr>
              <w:spacing w:line="240" w:lineRule="auto"/>
              <w:rPr>
                <w:b w:val="0"/>
                <w:bCs w:val="0"/>
                <w:color w:val="000000"/>
                <w:szCs w:val="18"/>
              </w:rPr>
            </w:pPr>
            <w:r w:rsidRPr="00D235CF">
              <w:rPr>
                <w:b w:val="0"/>
                <w:bCs w:val="0"/>
                <w:color w:val="000000"/>
                <w:szCs w:val="18"/>
              </w:rPr>
              <w:t xml:space="preserve">Serieuze gedachten om een einde aan het leven te maken </w:t>
            </w:r>
          </w:p>
        </w:tc>
        <w:tc>
          <w:tcPr>
            <w:tcW w:w="1276" w:type="dxa"/>
            <w:noWrap/>
            <w:hideMark/>
          </w:tcPr>
          <w:p w:rsidRPr="00F8279C" w:rsidR="004031E8" w:rsidP="00B137F1" w:rsidRDefault="004031E8" w14:paraId="36548DAB"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szCs w:val="18"/>
              </w:rPr>
            </w:pPr>
            <w:r w:rsidRPr="00F8279C">
              <w:rPr>
                <w:color w:val="000000"/>
                <w:szCs w:val="18"/>
              </w:rPr>
              <w:t>4,3%</w:t>
            </w:r>
          </w:p>
        </w:tc>
        <w:tc>
          <w:tcPr>
            <w:tcW w:w="1134" w:type="dxa"/>
            <w:noWrap/>
            <w:hideMark/>
          </w:tcPr>
          <w:p w:rsidRPr="00D235CF" w:rsidR="004031E8" w:rsidP="00B137F1" w:rsidRDefault="004031E8" w14:paraId="64CBB0DC" w14:textId="77777777">
            <w:pPr>
              <w:spacing w:line="240" w:lineRule="auto"/>
              <w:cnfStyle w:val="000000000000" w:firstRow="0" w:lastRow="0" w:firstColumn="0" w:lastColumn="0" w:oddVBand="0" w:evenVBand="0" w:oddHBand="0" w:evenHBand="0" w:firstRowFirstColumn="0" w:firstRowLastColumn="0" w:lastRowFirstColumn="0" w:lastRowLastColumn="0"/>
              <w:rPr>
                <w:b/>
                <w:bCs/>
                <w:color w:val="000000"/>
                <w:szCs w:val="18"/>
              </w:rPr>
            </w:pPr>
            <w:r w:rsidRPr="00D235CF">
              <w:rPr>
                <w:b/>
                <w:bCs/>
                <w:color w:val="000000"/>
                <w:szCs w:val="18"/>
              </w:rPr>
              <w:t>3,8%</w:t>
            </w:r>
          </w:p>
        </w:tc>
      </w:tr>
      <w:tr w:rsidRPr="006F259D" w:rsidR="004031E8" w:rsidTr="00F66C98" w14:paraId="61A86341"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4031E8" w:rsidP="00B137F1" w:rsidRDefault="004031E8" w14:paraId="20BA1916" w14:textId="77777777">
            <w:pPr>
              <w:spacing w:line="240" w:lineRule="auto"/>
              <w:rPr>
                <w:b w:val="0"/>
                <w:bCs w:val="0"/>
                <w:color w:val="000000"/>
                <w:szCs w:val="18"/>
              </w:rPr>
            </w:pPr>
            <w:r w:rsidRPr="00D235CF">
              <w:rPr>
                <w:b w:val="0"/>
                <w:bCs w:val="0"/>
                <w:color w:val="000000"/>
                <w:szCs w:val="18"/>
              </w:rPr>
              <w:t>Zelfmoordpogingen</w:t>
            </w:r>
          </w:p>
        </w:tc>
        <w:tc>
          <w:tcPr>
            <w:tcW w:w="1276" w:type="dxa"/>
            <w:noWrap/>
            <w:hideMark/>
          </w:tcPr>
          <w:p w:rsidRPr="006F259D" w:rsidR="004031E8" w:rsidP="00B137F1" w:rsidRDefault="004031E8" w14:paraId="1E6124CE"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szCs w:val="18"/>
              </w:rPr>
            </w:pPr>
            <w:r w:rsidRPr="006F259D">
              <w:rPr>
                <w:color w:val="000000"/>
                <w:szCs w:val="18"/>
              </w:rPr>
              <w:t>3,1%</w:t>
            </w:r>
          </w:p>
        </w:tc>
        <w:tc>
          <w:tcPr>
            <w:tcW w:w="1134" w:type="dxa"/>
            <w:noWrap/>
            <w:hideMark/>
          </w:tcPr>
          <w:p w:rsidRPr="00D235CF" w:rsidR="004031E8" w:rsidP="00B137F1" w:rsidRDefault="004031E8" w14:paraId="0FCDB513" w14:textId="77777777">
            <w:pPr>
              <w:spacing w:line="240" w:lineRule="auto"/>
              <w:cnfStyle w:val="000000100000" w:firstRow="0" w:lastRow="0" w:firstColumn="0" w:lastColumn="0" w:oddVBand="0" w:evenVBand="0" w:oddHBand="1" w:evenHBand="0" w:firstRowFirstColumn="0" w:firstRowLastColumn="0" w:lastRowFirstColumn="0" w:lastRowLastColumn="0"/>
              <w:rPr>
                <w:b/>
                <w:bCs/>
                <w:color w:val="000000"/>
                <w:szCs w:val="18"/>
              </w:rPr>
            </w:pPr>
            <w:r w:rsidRPr="00D235CF">
              <w:rPr>
                <w:b/>
                <w:bCs/>
                <w:color w:val="000000"/>
                <w:szCs w:val="18"/>
              </w:rPr>
              <w:t>2,9%</w:t>
            </w:r>
          </w:p>
        </w:tc>
      </w:tr>
    </w:tbl>
    <w:p w:rsidRPr="008506E9" w:rsidR="004031E8" w:rsidP="004031E8" w:rsidRDefault="00E279E3" w14:paraId="13F4AE26" w14:textId="7C47A74B">
      <w:pPr>
        <w:rPr>
          <w:sz w:val="13"/>
          <w:szCs w:val="13"/>
        </w:rPr>
      </w:pPr>
      <w:r w:rsidRPr="008506E9">
        <w:rPr>
          <w:sz w:val="13"/>
          <w:szCs w:val="13"/>
        </w:rPr>
        <w:t>*De cijfers uit 2022-2023 komen uit de Landelijke mbo-leefstijlmonitor</w:t>
      </w:r>
    </w:p>
    <w:p w:rsidR="00E279E3" w:rsidP="004031E8" w:rsidRDefault="00E279E3" w14:paraId="5BD26291" w14:textId="77777777"/>
    <w:p w:rsidR="004031E8" w:rsidP="004031E8" w:rsidRDefault="004031E8" w14:paraId="2CC9B31C" w14:textId="35BE4ABA">
      <w:r>
        <w:t xml:space="preserve">Zoals in tabel </w:t>
      </w:r>
      <w:r w:rsidR="00753048">
        <w:t>3</w:t>
      </w:r>
      <w:r>
        <w:t xml:space="preserve"> is te zien, is </w:t>
      </w:r>
      <w:r w:rsidR="00E279E3">
        <w:t>de mentale gezondheid van mbo-studenten</w:t>
      </w:r>
      <w:r w:rsidR="009A3503">
        <w:t xml:space="preserve"> over de gehele linie</w:t>
      </w:r>
      <w:r>
        <w:t xml:space="preserve"> </w:t>
      </w:r>
      <w:r w:rsidR="00E279E3">
        <w:t xml:space="preserve">verbeterd. </w:t>
      </w:r>
      <w:r>
        <w:t>Daarmee is het beeld bij deze studenten iets beter dan bij het RIVM-onderzoek onder alle jongeren</w:t>
      </w:r>
      <w:r>
        <w:rPr>
          <w:rStyle w:val="Voetnootmarkering"/>
        </w:rPr>
        <w:footnoteReference w:id="3"/>
      </w:r>
      <w:r>
        <w:t xml:space="preserve">. </w:t>
      </w:r>
      <w:r w:rsidRPr="006F259D">
        <w:t xml:space="preserve">Hoewel de cijfers van </w:t>
      </w:r>
      <w:proofErr w:type="spellStart"/>
      <w:r>
        <w:t>TestJeLeefstijl</w:t>
      </w:r>
      <w:proofErr w:type="spellEnd"/>
      <w:r w:rsidRPr="006F259D">
        <w:t xml:space="preserve"> vanwege verschillen in meetmethodiek niet direct vergelijkbaar zijn met landelijke gegevens, schetsen beide bronnen een overeenkomstig beeld</w:t>
      </w:r>
      <w:r>
        <w:t xml:space="preserve">. </w:t>
      </w:r>
    </w:p>
    <w:p w:rsidR="0098345B" w:rsidP="004031E8" w:rsidRDefault="0098345B" w14:paraId="50BC6287" w14:textId="77777777"/>
    <w:p w:rsidR="0098345B" w:rsidP="004031E8" w:rsidRDefault="0098345B" w14:paraId="0396AAC0" w14:textId="7DDA254B">
      <w:r>
        <w:t xml:space="preserve">Onderstaande tabel 4 toont de cijfers middelengebruik van mbo-studenten uit het rapport van </w:t>
      </w:r>
      <w:proofErr w:type="spellStart"/>
      <w:r>
        <w:t>TestJeLeefstijl</w:t>
      </w:r>
      <w:proofErr w:type="spellEnd"/>
      <w:r>
        <w:t xml:space="preserve">. </w:t>
      </w:r>
    </w:p>
    <w:p w:rsidRPr="000136E1" w:rsidR="004031E8" w:rsidP="00687511" w:rsidRDefault="004031E8" w14:paraId="6EB9A605" w14:textId="77777777"/>
    <w:p w:rsidR="00F66C98" w:rsidP="00687511" w:rsidRDefault="00F66C98" w14:paraId="5674CA30" w14:textId="77777777"/>
    <w:p w:rsidR="00F66C98" w:rsidP="00687511" w:rsidRDefault="00F66C98" w14:paraId="216D1555" w14:textId="77777777"/>
    <w:p w:rsidRPr="00D235CF" w:rsidR="007F3565" w:rsidP="00687511" w:rsidRDefault="007F3565" w14:paraId="2AA7F5F8" w14:textId="66713E3A">
      <w:r w:rsidRPr="00D235CF">
        <w:t>Tabel 4</w:t>
      </w:r>
    </w:p>
    <w:tbl>
      <w:tblPr>
        <w:tblStyle w:val="Onopgemaaktetabel1"/>
        <w:tblW w:w="7508" w:type="dxa"/>
        <w:tblLook w:val="04A0" w:firstRow="1" w:lastRow="0" w:firstColumn="1" w:lastColumn="0" w:noHBand="0" w:noVBand="1"/>
      </w:tblPr>
      <w:tblGrid>
        <w:gridCol w:w="3386"/>
        <w:gridCol w:w="2101"/>
        <w:gridCol w:w="2021"/>
      </w:tblGrid>
      <w:tr w:rsidRPr="007F3565" w:rsidR="007F3565" w:rsidTr="00F66C98" w14:paraId="3D8D6903"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7F3565" w:rsidR="007F3565" w:rsidP="007F3565" w:rsidRDefault="001F5D8D" w14:paraId="0A839221" w14:textId="4A434A01">
            <w:pPr>
              <w:spacing w:line="240" w:lineRule="auto"/>
              <w:rPr>
                <w:color w:val="000000"/>
                <w:szCs w:val="18"/>
              </w:rPr>
            </w:pPr>
            <w:r>
              <w:rPr>
                <w:color w:val="000000"/>
                <w:szCs w:val="18"/>
              </w:rPr>
              <w:t>Middelengebruik</w:t>
            </w:r>
            <w:r w:rsidRPr="007F3565" w:rsidR="007F3565">
              <w:rPr>
                <w:color w:val="000000"/>
                <w:szCs w:val="18"/>
              </w:rPr>
              <w:t xml:space="preserve"> van studenten in het mbo die gebruik hebben gemaakt van </w:t>
            </w:r>
            <w:proofErr w:type="spellStart"/>
            <w:r w:rsidRPr="007F3565" w:rsidR="007F3565">
              <w:rPr>
                <w:color w:val="000000"/>
                <w:szCs w:val="18"/>
              </w:rPr>
              <w:t>TestJeLeefstijl</w:t>
            </w:r>
            <w:proofErr w:type="spellEnd"/>
          </w:p>
        </w:tc>
        <w:tc>
          <w:tcPr>
            <w:tcW w:w="1179" w:type="dxa"/>
            <w:noWrap/>
            <w:hideMark/>
          </w:tcPr>
          <w:p w:rsidRPr="007F3565" w:rsidR="007F3565" w:rsidP="007F3565" w:rsidRDefault="007F3565" w14:paraId="7489A160" w14:textId="77777777">
            <w:pPr>
              <w:spacing w:line="240" w:lineRule="auto"/>
              <w:cnfStyle w:val="100000000000" w:firstRow="1" w:lastRow="0" w:firstColumn="0" w:lastColumn="0" w:oddVBand="0" w:evenVBand="0" w:oddHBand="0" w:evenHBand="0" w:firstRowFirstColumn="0" w:firstRowLastColumn="0" w:lastRowFirstColumn="0" w:lastRowLastColumn="0"/>
              <w:rPr>
                <w:color w:val="000000"/>
                <w:szCs w:val="18"/>
              </w:rPr>
            </w:pPr>
            <w:r w:rsidRPr="007F3565">
              <w:rPr>
                <w:color w:val="000000"/>
                <w:szCs w:val="18"/>
              </w:rPr>
              <w:t>2022-2023</w:t>
            </w:r>
          </w:p>
        </w:tc>
        <w:tc>
          <w:tcPr>
            <w:tcW w:w="1134" w:type="dxa"/>
            <w:noWrap/>
            <w:hideMark/>
          </w:tcPr>
          <w:p w:rsidRPr="007F3565" w:rsidR="007F3565" w:rsidP="007F3565" w:rsidRDefault="007F3565" w14:paraId="5F00D237" w14:textId="77777777">
            <w:pPr>
              <w:spacing w:line="240" w:lineRule="auto"/>
              <w:cnfStyle w:val="100000000000" w:firstRow="1" w:lastRow="0" w:firstColumn="0" w:lastColumn="0" w:oddVBand="0" w:evenVBand="0" w:oddHBand="0" w:evenHBand="0" w:firstRowFirstColumn="0" w:firstRowLastColumn="0" w:lastRowFirstColumn="0" w:lastRowLastColumn="0"/>
              <w:rPr>
                <w:color w:val="000000"/>
                <w:szCs w:val="18"/>
              </w:rPr>
            </w:pPr>
            <w:r w:rsidRPr="007F3565">
              <w:rPr>
                <w:color w:val="000000"/>
                <w:szCs w:val="18"/>
              </w:rPr>
              <w:t>2024-2025</w:t>
            </w:r>
          </w:p>
        </w:tc>
      </w:tr>
      <w:tr w:rsidRPr="007F3565" w:rsidR="007F3565" w:rsidTr="00F66C98" w14:paraId="12B04C84"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7F3565" w:rsidP="007F3565" w:rsidRDefault="007F3565" w14:paraId="75027A8B" w14:textId="77777777">
            <w:pPr>
              <w:spacing w:line="240" w:lineRule="auto"/>
              <w:rPr>
                <w:b w:val="0"/>
                <w:bCs w:val="0"/>
                <w:color w:val="000000"/>
                <w:szCs w:val="18"/>
              </w:rPr>
            </w:pPr>
            <w:r w:rsidRPr="00D235CF">
              <w:rPr>
                <w:b w:val="0"/>
                <w:bCs w:val="0"/>
                <w:color w:val="000000"/>
                <w:szCs w:val="18"/>
              </w:rPr>
              <w:t>Dagelijks roken</w:t>
            </w:r>
          </w:p>
        </w:tc>
        <w:tc>
          <w:tcPr>
            <w:tcW w:w="1179" w:type="dxa"/>
            <w:noWrap/>
            <w:hideMark/>
          </w:tcPr>
          <w:p w:rsidRPr="007F3565" w:rsidR="007F3565" w:rsidP="007F3565" w:rsidRDefault="007F3565" w14:paraId="7B241A42"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szCs w:val="18"/>
              </w:rPr>
            </w:pPr>
            <w:r w:rsidRPr="007F3565">
              <w:rPr>
                <w:color w:val="000000"/>
                <w:szCs w:val="18"/>
              </w:rPr>
              <w:t>14,5%</w:t>
            </w:r>
          </w:p>
        </w:tc>
        <w:tc>
          <w:tcPr>
            <w:tcW w:w="1134" w:type="dxa"/>
            <w:noWrap/>
            <w:hideMark/>
          </w:tcPr>
          <w:p w:rsidRPr="00D235CF" w:rsidR="007F3565" w:rsidP="007F3565" w:rsidRDefault="007F3565" w14:paraId="3310483E" w14:textId="77777777">
            <w:pPr>
              <w:spacing w:line="240" w:lineRule="auto"/>
              <w:cnfStyle w:val="000000100000" w:firstRow="0" w:lastRow="0" w:firstColumn="0" w:lastColumn="0" w:oddVBand="0" w:evenVBand="0" w:oddHBand="1" w:evenHBand="0" w:firstRowFirstColumn="0" w:firstRowLastColumn="0" w:lastRowFirstColumn="0" w:lastRowLastColumn="0"/>
              <w:rPr>
                <w:b/>
                <w:bCs/>
                <w:color w:val="000000"/>
                <w:szCs w:val="18"/>
              </w:rPr>
            </w:pPr>
            <w:r w:rsidRPr="00D235CF">
              <w:rPr>
                <w:b/>
                <w:bCs/>
                <w:color w:val="000000"/>
                <w:szCs w:val="18"/>
              </w:rPr>
              <w:t>16,1%</w:t>
            </w:r>
          </w:p>
        </w:tc>
      </w:tr>
      <w:tr w:rsidRPr="007F3565" w:rsidR="007F3565" w:rsidTr="00F66C98" w14:paraId="505DC05C" w14:textId="77777777">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7F3565" w:rsidP="007F3565" w:rsidRDefault="007F3565" w14:paraId="10741D34" w14:textId="77777777">
            <w:pPr>
              <w:spacing w:line="240" w:lineRule="auto"/>
              <w:rPr>
                <w:b w:val="0"/>
                <w:bCs w:val="0"/>
                <w:color w:val="000000"/>
                <w:szCs w:val="18"/>
              </w:rPr>
            </w:pPr>
            <w:r w:rsidRPr="00D235CF">
              <w:rPr>
                <w:b w:val="0"/>
                <w:bCs w:val="0"/>
                <w:color w:val="000000"/>
                <w:szCs w:val="18"/>
              </w:rPr>
              <w:t xml:space="preserve">Dagelijks </w:t>
            </w:r>
            <w:proofErr w:type="spellStart"/>
            <w:r w:rsidRPr="00D235CF">
              <w:rPr>
                <w:b w:val="0"/>
                <w:bCs w:val="0"/>
                <w:color w:val="000000"/>
                <w:szCs w:val="18"/>
              </w:rPr>
              <w:t>vapen</w:t>
            </w:r>
            <w:proofErr w:type="spellEnd"/>
            <w:r w:rsidRPr="00D235CF">
              <w:rPr>
                <w:b w:val="0"/>
                <w:bCs w:val="0"/>
                <w:color w:val="000000"/>
                <w:szCs w:val="18"/>
              </w:rPr>
              <w:t xml:space="preserve"> of e-sigaret gebruiken</w:t>
            </w:r>
          </w:p>
        </w:tc>
        <w:tc>
          <w:tcPr>
            <w:tcW w:w="1179" w:type="dxa"/>
            <w:noWrap/>
            <w:hideMark/>
          </w:tcPr>
          <w:p w:rsidRPr="007F3565" w:rsidR="007F3565" w:rsidP="007F3565" w:rsidRDefault="007F3565" w14:paraId="5190FEAD"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szCs w:val="18"/>
              </w:rPr>
            </w:pPr>
            <w:r w:rsidRPr="007F3565">
              <w:rPr>
                <w:color w:val="000000"/>
                <w:szCs w:val="18"/>
              </w:rPr>
              <w:t>6,2%</w:t>
            </w:r>
          </w:p>
        </w:tc>
        <w:tc>
          <w:tcPr>
            <w:tcW w:w="1134" w:type="dxa"/>
            <w:noWrap/>
            <w:hideMark/>
          </w:tcPr>
          <w:p w:rsidRPr="00D235CF" w:rsidR="007F3565" w:rsidP="007F3565" w:rsidRDefault="007F3565" w14:paraId="428701D2" w14:textId="77777777">
            <w:pPr>
              <w:spacing w:line="240" w:lineRule="auto"/>
              <w:cnfStyle w:val="000000000000" w:firstRow="0" w:lastRow="0" w:firstColumn="0" w:lastColumn="0" w:oddVBand="0" w:evenVBand="0" w:oddHBand="0" w:evenHBand="0" w:firstRowFirstColumn="0" w:firstRowLastColumn="0" w:lastRowFirstColumn="0" w:lastRowLastColumn="0"/>
              <w:rPr>
                <w:b/>
                <w:bCs/>
                <w:color w:val="000000"/>
                <w:szCs w:val="18"/>
              </w:rPr>
            </w:pPr>
            <w:r w:rsidRPr="00D235CF">
              <w:rPr>
                <w:b/>
                <w:bCs/>
                <w:color w:val="000000"/>
                <w:szCs w:val="18"/>
              </w:rPr>
              <w:t>9,9%</w:t>
            </w:r>
          </w:p>
        </w:tc>
      </w:tr>
      <w:tr w:rsidRPr="007F3565" w:rsidR="007F3565" w:rsidTr="00F66C98" w14:paraId="6F680EA8"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7F3565" w:rsidP="007F3565" w:rsidRDefault="00F8279C" w14:paraId="37A978EA" w14:textId="127AE820">
            <w:pPr>
              <w:spacing w:line="240" w:lineRule="auto"/>
              <w:rPr>
                <w:b w:val="0"/>
                <w:bCs w:val="0"/>
                <w:color w:val="000000"/>
                <w:szCs w:val="18"/>
              </w:rPr>
            </w:pPr>
            <w:r w:rsidRPr="00D235CF">
              <w:rPr>
                <w:b w:val="0"/>
                <w:bCs w:val="0"/>
                <w:color w:val="000000"/>
                <w:szCs w:val="18"/>
              </w:rPr>
              <w:t xml:space="preserve">Meer dan 5 glazen </w:t>
            </w:r>
            <w:r w:rsidRPr="00D235CF" w:rsidR="00CC2B34">
              <w:rPr>
                <w:b w:val="0"/>
                <w:bCs w:val="0"/>
                <w:color w:val="000000"/>
                <w:szCs w:val="18"/>
              </w:rPr>
              <w:t>alcohol drinken</w:t>
            </w:r>
          </w:p>
        </w:tc>
        <w:tc>
          <w:tcPr>
            <w:tcW w:w="1179" w:type="dxa"/>
            <w:noWrap/>
            <w:hideMark/>
          </w:tcPr>
          <w:p w:rsidRPr="007F3565" w:rsidR="007F3565" w:rsidP="007F3565" w:rsidRDefault="00F8279C" w14:paraId="7B908DA2" w14:textId="1027CC59">
            <w:pPr>
              <w:spacing w:line="240" w:lineRule="auto"/>
              <w:cnfStyle w:val="000000100000" w:firstRow="0" w:lastRow="0" w:firstColumn="0" w:lastColumn="0" w:oddVBand="0" w:evenVBand="0" w:oddHBand="1" w:evenHBand="0" w:firstRowFirstColumn="0" w:firstRowLastColumn="0" w:lastRowFirstColumn="0" w:lastRowLastColumn="0"/>
              <w:rPr>
                <w:color w:val="000000"/>
                <w:szCs w:val="18"/>
              </w:rPr>
            </w:pPr>
            <w:r>
              <w:rPr>
                <w:color w:val="000000"/>
                <w:szCs w:val="18"/>
              </w:rPr>
              <w:t>27,1%</w:t>
            </w:r>
          </w:p>
        </w:tc>
        <w:tc>
          <w:tcPr>
            <w:tcW w:w="1134" w:type="dxa"/>
            <w:noWrap/>
            <w:hideMark/>
          </w:tcPr>
          <w:p w:rsidRPr="00D235CF" w:rsidR="007F3565" w:rsidP="007F3565" w:rsidRDefault="00F8279C" w14:paraId="73967DE1" w14:textId="61D73910">
            <w:pPr>
              <w:spacing w:line="240" w:lineRule="auto"/>
              <w:cnfStyle w:val="000000100000" w:firstRow="0" w:lastRow="0" w:firstColumn="0" w:lastColumn="0" w:oddVBand="0" w:evenVBand="0" w:oddHBand="1" w:evenHBand="0" w:firstRowFirstColumn="0" w:firstRowLastColumn="0" w:lastRowFirstColumn="0" w:lastRowLastColumn="0"/>
              <w:rPr>
                <w:b/>
                <w:bCs/>
                <w:color w:val="000000"/>
                <w:szCs w:val="18"/>
              </w:rPr>
            </w:pPr>
            <w:r w:rsidRPr="00D235CF">
              <w:rPr>
                <w:b/>
                <w:bCs/>
                <w:color w:val="000000"/>
                <w:szCs w:val="18"/>
              </w:rPr>
              <w:t>25,4</w:t>
            </w:r>
            <w:r w:rsidRPr="00D235CF" w:rsidR="00CC2B34">
              <w:rPr>
                <w:b/>
                <w:bCs/>
                <w:color w:val="000000"/>
                <w:szCs w:val="18"/>
              </w:rPr>
              <w:t>%</w:t>
            </w:r>
          </w:p>
        </w:tc>
      </w:tr>
      <w:tr w:rsidRPr="007F3565" w:rsidR="007F3565" w:rsidTr="00F66C98" w14:paraId="0AB53A67" w14:textId="77777777">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rsidRPr="00D235CF" w:rsidR="007F3565" w:rsidP="007F3565" w:rsidRDefault="007F3565" w14:paraId="1636D285" w14:textId="51E2764A">
            <w:pPr>
              <w:spacing w:line="240" w:lineRule="auto"/>
              <w:rPr>
                <w:b w:val="0"/>
                <w:bCs w:val="0"/>
                <w:color w:val="000000"/>
                <w:szCs w:val="18"/>
              </w:rPr>
            </w:pPr>
            <w:r w:rsidRPr="00D235CF">
              <w:rPr>
                <w:b w:val="0"/>
                <w:bCs w:val="0"/>
                <w:color w:val="000000"/>
                <w:szCs w:val="18"/>
              </w:rPr>
              <w:t>Wel een</w:t>
            </w:r>
            <w:r w:rsidRPr="00D235CF" w:rsidR="00EC6A20">
              <w:rPr>
                <w:b w:val="0"/>
                <w:bCs w:val="0"/>
                <w:color w:val="000000"/>
                <w:szCs w:val="18"/>
              </w:rPr>
              <w:t>s</w:t>
            </w:r>
            <w:r w:rsidRPr="00D235CF">
              <w:rPr>
                <w:b w:val="0"/>
                <w:bCs w:val="0"/>
                <w:color w:val="000000"/>
                <w:szCs w:val="18"/>
              </w:rPr>
              <w:t xml:space="preserve"> drugs gebruiken</w:t>
            </w:r>
          </w:p>
        </w:tc>
        <w:tc>
          <w:tcPr>
            <w:tcW w:w="1179" w:type="dxa"/>
            <w:noWrap/>
            <w:hideMark/>
          </w:tcPr>
          <w:p w:rsidRPr="007F3565" w:rsidR="007F3565" w:rsidP="007F3565" w:rsidRDefault="00F8279C" w14:paraId="5037045E" w14:textId="73CC5D4C">
            <w:pPr>
              <w:spacing w:line="240" w:lineRule="auto"/>
              <w:cnfStyle w:val="000000000000" w:firstRow="0" w:lastRow="0" w:firstColumn="0" w:lastColumn="0" w:oddVBand="0" w:evenVBand="0" w:oddHBand="0" w:evenHBand="0" w:firstRowFirstColumn="0" w:firstRowLastColumn="0" w:lastRowFirstColumn="0" w:lastRowLastColumn="0"/>
              <w:rPr>
                <w:color w:val="000000"/>
                <w:szCs w:val="18"/>
              </w:rPr>
            </w:pPr>
            <w:r>
              <w:rPr>
                <w:color w:val="000000"/>
                <w:szCs w:val="18"/>
              </w:rPr>
              <w:t>32,6%</w:t>
            </w:r>
          </w:p>
        </w:tc>
        <w:tc>
          <w:tcPr>
            <w:tcW w:w="1134" w:type="dxa"/>
            <w:noWrap/>
            <w:hideMark/>
          </w:tcPr>
          <w:p w:rsidRPr="00D235CF" w:rsidR="007F3565" w:rsidP="007F3565" w:rsidRDefault="00F8279C" w14:paraId="69AF71FF" w14:textId="022434C2">
            <w:pPr>
              <w:spacing w:line="240" w:lineRule="auto"/>
              <w:cnfStyle w:val="000000000000" w:firstRow="0" w:lastRow="0" w:firstColumn="0" w:lastColumn="0" w:oddVBand="0" w:evenVBand="0" w:oddHBand="0" w:evenHBand="0" w:firstRowFirstColumn="0" w:firstRowLastColumn="0" w:lastRowFirstColumn="0" w:lastRowLastColumn="0"/>
              <w:rPr>
                <w:b/>
                <w:bCs/>
                <w:color w:val="000000"/>
                <w:szCs w:val="18"/>
              </w:rPr>
            </w:pPr>
            <w:r w:rsidRPr="00D235CF">
              <w:rPr>
                <w:b/>
                <w:bCs/>
                <w:color w:val="000000"/>
                <w:szCs w:val="18"/>
              </w:rPr>
              <w:t>25,4</w:t>
            </w:r>
            <w:r w:rsidRPr="00D235CF" w:rsidR="007F3565">
              <w:rPr>
                <w:b/>
                <w:bCs/>
                <w:color w:val="000000"/>
                <w:szCs w:val="18"/>
              </w:rPr>
              <w:t>%</w:t>
            </w:r>
          </w:p>
        </w:tc>
      </w:tr>
    </w:tbl>
    <w:p w:rsidR="007F3565" w:rsidP="00687511" w:rsidRDefault="007F3565" w14:paraId="14E501C8" w14:textId="318BF772"/>
    <w:p w:rsidR="005801C4" w:rsidP="00687511" w:rsidRDefault="007F3565" w14:paraId="57FEA96F" w14:textId="28B17DBF">
      <w:r>
        <w:t xml:space="preserve">Wat betreft het middelengebruik onder mbo-studenten, zien we in tabel 4 voor roken, </w:t>
      </w:r>
      <w:proofErr w:type="spellStart"/>
      <w:r>
        <w:t>vapen</w:t>
      </w:r>
      <w:proofErr w:type="spellEnd"/>
      <w:r>
        <w:t xml:space="preserve"> of het gebruik van een e-sigaret een stijging. </w:t>
      </w:r>
      <w:r w:rsidR="00C36D90">
        <w:t>De stijging komt voor roken</w:t>
      </w:r>
      <w:r>
        <w:t xml:space="preserve"> overeen met bevind</w:t>
      </w:r>
      <w:r w:rsidR="00C36D90">
        <w:t>inge</w:t>
      </w:r>
      <w:r>
        <w:t xml:space="preserve">n uit de Nationale </w:t>
      </w:r>
      <w:r w:rsidR="00C36D90">
        <w:t>Drug Monitor</w:t>
      </w:r>
      <w:r w:rsidR="00C36D90">
        <w:rPr>
          <w:rStyle w:val="Voetnootmarkering"/>
        </w:rPr>
        <w:footnoteReference w:id="4"/>
      </w:r>
      <w:r>
        <w:t xml:space="preserve">. </w:t>
      </w:r>
      <w:r w:rsidR="00C36D90">
        <w:t>Voor alcohol</w:t>
      </w:r>
      <w:r w:rsidR="001F5D8D">
        <w:t xml:space="preserve">gebruik is er een </w:t>
      </w:r>
      <w:r w:rsidR="002C6B80">
        <w:t>lichte daling te zien van het aantal studenten dat</w:t>
      </w:r>
      <w:r w:rsidR="00D610A7">
        <w:t xml:space="preserve"> wekelijks</w:t>
      </w:r>
      <w:r w:rsidR="002C6B80">
        <w:t xml:space="preserve"> </w:t>
      </w:r>
      <w:r w:rsidR="00EC6A20">
        <w:t xml:space="preserve">meer dan 5 glazen alcohol drinkt op </w:t>
      </w:r>
      <w:r w:rsidR="00D610A7">
        <w:t>éé</w:t>
      </w:r>
      <w:r w:rsidR="00EC6A20">
        <w:t>n dag</w:t>
      </w:r>
      <w:r w:rsidR="00C36D90">
        <w:t>. Er blijkt een duidelijke relatie tussen het opleidingsniveau en alcoholgebruik in het mbo: hoe hoger het opleidingsniveau, hoe vaker mbo-studenten aangeven alcohol te drinken.</w:t>
      </w:r>
      <w:r w:rsidR="001F5D8D">
        <w:t xml:space="preserve"> Het overig middelengebruik lijkt af te nemen. </w:t>
      </w:r>
    </w:p>
    <w:p w:rsidR="005801C4" w:rsidP="00687511" w:rsidRDefault="005801C4" w14:paraId="1D532CD8" w14:textId="77777777"/>
    <w:p w:rsidRPr="000A7914" w:rsidR="00564488" w:rsidP="00564488" w:rsidRDefault="00564488" w14:paraId="65F8C5D3" w14:textId="77777777">
      <w:pPr>
        <w:rPr>
          <w:b/>
          <w:bCs/>
        </w:rPr>
      </w:pPr>
      <w:r w:rsidRPr="000A7914">
        <w:rPr>
          <w:b/>
          <w:bCs/>
        </w:rPr>
        <w:t xml:space="preserve">Lopend beleid lijkt zijn vruchten af te werpen </w:t>
      </w:r>
    </w:p>
    <w:p w:rsidR="00564488" w:rsidP="00564488" w:rsidRDefault="00564488" w14:paraId="13CA28E4" w14:textId="6D4CC4A5">
      <w:r>
        <w:t xml:space="preserve">De afgelopen jaren is er onverminderd aandacht geweest voor de mentale druk </w:t>
      </w:r>
      <w:r w:rsidR="0098345B">
        <w:t xml:space="preserve">die </w:t>
      </w:r>
      <w:r>
        <w:t>studenten</w:t>
      </w:r>
      <w:r w:rsidR="0098345B">
        <w:t xml:space="preserve"> ervaren</w:t>
      </w:r>
      <w:r>
        <w:t xml:space="preserve"> in het vervolgonderwijs. Die druk is niet alleen te vinden in het onderwijs, maar in de gehele maatschappij, zo laat ook een recent rapport zien van de Raad van Volksgezondheid en Samenleving</w:t>
      </w:r>
      <w:r>
        <w:rPr>
          <w:rStyle w:val="Voetnootmarkering"/>
        </w:rPr>
        <w:footnoteReference w:id="5"/>
      </w:r>
      <w:r>
        <w:t xml:space="preserve">. </w:t>
      </w:r>
      <w:r w:rsidR="0071565C">
        <w:t xml:space="preserve">Eind dit jaar ontvangt uw Kamer het Actieprogramma mentale gezondheid en ggz met de inzet op het versterken van mentale veerkracht van alle jongeren. Inzet specifiek op studenten blijft </w:t>
      </w:r>
      <w:r w:rsidR="00D610A7">
        <w:t>daarbij nodig</w:t>
      </w:r>
      <w:r w:rsidR="0071565C">
        <w:t xml:space="preserve">. </w:t>
      </w:r>
      <w:r>
        <w:t>D</w:t>
      </w:r>
      <w:r w:rsidRPr="00DB63FE">
        <w:t xml:space="preserve">e cijfers van 2025 laten zien dat de mentale gezondheid en het middelengebruik in zijn algemeenheid verbeterd </w:t>
      </w:r>
      <w:r w:rsidR="000A7914">
        <w:t>zijn</w:t>
      </w:r>
      <w:r w:rsidRPr="00DB63FE">
        <w:t>.</w:t>
      </w:r>
      <w:r w:rsidR="0071565C">
        <w:t xml:space="preserve"> </w:t>
      </w:r>
      <w:r w:rsidR="001D193A">
        <w:t>De hele samenleving, maar zeker ook de onderwijssectoren hebben zich de afgelopen jaren al volop ingezet om het mentale welzijn van de studenten te verbeteren. Maar i</w:t>
      </w:r>
      <w:r>
        <w:t>ntegraal werken aan welzijn vergt een cultuuromslag</w:t>
      </w:r>
      <w:r w:rsidR="00AC40C8">
        <w:t xml:space="preserve"> waarbij we niet alleen aandacht hebben voor studenten die problemen ervaren, maar ook preventief werken aan het welzijn van alle studenten. D</w:t>
      </w:r>
      <w:r>
        <w:t xml:space="preserve">at heeft ook tijd nodig. Instellingen zetten veel in op activiteiten gericht op binding en </w:t>
      </w:r>
      <w:r w:rsidRPr="008506E9">
        <w:rPr>
          <w:i/>
          <w:iCs/>
        </w:rPr>
        <w:t xml:space="preserve">sense of </w:t>
      </w:r>
      <w:proofErr w:type="spellStart"/>
      <w:r w:rsidRPr="008506E9">
        <w:rPr>
          <w:i/>
          <w:iCs/>
        </w:rPr>
        <w:t>belonging</w:t>
      </w:r>
      <w:proofErr w:type="spellEnd"/>
      <w:r>
        <w:t xml:space="preserve"> (jezelf kunnen zijn en je thuis voelen), maar er valt nog veel te verbeteren als het gaat om de samenwerking op lokaal niveau met gemeenten en de zorg</w:t>
      </w:r>
      <w:r w:rsidR="00A329EA">
        <w:t>.</w:t>
      </w:r>
      <w:r w:rsidR="00AC40C8">
        <w:t xml:space="preserve"> </w:t>
      </w:r>
      <w:r w:rsidR="00A329EA">
        <w:t xml:space="preserve">Dat is een </w:t>
      </w:r>
      <w:r w:rsidR="00AC40C8">
        <w:t>van de pijlers uit het Landelijk kader studentenwelzijn</w:t>
      </w:r>
      <w:r>
        <w:t xml:space="preserve">. </w:t>
      </w:r>
      <w:r w:rsidR="007320A5">
        <w:t xml:space="preserve">113, STIJN, </w:t>
      </w:r>
      <w:proofErr w:type="spellStart"/>
      <w:r w:rsidR="007320A5">
        <w:t>MindUS</w:t>
      </w:r>
      <w:proofErr w:type="spellEnd"/>
      <w:r w:rsidR="007320A5">
        <w:t xml:space="preserve"> en studenteninitiatieven vragen veel aandacht voor suïcidepreventie. Zij verspreiden kennis en expertise op dit gebied. </w:t>
      </w:r>
      <w:r>
        <w:t>Dit thema heeft blijvende aandacht</w:t>
      </w:r>
      <w:r w:rsidR="009E0173">
        <w:t>. I</w:t>
      </w:r>
      <w:r>
        <w:t xml:space="preserve">n 2024 </w:t>
      </w:r>
      <w:r w:rsidR="00AC40C8">
        <w:t>is geïnventariseerd bij onderwijs</w:t>
      </w:r>
      <w:r>
        <w:t xml:space="preserve">instellingen </w:t>
      </w:r>
      <w:r w:rsidR="00AC40C8">
        <w:t>of zij suïcidepreventie- en nazorgbeleid hebben.</w:t>
      </w:r>
      <w:r>
        <w:t xml:space="preserve"> Naar aanleiding van de resultaten van deze monitor </w:t>
      </w:r>
      <w:r w:rsidR="00D610A7">
        <w:t xml:space="preserve">gaan </w:t>
      </w:r>
      <w:r>
        <w:t xml:space="preserve">wij wederom in </w:t>
      </w:r>
      <w:r>
        <w:lastRenderedPageBreak/>
        <w:t xml:space="preserve">gesprek met het onderwijs </w:t>
      </w:r>
      <w:r w:rsidR="00AC40C8">
        <w:t>over de huidige stand van zaken van dit beleid</w:t>
      </w:r>
      <w:r>
        <w:t>. Hiermee geven ook invulling aan de motie van de leden Ceder en Krul</w:t>
      </w:r>
      <w:r>
        <w:rPr>
          <w:rStyle w:val="Voetnootmarkering"/>
        </w:rPr>
        <w:footnoteReference w:id="6"/>
      </w:r>
      <w:r>
        <w:t xml:space="preserve">. </w:t>
      </w:r>
    </w:p>
    <w:p w:rsidR="00564488" w:rsidP="00564488" w:rsidRDefault="00564488" w14:paraId="4D8F6DB9" w14:textId="77777777"/>
    <w:p w:rsidR="000A7914" w:rsidP="006C453D" w:rsidRDefault="00564488" w14:paraId="4F38A71E" w14:textId="0D0A8BD9">
      <w:r>
        <w:t xml:space="preserve">In het hbo en wo blijven instellingen zich onverminderd inzetten voor de implementatie van het Kader Studentenwelzijn, zoals deze in 2023 samen met studentenorganisaties en het ministerie van OCW is vastgelegd. Instellingen richten zich daarbij zowel op aandacht voor goede begeleiding bij problemen, alsook op preventie. Voor deze aanpak is tot en met 2030 </w:t>
      </w:r>
      <w:r w:rsidR="0071565C">
        <w:t xml:space="preserve">€ </w:t>
      </w:r>
      <w:r>
        <w:t xml:space="preserve">15 miljoen per jaar vrijgemaakt. </w:t>
      </w:r>
      <w:r w:rsidR="006C453D">
        <w:t xml:space="preserve">In het mbo zijn in de Werkagenda, die nog tot en met 2027 loopt, afspraken vastgelegd om het welzijn van mbo-studenten te verbeteren. </w:t>
      </w:r>
    </w:p>
    <w:p w:rsidR="006C453D" w:rsidP="006C453D" w:rsidRDefault="00564488" w14:paraId="3835A9E8" w14:textId="1DD00816">
      <w:r>
        <w:t>Met het amendement van het lid Van der Graaf c.s.</w:t>
      </w:r>
      <w:r>
        <w:rPr>
          <w:rStyle w:val="Voetnootmarkering"/>
        </w:rPr>
        <w:footnoteReference w:id="7"/>
      </w:r>
      <w:r>
        <w:t xml:space="preserve"> is daarnaast nog eens en € 1 miljoen per jaar vrijgemaakt voor het ondersteuningsprogramma STIJN, dat in 2023 van start is gegaan. Dit programma</w:t>
      </w:r>
      <w:r w:rsidRPr="009E0E85">
        <w:rPr>
          <w:rFonts w:ascii="PT Sans" w:hAnsi="PT Sans"/>
          <w:color w:val="333333"/>
          <w:spacing w:val="-1"/>
          <w:sz w:val="36"/>
          <w:szCs w:val="36"/>
        </w:rPr>
        <w:t xml:space="preserve"> </w:t>
      </w:r>
      <w:r w:rsidRPr="009E0E85">
        <w:t>helpt mbo</w:t>
      </w:r>
      <w:r>
        <w:t>-</w:t>
      </w:r>
      <w:r w:rsidRPr="009E0E85">
        <w:t>, hbo</w:t>
      </w:r>
      <w:r>
        <w:t>-</w:t>
      </w:r>
      <w:r w:rsidRPr="009E0E85">
        <w:t xml:space="preserve"> en wo-instellingen, gemeenten en preventie- en zorgprofessionals om integraal te werken aan studentenwelzijn.</w:t>
      </w:r>
      <w:r>
        <w:t xml:space="preserve"> </w:t>
      </w:r>
      <w:r w:rsidR="006C453D">
        <w:t xml:space="preserve">Programma’s vanuit de Gezonde School-aanpak, zoals Helder op School, kunnen </w:t>
      </w:r>
      <w:r w:rsidR="000A7914">
        <w:t>voorts</w:t>
      </w:r>
      <w:r w:rsidR="006C453D">
        <w:t xml:space="preserve"> mbo-studenten </w:t>
      </w:r>
      <w:r w:rsidR="000A7914">
        <w:t xml:space="preserve">helpen </w:t>
      </w:r>
      <w:r w:rsidR="006C453D">
        <w:t xml:space="preserve">bewust te maken van het belang van mentale gezondheid en manieren aanreiken om hiermee om te gaan zonder toevlucht te zoeken tot alcohol of drugs. </w:t>
      </w:r>
      <w:proofErr w:type="spellStart"/>
      <w:r w:rsidR="006C453D">
        <w:t>TestJeLeefstijl</w:t>
      </w:r>
      <w:proofErr w:type="spellEnd"/>
      <w:r w:rsidR="006C453D">
        <w:t xml:space="preserve"> biedt mbo-studenten waardevolle tips hoe zij hun welzijn kunnen verbeteren. Daarnaast is het een belangrijk signaleringsinstrument waarmee scholen inzicht krijgen in welke problematiek er onder de studenten speelt, om daar vervolgens op in te spelen.</w:t>
      </w:r>
    </w:p>
    <w:p w:rsidR="00564488" w:rsidP="00564488" w:rsidRDefault="00564488" w14:paraId="1960694B" w14:textId="77777777"/>
    <w:p w:rsidR="00564488" w:rsidP="00687511" w:rsidRDefault="00564488" w14:paraId="62FB1EED" w14:textId="6AABF702">
      <w:r>
        <w:t>Voor de aanpak in het hbo en wo geldt dat er op dit moment een tussenevaluatie plaatsvindt van het Kader Studentenwelzijn, waarvan de looptijd tot 2030 is. De resultaten van de tussenevaluatie verwachten wij in het voorjaar van 2026 en word</w:t>
      </w:r>
      <w:r w:rsidR="00D610A7">
        <w:t>en</w:t>
      </w:r>
      <w:r>
        <w:t xml:space="preserve"> met uw Kamer gedeeld. Uit de evaluatie </w:t>
      </w:r>
      <w:r w:rsidR="00D610A7">
        <w:t xml:space="preserve">worden </w:t>
      </w:r>
      <w:r>
        <w:t>lessen getrokken voor het verder verbeteren en eventueel bijstellen van de aanpak.</w:t>
      </w:r>
    </w:p>
    <w:p w:rsidR="00D25E75" w:rsidP="00687511" w:rsidRDefault="00D25E75" w14:paraId="6178FB08" w14:textId="77777777"/>
    <w:p w:rsidRPr="000A7914" w:rsidR="00770702" w:rsidP="00687511" w:rsidRDefault="00770702" w14:paraId="5F396A0C" w14:textId="66EB47EC">
      <w:pPr>
        <w:rPr>
          <w:b/>
          <w:bCs/>
        </w:rPr>
      </w:pPr>
      <w:r w:rsidRPr="000A7914">
        <w:rPr>
          <w:b/>
          <w:bCs/>
        </w:rPr>
        <w:t>Aanbevelingen</w:t>
      </w:r>
    </w:p>
    <w:p w:rsidRPr="009D12AA" w:rsidR="0046315E" w:rsidP="0046315E" w:rsidRDefault="00770702" w14:paraId="6E0B39EE" w14:textId="2EF9B9BB">
      <w:pPr>
        <w:rPr>
          <w:b/>
          <w:bCs/>
        </w:rPr>
      </w:pPr>
      <w:r>
        <w:t xml:space="preserve">Beide rapporten laten zien dat </w:t>
      </w:r>
      <w:r w:rsidR="0092458E">
        <w:t>het welzijn van studenten in het vervolgonderwijs</w:t>
      </w:r>
      <w:r w:rsidR="00D610A7">
        <w:t xml:space="preserve"> zich</w:t>
      </w:r>
      <w:r w:rsidR="0092458E">
        <w:t xml:space="preserve"> </w:t>
      </w:r>
      <w:r w:rsidR="00D610A7">
        <w:t xml:space="preserve">in de </w:t>
      </w:r>
      <w:r w:rsidR="0092458E">
        <w:t xml:space="preserve">goede richting </w:t>
      </w:r>
      <w:r w:rsidR="00D610A7">
        <w:t>ontwikkelt</w:t>
      </w:r>
      <w:r w:rsidR="0092458E">
        <w:t xml:space="preserve">. Desalniettemin geven </w:t>
      </w:r>
      <w:r w:rsidR="009E0173">
        <w:t>de onderzoekers</w:t>
      </w:r>
      <w:r w:rsidR="00D610A7">
        <w:t xml:space="preserve"> </w:t>
      </w:r>
      <w:r w:rsidR="0092458E">
        <w:t>aan dat er blijvende aandacht nodig is op dit thema</w:t>
      </w:r>
      <w:r w:rsidR="003C543A">
        <w:t xml:space="preserve">, zowel in het onderwijs als in de samenleving als geheel. </w:t>
      </w:r>
      <w:r w:rsidR="00BA3286">
        <w:t>Daarnaast is het belangrijk om oog te houden voor kwetsbare groepen met een hoger risico op mentale problematiek, zoals internationale studenten en genderdiverse studenten.</w:t>
      </w:r>
      <w:r w:rsidR="0092458E">
        <w:t xml:space="preserve"> </w:t>
      </w:r>
      <w:r w:rsidR="00816339">
        <w:t>Met de eerder gemaakte afspraken zetten we e</w:t>
      </w:r>
      <w:r w:rsidR="0092458E">
        <w:t xml:space="preserve">nerzijds </w:t>
      </w:r>
      <w:r w:rsidR="00816339">
        <w:t xml:space="preserve">in </w:t>
      </w:r>
      <w:r w:rsidR="0092458E">
        <w:t>op het versterken van de persoonlijke vaardigheden van studenten</w:t>
      </w:r>
      <w:r w:rsidR="00816339">
        <w:t>, zoals mentale veerkracht,</w:t>
      </w:r>
      <w:r w:rsidR="0092458E">
        <w:t xml:space="preserve"> en anderzijds op de context waarin studenten studeren en leven. Voor het onderwijs betekent dit een goede studeerbaarheid van de opleiding</w:t>
      </w:r>
      <w:r w:rsidR="00AC40C8">
        <w:t xml:space="preserve"> (bijvoorbeeld voldoende rust tussen </w:t>
      </w:r>
      <w:proofErr w:type="spellStart"/>
      <w:r w:rsidR="00AC40C8">
        <w:t>toetsweken</w:t>
      </w:r>
      <w:proofErr w:type="spellEnd"/>
      <w:r w:rsidR="00AC40C8">
        <w:t xml:space="preserve"> in)</w:t>
      </w:r>
      <w:r w:rsidR="00816339">
        <w:t>, aandacht voor executieve functies</w:t>
      </w:r>
      <w:r w:rsidR="00AC40C8">
        <w:t xml:space="preserve"> (zoals plannen en concentreren)</w:t>
      </w:r>
      <w:r w:rsidR="0092458E">
        <w:t xml:space="preserve">, de juiste informatievoorziening en de inzet op een goede binding met de onderwijsinstelling. </w:t>
      </w:r>
      <w:r w:rsidR="00E442A7">
        <w:t xml:space="preserve">Verder blijven we werken aan het </w:t>
      </w:r>
      <w:r w:rsidR="003C543A">
        <w:t>goede</w:t>
      </w:r>
      <w:r w:rsidR="00E442A7">
        <w:t xml:space="preserve"> gesprek om de cultuur rondom middelengebruik te verbeteren</w:t>
      </w:r>
      <w:r w:rsidR="003C543A">
        <w:t xml:space="preserve"> onder studenten</w:t>
      </w:r>
      <w:r w:rsidR="00E442A7">
        <w:t xml:space="preserve">. </w:t>
      </w:r>
      <w:r w:rsidR="00772BB8">
        <w:t>Verschillende studenteninitiatieven zijn hier al goed mee bezig, daarnaast werken we samen met gemeenten, onderwijsinstellingen, studentenorganisaties en kennisinstellingen om alcohol- en middelengebruik bespreekbaar te maken, juist op de plekken waar</w:t>
      </w:r>
      <w:r w:rsidR="00D610A7">
        <w:t xml:space="preserve"> </w:t>
      </w:r>
      <w:r w:rsidR="00772BB8">
        <w:t>de gevolgen het grootst zijn.</w:t>
      </w:r>
    </w:p>
    <w:p w:rsidR="001D233F" w:rsidP="00687511" w:rsidRDefault="001D233F" w14:paraId="48113D86" w14:textId="77777777">
      <w:pPr>
        <w:rPr>
          <w:b/>
          <w:bCs/>
        </w:rPr>
      </w:pPr>
    </w:p>
    <w:p w:rsidR="00910DB7" w:rsidP="00687511" w:rsidRDefault="0018043B" w14:paraId="3B1E2D22" w14:textId="3D21784F">
      <w:pPr>
        <w:rPr>
          <w:b/>
          <w:bCs/>
        </w:rPr>
      </w:pPr>
      <w:r>
        <w:rPr>
          <w:b/>
          <w:bCs/>
        </w:rPr>
        <w:t>Moties en t</w:t>
      </w:r>
      <w:r w:rsidR="00910DB7">
        <w:rPr>
          <w:b/>
          <w:bCs/>
        </w:rPr>
        <w:t xml:space="preserve">oezeggingen </w:t>
      </w:r>
    </w:p>
    <w:p w:rsidR="008C1E20" w:rsidP="00687511" w:rsidRDefault="008C1E20" w14:paraId="19F19D22" w14:textId="77777777">
      <w:pPr>
        <w:rPr>
          <w:i/>
          <w:iCs/>
        </w:rPr>
      </w:pPr>
    </w:p>
    <w:p w:rsidRPr="009D12AA" w:rsidR="005B4E40" w:rsidP="00687511" w:rsidRDefault="00233FE6" w14:paraId="0E43DFF9" w14:textId="015E4E61">
      <w:pPr>
        <w:rPr>
          <w:i/>
          <w:iCs/>
        </w:rPr>
      </w:pPr>
      <w:r w:rsidRPr="009D12AA">
        <w:rPr>
          <w:i/>
          <w:iCs/>
        </w:rPr>
        <w:t>Persoonsvorming in het onderwijs</w:t>
      </w:r>
    </w:p>
    <w:p w:rsidR="00453248" w:rsidP="00687511" w:rsidRDefault="00A91995" w14:paraId="740D4AF4" w14:textId="6CDF1BBA">
      <w:r>
        <w:t xml:space="preserve">De </w:t>
      </w:r>
      <w:r w:rsidR="006B5113">
        <w:t>ambtsvoorganger</w:t>
      </w:r>
      <w:r>
        <w:t xml:space="preserve"> van de minister van OCW</w:t>
      </w:r>
      <w:r w:rsidR="006B5113">
        <w:t xml:space="preserve"> heeft in het debat over studentenwelzijn in 2024 toegezegd</w:t>
      </w:r>
      <w:r w:rsidR="00B73FFF">
        <w:rPr>
          <w:rStyle w:val="Voetnootmarkering"/>
        </w:rPr>
        <w:footnoteReference w:id="8"/>
      </w:r>
      <w:r w:rsidR="006B5113">
        <w:t xml:space="preserve"> om te verkennen of er voldoende aandacht is voor persoonsvorming in het onderwijs in relatie tot welzijn. </w:t>
      </w:r>
      <w:r w:rsidR="00453248">
        <w:t xml:space="preserve">Persoonsvorming is een breed begrip dat verwijst naar de ontwikkeling van een persoonlijkheid, identiteit en karakter. </w:t>
      </w:r>
      <w:r w:rsidR="00A40B73">
        <w:t>In relatie tot welzijn gaa</w:t>
      </w:r>
      <w:r w:rsidR="00672CDC">
        <w:t>t</w:t>
      </w:r>
      <w:r w:rsidR="00A40B73">
        <w:t xml:space="preserve"> het dan bijvoorbeeld om zaken als veerkracht</w:t>
      </w:r>
      <w:r w:rsidR="00B73FFF">
        <w:t>, zelfbewustzijn</w:t>
      </w:r>
      <w:r w:rsidR="008C1E20">
        <w:t>, en</w:t>
      </w:r>
      <w:r w:rsidR="00B73FFF">
        <w:t xml:space="preserve"> de </w:t>
      </w:r>
      <w:r w:rsidR="0099613A">
        <w:t>relatie</w:t>
      </w:r>
      <w:r w:rsidR="00B73FFF">
        <w:t xml:space="preserve"> tot jezelf en anderen.</w:t>
      </w:r>
      <w:r w:rsidR="00A40B73">
        <w:t xml:space="preserve"> </w:t>
      </w:r>
      <w:r w:rsidR="00453248">
        <w:t xml:space="preserve">Dit beperkt zich niet enkel tot het </w:t>
      </w:r>
      <w:r w:rsidR="00CF3F85">
        <w:t>onderwijs</w:t>
      </w:r>
      <w:r w:rsidR="00453248">
        <w:t>. Ook de thuis- en vrijetijdsomgeving zijn belangrijke plekken waar jongeren ruimte krijgen of creëren om zichzelf te ui</w:t>
      </w:r>
      <w:r w:rsidR="00CF3F85">
        <w:t>t</w:t>
      </w:r>
      <w:r w:rsidR="00453248">
        <w:t xml:space="preserve">en. Binnen het onderwijs is persoonsvorming geen apart vak of traject, maar kan overal en op elk moment plaatsvinden. </w:t>
      </w:r>
    </w:p>
    <w:p w:rsidR="00453248" w:rsidP="00687511" w:rsidRDefault="00453248" w14:paraId="5C55EF47" w14:textId="77777777"/>
    <w:p w:rsidR="00453248" w:rsidP="00B73FFF" w:rsidRDefault="00453248" w14:paraId="1B2FD7D1" w14:textId="1B3CA6D1">
      <w:r w:rsidRPr="005C503D">
        <w:t xml:space="preserve">In het </w:t>
      </w:r>
      <w:r>
        <w:t>voortgezet onderwijs</w:t>
      </w:r>
      <w:r w:rsidRPr="005C503D">
        <w:t xml:space="preserve"> is reeds </w:t>
      </w:r>
      <w:r w:rsidRPr="00D235CF" w:rsidR="00672CDC">
        <w:t>een verkenning</w:t>
      </w:r>
      <w:r w:rsidRPr="005C503D">
        <w:t xml:space="preserve"> uitgevoerd</w:t>
      </w:r>
      <w:r>
        <w:t xml:space="preserve"> naar </w:t>
      </w:r>
      <w:r w:rsidR="00672CDC">
        <w:t>wensen en behoeften van het vervolgonderwijs ten aanzien van de kennis en vaardigheden waarmee geslaagden vanuit het voortgezet onderwijs instromen</w:t>
      </w:r>
      <w:r w:rsidR="00672CDC">
        <w:rPr>
          <w:rStyle w:val="Voetnootmarkering"/>
        </w:rPr>
        <w:footnoteReference w:id="9"/>
      </w:r>
      <w:r>
        <w:t xml:space="preserve">. Aandacht voor </w:t>
      </w:r>
      <w:r w:rsidR="00672CDC">
        <w:t>‘</w:t>
      </w:r>
      <w:r>
        <w:t>life skills</w:t>
      </w:r>
      <w:r w:rsidR="00672CDC">
        <w:t>’</w:t>
      </w:r>
      <w:r>
        <w:t xml:space="preserve">, dat in de verkenning wordt gebruikt als parapluterm voor onder andere persoonsvorming en executieve functies, is op dit moment al een opdracht van de school. </w:t>
      </w:r>
      <w:r w:rsidR="003C543A">
        <w:t xml:space="preserve">In de conceptkerndoelen voor Mens en Maatschappij is nu opgenomen dat de school expliciet bijdraagt </w:t>
      </w:r>
      <w:r w:rsidRPr="00EA04D0" w:rsidR="003C543A">
        <w:rPr>
          <w:i/>
          <w:iCs/>
        </w:rPr>
        <w:t>“aan de sociale en emotionele ontwikkeling van leerlingen en bevordert respectvolle omgang met anderen.</w:t>
      </w:r>
      <w:r w:rsidR="003C543A">
        <w:t xml:space="preserve">” Dit is impliciet al een opdracht die elke school en elke leraar oppakt. Het verschil is dat deze opdracht nu explicieter wordt beschreven zodat </w:t>
      </w:r>
      <w:r w:rsidR="001D193A">
        <w:t>elke</w:t>
      </w:r>
      <w:r w:rsidR="003C543A">
        <w:t xml:space="preserve"> leerling kan rekenen op dezelfde hulp</w:t>
      </w:r>
      <w:r w:rsidR="008506E9">
        <w:t>.</w:t>
      </w:r>
    </w:p>
    <w:p w:rsidR="00453248" w:rsidP="00453248" w:rsidRDefault="00453248" w14:paraId="382451DB" w14:textId="77777777"/>
    <w:p w:rsidR="00453248" w:rsidP="00687511" w:rsidRDefault="00453248" w14:paraId="264DA247" w14:textId="5ED8B309">
      <w:r>
        <w:t xml:space="preserve">In het vervolgonderwijs is er zowel binnen als buiten het curriculum ruimte voor persoonsvorming. </w:t>
      </w:r>
      <w:r w:rsidR="00B73FFF">
        <w:t>O</w:t>
      </w:r>
      <w:r w:rsidR="00CF3F85">
        <w:t xml:space="preserve">nderwijsinstellingen </w:t>
      </w:r>
      <w:r w:rsidR="006B5D37">
        <w:t>geven studenten</w:t>
      </w:r>
      <w:r w:rsidR="00B73FFF">
        <w:t xml:space="preserve"> </w:t>
      </w:r>
      <w:r w:rsidR="00CF3F85">
        <w:t xml:space="preserve">opdrachten waarin zij reflecteren op hun leerproces, keuzes en </w:t>
      </w:r>
      <w:r w:rsidR="00816F3E">
        <w:t>persoonsvorming</w:t>
      </w:r>
      <w:r w:rsidR="00CF3F85">
        <w:t xml:space="preserve">. Daarnaast hebben mbo- en hbo-studenten studieloopbaanbegeleiders die met studenten persoonlijke gesprekken voeren over hun motivatie, toekomstbeeld, belangrijke waarden en morele dilemma’s. </w:t>
      </w:r>
    </w:p>
    <w:p w:rsidRPr="005442CC" w:rsidR="006016B8" w:rsidP="00687511" w:rsidRDefault="006016B8" w14:paraId="2F278B05" w14:textId="77777777">
      <w:pPr>
        <w:rPr>
          <w:b/>
          <w:bCs/>
          <w:i/>
          <w:iCs/>
        </w:rPr>
      </w:pPr>
    </w:p>
    <w:p w:rsidR="005B4E40" w:rsidP="00687511" w:rsidRDefault="00453248" w14:paraId="2E639743" w14:textId="47569435">
      <w:r>
        <w:t>Graag inspire</w:t>
      </w:r>
      <w:r w:rsidR="00B236DB">
        <w:t xml:space="preserve">ren wij </w:t>
      </w:r>
      <w:r>
        <w:t xml:space="preserve">uw Kamer </w:t>
      </w:r>
      <w:r w:rsidR="00816F3E">
        <w:t xml:space="preserve">hierna </w:t>
      </w:r>
      <w:r>
        <w:t>met enkele voorbeelden waarin blijkt hoe instellingen aandacht besteden aan de persoonsvorming van studenten</w:t>
      </w:r>
      <w:r w:rsidR="006B5113">
        <w:t xml:space="preserve"> in relatie tot welzijn</w:t>
      </w:r>
      <w:r>
        <w:t>.</w:t>
      </w:r>
    </w:p>
    <w:p w:rsidRPr="009D12AA" w:rsidR="00672CDC" w:rsidP="00687511" w:rsidRDefault="00672CDC" w14:paraId="56BD7864" w14:textId="77777777">
      <w:pPr>
        <w:rPr>
          <w:i/>
          <w:iCs/>
        </w:rPr>
      </w:pPr>
    </w:p>
    <w:p w:rsidRPr="00672CDC" w:rsidR="00672CDC" w:rsidP="00672CDC" w:rsidRDefault="00672CDC" w14:paraId="218FB2F2" w14:textId="77777777">
      <w:pPr>
        <w:rPr>
          <w:u w:val="single"/>
        </w:rPr>
      </w:pPr>
      <w:r w:rsidRPr="00672CDC">
        <w:rPr>
          <w:u w:val="single"/>
        </w:rPr>
        <w:t xml:space="preserve">Persoonsvorming in MDT-traject, Zadkine </w:t>
      </w:r>
    </w:p>
    <w:p w:rsidRPr="00672CDC" w:rsidR="00672CDC" w:rsidP="00672CDC" w:rsidRDefault="00672CDC" w14:paraId="20D0BEB0" w14:textId="556E7A3C">
      <w:r w:rsidRPr="00672CDC">
        <w:t xml:space="preserve">Bij Zadkine locatie Eikenlaan nemen studenten van de opleidingen Pedagogisch Werk en Onderwijsassistent deel aan een </w:t>
      </w:r>
      <w:r w:rsidR="005801C4">
        <w:t>Maatschappelijke Diensttijd</w:t>
      </w:r>
      <w:r w:rsidR="00816339">
        <w:t xml:space="preserve"> </w:t>
      </w:r>
      <w:r w:rsidR="005801C4">
        <w:t>(</w:t>
      </w:r>
      <w:r w:rsidRPr="00672CDC">
        <w:t>MDT</w:t>
      </w:r>
      <w:r w:rsidR="005801C4">
        <w:t>)</w:t>
      </w:r>
      <w:r w:rsidR="00D610A7">
        <w:t>-</w:t>
      </w:r>
      <w:r w:rsidRPr="00672CDC">
        <w:t>traject</w:t>
      </w:r>
      <w:r w:rsidR="00D610A7">
        <w:t>,</w:t>
      </w:r>
      <w:r w:rsidRPr="00672CDC">
        <w:t xml:space="preserve"> dat draait om maatschappelijke betrokkenheid, persoonsvorming en burgerschap. In een periode van zes tot acht weken werken mbo-studenten in kleine teams aan maatschappelijke opdrachten in de wijk of bij organisaties zoals buurthuizen, basisscholen en zorginstellingen. Begeleid door docenten en een MDT-coach reflecteren studenten wekelijks op hun ervaring en volgen zij workshops waarin thema’s als samenwerking, verantwoordelijkheid en eigen </w:t>
      </w:r>
      <w:r w:rsidRPr="00672CDC">
        <w:lastRenderedPageBreak/>
        <w:t>talenten centraal staan. Door activiteiten als het organiseren van een ontmoetingsmiddag voor ouderen of het opzetten van een kinderactiviteit ontdekken studenten hoe zij verschil kunnen maken in hun omgeving. Het traject versterkt hun zelfvertrouwen, vergroot het inzicht in eigen waarden en beroepskeuzes, en stimuleert een blijvend gevoel van maatschappelijke verantwoordelijkheid.</w:t>
      </w:r>
    </w:p>
    <w:p w:rsidR="000C2809" w:rsidP="000C2809" w:rsidRDefault="000C2809" w14:paraId="53CD3934" w14:textId="77777777"/>
    <w:p w:rsidRPr="009D12AA" w:rsidR="00851899" w:rsidP="00851899" w:rsidRDefault="003C7C41" w14:paraId="49C8257E" w14:textId="442C749A">
      <w:pPr>
        <w:rPr>
          <w:u w:val="single"/>
        </w:rPr>
      </w:pPr>
      <w:r w:rsidRPr="009D12AA">
        <w:rPr>
          <w:u w:val="single"/>
        </w:rPr>
        <w:t>Leerlijn Persoonlijke en Professionele Ontwikkeling, Radboud Universiteit</w:t>
      </w:r>
    </w:p>
    <w:p w:rsidR="003C7C41" w:rsidP="003C7C41" w:rsidRDefault="003C7C41" w14:paraId="397429C5" w14:textId="65534748">
      <w:r>
        <w:t>Bij de bacheloropleiding Geneeskunde en Biomedische Wetenschappen binnen de Radboud Universiteit is geïnvesteerd in een leerlijn Persoonlijke en Professionele Ontwikkeling</w:t>
      </w:r>
      <w:r w:rsidR="006B5D37">
        <w:t xml:space="preserve">, </w:t>
      </w:r>
      <w:r w:rsidRPr="006B5D37" w:rsidR="006B5D37">
        <w:t>waarbinnen een deellijn welzijn en vitaliteit</w:t>
      </w:r>
      <w:r>
        <w:t xml:space="preserve">. Alle </w:t>
      </w:r>
      <w:proofErr w:type="spellStart"/>
      <w:r>
        <w:t>bachelorstudenten</w:t>
      </w:r>
      <w:proofErr w:type="spellEnd"/>
      <w:r>
        <w:t xml:space="preserve"> krijgen les in kleine groepen waarbij ze middels </w:t>
      </w:r>
      <w:proofErr w:type="spellStart"/>
      <w:r>
        <w:t>psycho</w:t>
      </w:r>
      <w:proofErr w:type="spellEnd"/>
      <w:r>
        <w:t xml:space="preserve">-educatie en ervaringsleren inzicht krijgen </w:t>
      </w:r>
      <w:r w:rsidRPr="00AE74BD">
        <w:t>in de</w:t>
      </w:r>
      <w:r>
        <w:t xml:space="preserve"> </w:t>
      </w:r>
      <w:r w:rsidRPr="00AE74BD">
        <w:t>mechanismen achter welzijn en de misvattingen die hierover bestaan</w:t>
      </w:r>
      <w:r>
        <w:t xml:space="preserve">. Daarnaast krijgen studenten </w:t>
      </w:r>
      <w:r w:rsidRPr="00AE74BD">
        <w:t>praktische handvatten om actief met hun eigen welzijn aan de slag te gaan. Onderwerpen</w:t>
      </w:r>
      <w:r>
        <w:t xml:space="preserve"> </w:t>
      </w:r>
      <w:r w:rsidRPr="00AE74BD">
        <w:t>die aan bod komen zijn onder andere omgaan met studiedruk, stress en tijdsdruk, het</w:t>
      </w:r>
      <w:r>
        <w:t xml:space="preserve"> </w:t>
      </w:r>
      <w:r w:rsidRPr="00AE74BD">
        <w:t>belang van prioriteren en pauzes nemen, de invloed van leefstijl, omgaan met emoties en de</w:t>
      </w:r>
      <w:r>
        <w:t xml:space="preserve"> </w:t>
      </w:r>
      <w:r w:rsidRPr="00AE74BD">
        <w:t>impact van sociale en professionele druk op het ervaren welzijn.</w:t>
      </w:r>
    </w:p>
    <w:p w:rsidR="00233FE6" w:rsidP="00687511" w:rsidRDefault="00233FE6" w14:paraId="5682906A" w14:textId="38734741"/>
    <w:p w:rsidRPr="009D12AA" w:rsidR="00910DB7" w:rsidP="00687511" w:rsidRDefault="0018043B" w14:paraId="30245151" w14:textId="7D60478B">
      <w:pPr>
        <w:rPr>
          <w:i/>
          <w:iCs/>
        </w:rPr>
      </w:pPr>
      <w:r>
        <w:rPr>
          <w:i/>
          <w:iCs/>
        </w:rPr>
        <w:t>Toezegging onderzoek s</w:t>
      </w:r>
      <w:r w:rsidRPr="009D12AA" w:rsidR="00910DB7">
        <w:rPr>
          <w:i/>
          <w:iCs/>
        </w:rPr>
        <w:t>tudentvoorzieningen</w:t>
      </w:r>
    </w:p>
    <w:p w:rsidR="00910DB7" w:rsidP="00687511" w:rsidRDefault="00910DB7" w14:paraId="36C9FB74" w14:textId="489BC3B7">
      <w:r w:rsidRPr="00910DB7">
        <w:t>In het commissiedebat van 14 mei 2025</w:t>
      </w:r>
      <w:r w:rsidR="006B5D37">
        <w:rPr>
          <w:rStyle w:val="Voetnootmarkering"/>
        </w:rPr>
        <w:footnoteReference w:id="10"/>
      </w:r>
      <w:r w:rsidRPr="00910DB7">
        <w:t xml:space="preserve"> heeft </w:t>
      </w:r>
      <w:r w:rsidR="00A91995">
        <w:t>de</w:t>
      </w:r>
      <w:r w:rsidRPr="00910DB7" w:rsidR="00A91995">
        <w:t xml:space="preserve"> </w:t>
      </w:r>
      <w:r w:rsidRPr="00910DB7">
        <w:t>ambtsvoorganger</w:t>
      </w:r>
      <w:r w:rsidR="00A91995">
        <w:t xml:space="preserve"> van de minister van OCW</w:t>
      </w:r>
      <w:r w:rsidRPr="00910DB7">
        <w:t xml:space="preserve"> toegezegd om te inventariseren wat de gevolgen zijn van de Beleidsregel investeren met publieke middelen in private activiteiten voor sportfaciliteiten voor studenten en de Kamer na de zomer hierover te informeren. De inventarisatie is verbreed naar studentvoorzieningen en is inmiddels in gang gezet. </w:t>
      </w:r>
      <w:r w:rsidR="008506E9">
        <w:t>De minister van OCW</w:t>
      </w:r>
      <w:r w:rsidRPr="00910DB7">
        <w:t xml:space="preserve"> zal de Kamer voor de zomer </w:t>
      </w:r>
      <w:r w:rsidR="00672CDC">
        <w:t>van</w:t>
      </w:r>
      <w:r w:rsidRPr="00910DB7" w:rsidR="00672CDC">
        <w:t xml:space="preserve"> </w:t>
      </w:r>
      <w:r w:rsidRPr="00910DB7">
        <w:t>2026 informeren over de uitkomsten.</w:t>
      </w:r>
      <w:r w:rsidR="006B5D37">
        <w:t xml:space="preserve"> </w:t>
      </w:r>
      <w:r w:rsidRPr="006B5D37" w:rsidR="006B5D37">
        <w:t xml:space="preserve">Zoals in </w:t>
      </w:r>
      <w:r w:rsidR="00816F3E">
        <w:t xml:space="preserve">de </w:t>
      </w:r>
      <w:r w:rsidR="001D193A">
        <w:t>K</w:t>
      </w:r>
      <w:r w:rsidR="00816F3E">
        <w:t>amer toegezegd</w:t>
      </w:r>
      <w:r w:rsidR="001D193A">
        <w:t>,</w:t>
      </w:r>
      <w:r w:rsidR="00816F3E">
        <w:t xml:space="preserve"> </w:t>
      </w:r>
      <w:r w:rsidRPr="006B5D37" w:rsidR="006B5D37">
        <w:t>worden de studentvoorzieningen uitgezonderd van de controle door de accountant totdat de inventarisatie gereed is en de besluitvorming hierover is voltooid.</w:t>
      </w:r>
      <w:r w:rsidR="00816F3E">
        <w:t xml:space="preserve"> </w:t>
      </w:r>
      <w:r w:rsidR="00A91995">
        <w:t>De minister van OCW heeft</w:t>
      </w:r>
      <w:r w:rsidR="00816F3E">
        <w:t xml:space="preserve"> dat richting de instellingen per brief bevestigd.</w:t>
      </w:r>
    </w:p>
    <w:bookmarkEnd w:id="0"/>
    <w:p w:rsidR="007851C4" w:rsidP="00CA35E4" w:rsidRDefault="00367BA3" w14:paraId="222AE8B5" w14:textId="77777777">
      <w:r w:rsidRPr="007851C4">
        <w:t xml:space="preserve"> </w:t>
      </w:r>
    </w:p>
    <w:p w:rsidR="007851C4" w:rsidP="00CA35E4" w:rsidRDefault="007851C4" w14:paraId="632E1ADA" w14:textId="77777777"/>
    <w:p w:rsidR="00820DDA" w:rsidP="00CA35E4" w:rsidRDefault="00367BA3" w14:paraId="7AC918C0" w14:textId="77777777">
      <w:r>
        <w:t>De minister van Onderwijs, Cultuur en Wetenschap,</w:t>
      </w:r>
    </w:p>
    <w:p w:rsidR="000F521E" w:rsidP="003A7160" w:rsidRDefault="000F521E" w14:paraId="0FC76BBF" w14:textId="77777777"/>
    <w:p w:rsidR="000F521E" w:rsidP="003A7160" w:rsidRDefault="000F521E" w14:paraId="707D4ABC" w14:textId="77777777"/>
    <w:p w:rsidR="000F521E" w:rsidP="003A7160" w:rsidRDefault="000F521E" w14:paraId="11A91206" w14:textId="77777777"/>
    <w:p w:rsidR="000F521E" w:rsidP="003A7160" w:rsidRDefault="000F521E" w14:paraId="1E25303F" w14:textId="77777777"/>
    <w:p w:rsidR="000F521E" w:rsidP="003A7160" w:rsidRDefault="00367BA3" w14:paraId="13B89FFB" w14:textId="782A1E1B">
      <w:pPr>
        <w:pStyle w:val="standaard-tekst"/>
      </w:pPr>
      <w:proofErr w:type="spellStart"/>
      <w:r>
        <w:t>G</w:t>
      </w:r>
      <w:r w:rsidR="00FC26F2">
        <w:t>ouke</w:t>
      </w:r>
      <w:proofErr w:type="spellEnd"/>
      <w:r>
        <w:t xml:space="preserve"> Moes</w:t>
      </w:r>
    </w:p>
    <w:p w:rsidR="00F01557" w:rsidP="003A7160" w:rsidRDefault="00F01557" w14:paraId="2CDE116A" w14:textId="77777777"/>
    <w:p w:rsidR="00877005" w:rsidP="003A7160" w:rsidRDefault="00877005" w14:paraId="3431F303" w14:textId="77777777"/>
    <w:p w:rsidR="005B4E40" w:rsidP="003A7160" w:rsidRDefault="005B4E40" w14:paraId="05E64AD9" w14:textId="3FD2BE62">
      <w:r>
        <w:t>De staatssecretaris Jeugd, Preventie en Sport</w:t>
      </w:r>
    </w:p>
    <w:p w:rsidR="005B4E40" w:rsidP="003A7160" w:rsidRDefault="005B4E40" w14:paraId="46C14DC0" w14:textId="77777777"/>
    <w:p w:rsidR="005B4E40" w:rsidP="003A7160" w:rsidRDefault="005B4E40" w14:paraId="072FC141" w14:textId="77777777"/>
    <w:p w:rsidR="005B4E40" w:rsidP="003A7160" w:rsidRDefault="005B4E40" w14:paraId="019F5768" w14:textId="77777777"/>
    <w:p w:rsidR="005B4E40" w:rsidP="003A7160" w:rsidRDefault="005B4E40" w14:paraId="6ADE3361" w14:textId="77777777"/>
    <w:p w:rsidR="005B4E40" w:rsidP="003A7160" w:rsidRDefault="005B4E40" w14:paraId="72D2F973" w14:textId="77777777"/>
    <w:p w:rsidRPr="006C313B" w:rsidR="00184B30" w:rsidP="00A60B58" w:rsidRDefault="005B4E40" w14:paraId="108C58D9" w14:textId="794A74D5">
      <w:pPr>
        <w:rPr>
          <w:lang w:val="de-DE"/>
        </w:rPr>
      </w:pPr>
      <w:r w:rsidRPr="006C313B">
        <w:rPr>
          <w:lang w:val="de-DE"/>
        </w:rPr>
        <w:t>J</w:t>
      </w:r>
      <w:r w:rsidR="00B54989">
        <w:rPr>
          <w:lang w:val="de-DE"/>
        </w:rPr>
        <w:t xml:space="preserve">udith </w:t>
      </w:r>
      <w:proofErr w:type="spellStart"/>
      <w:r w:rsidRPr="006C313B" w:rsidR="00A329EA">
        <w:rPr>
          <w:lang w:val="de-DE"/>
        </w:rPr>
        <w:t>Zs.C.M</w:t>
      </w:r>
      <w:proofErr w:type="spellEnd"/>
      <w:r w:rsidRPr="006C313B" w:rsidR="00A329EA">
        <w:rPr>
          <w:lang w:val="de-DE"/>
        </w:rPr>
        <w:t>.</w:t>
      </w:r>
      <w:r w:rsidRPr="006C313B">
        <w:rPr>
          <w:lang w:val="de-DE"/>
        </w:rPr>
        <w:t xml:space="preserve"> </w:t>
      </w:r>
      <w:proofErr w:type="spellStart"/>
      <w:r w:rsidRPr="006C313B">
        <w:rPr>
          <w:lang w:val="de-DE"/>
        </w:rPr>
        <w:t>Tielen</w:t>
      </w:r>
      <w:proofErr w:type="spellEnd"/>
    </w:p>
    <w:p w:rsidRPr="006C313B" w:rsidR="00820DDA" w:rsidP="00215964" w:rsidRDefault="00820DDA" w14:paraId="76521D99" w14:textId="77777777">
      <w:pPr>
        <w:spacing w:line="240" w:lineRule="auto"/>
        <w:rPr>
          <w:lang w:val="de-DE"/>
        </w:rPr>
      </w:pPr>
    </w:p>
    <w:sectPr w:rsidRPr="006C313B"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D906" w14:textId="77777777" w:rsidR="008B3479" w:rsidRDefault="008B3479">
      <w:r>
        <w:separator/>
      </w:r>
    </w:p>
    <w:p w14:paraId="56FBA161" w14:textId="77777777" w:rsidR="008B3479" w:rsidRDefault="008B3479"/>
  </w:endnote>
  <w:endnote w:type="continuationSeparator" w:id="0">
    <w:p w14:paraId="397E7EC2" w14:textId="77777777" w:rsidR="008B3479" w:rsidRDefault="008B3479">
      <w:r>
        <w:continuationSeparator/>
      </w:r>
    </w:p>
    <w:p w14:paraId="44D1BE27" w14:textId="77777777" w:rsidR="008B3479" w:rsidRDefault="008B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AB7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627CE" w14:paraId="289A01BC" w14:textId="77777777" w:rsidTr="004C7E1D">
      <w:trPr>
        <w:trHeight w:hRule="exact" w:val="357"/>
      </w:trPr>
      <w:tc>
        <w:tcPr>
          <w:tcW w:w="7603" w:type="dxa"/>
        </w:tcPr>
        <w:p w14:paraId="31763F08" w14:textId="77777777" w:rsidR="002F71BB" w:rsidRPr="004C7E1D" w:rsidRDefault="002F71BB" w:rsidP="004C7E1D">
          <w:pPr>
            <w:spacing w:line="180" w:lineRule="exact"/>
            <w:rPr>
              <w:sz w:val="13"/>
              <w:szCs w:val="13"/>
            </w:rPr>
          </w:pPr>
        </w:p>
      </w:tc>
      <w:tc>
        <w:tcPr>
          <w:tcW w:w="2172" w:type="dxa"/>
        </w:tcPr>
        <w:p w14:paraId="205CF119" w14:textId="44F9E179" w:rsidR="002F71BB" w:rsidRPr="004C7E1D" w:rsidRDefault="00367BA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765AC">
            <w:rPr>
              <w:szCs w:val="13"/>
            </w:rPr>
            <w:t>7</w:t>
          </w:r>
          <w:r w:rsidRPr="004C7E1D">
            <w:rPr>
              <w:szCs w:val="13"/>
            </w:rPr>
            <w:fldChar w:fldCharType="end"/>
          </w:r>
        </w:p>
      </w:tc>
    </w:tr>
  </w:tbl>
  <w:p w14:paraId="37413ED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627CE" w14:paraId="775906B4" w14:textId="77777777" w:rsidTr="004C7E1D">
      <w:trPr>
        <w:trHeight w:hRule="exact" w:val="357"/>
      </w:trPr>
      <w:tc>
        <w:tcPr>
          <w:tcW w:w="7709" w:type="dxa"/>
        </w:tcPr>
        <w:p w14:paraId="58100634" w14:textId="77777777" w:rsidR="00D17084" w:rsidRPr="004C7E1D" w:rsidRDefault="00D17084" w:rsidP="004C7E1D">
          <w:pPr>
            <w:spacing w:line="180" w:lineRule="exact"/>
            <w:rPr>
              <w:sz w:val="13"/>
              <w:szCs w:val="13"/>
            </w:rPr>
          </w:pPr>
        </w:p>
      </w:tc>
      <w:tc>
        <w:tcPr>
          <w:tcW w:w="2060" w:type="dxa"/>
        </w:tcPr>
        <w:p w14:paraId="79CAE250" w14:textId="2310FF1A" w:rsidR="00D17084" w:rsidRPr="004C7E1D" w:rsidRDefault="00367BA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765AC">
            <w:rPr>
              <w:szCs w:val="13"/>
            </w:rPr>
            <w:t>7</w:t>
          </w:r>
          <w:r w:rsidRPr="004C7E1D">
            <w:rPr>
              <w:szCs w:val="13"/>
            </w:rPr>
            <w:fldChar w:fldCharType="end"/>
          </w:r>
        </w:p>
      </w:tc>
    </w:tr>
  </w:tbl>
  <w:p w14:paraId="2D631A1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9C7A" w14:textId="77777777" w:rsidR="008B3479" w:rsidRDefault="008B3479">
      <w:r>
        <w:separator/>
      </w:r>
    </w:p>
    <w:p w14:paraId="354BC219" w14:textId="77777777" w:rsidR="008B3479" w:rsidRDefault="008B3479"/>
  </w:footnote>
  <w:footnote w:type="continuationSeparator" w:id="0">
    <w:p w14:paraId="68DC17AB" w14:textId="77777777" w:rsidR="008B3479" w:rsidRDefault="008B3479">
      <w:r>
        <w:continuationSeparator/>
      </w:r>
    </w:p>
    <w:p w14:paraId="5E84D9C1" w14:textId="77777777" w:rsidR="008B3479" w:rsidRDefault="008B3479"/>
  </w:footnote>
  <w:footnote w:id="1">
    <w:p w14:paraId="64D8D984" w14:textId="6F09BA45" w:rsidR="001C7778" w:rsidRDefault="001C7778">
      <w:pPr>
        <w:pStyle w:val="Voetnoottekst"/>
      </w:pPr>
      <w:r>
        <w:rPr>
          <w:rStyle w:val="Voetnootmarkering"/>
        </w:rPr>
        <w:footnoteRef/>
      </w:r>
      <w:r>
        <w:t xml:space="preserve"> Kamerstuk </w:t>
      </w:r>
      <w:r w:rsidRPr="000136E1">
        <w:t>31</w:t>
      </w:r>
      <w:r>
        <w:t xml:space="preserve"> </w:t>
      </w:r>
      <w:r w:rsidRPr="000136E1">
        <w:t>288</w:t>
      </w:r>
      <w:r>
        <w:t>,</w:t>
      </w:r>
      <w:r w:rsidRPr="000136E1">
        <w:t xml:space="preserve"> nr. 1146</w:t>
      </w:r>
    </w:p>
  </w:footnote>
  <w:footnote w:id="2">
    <w:p w14:paraId="6F3C2772" w14:textId="10852B7C" w:rsidR="006F259D" w:rsidRDefault="006F259D">
      <w:pPr>
        <w:pStyle w:val="Voetnoottekst"/>
      </w:pPr>
      <w:r>
        <w:rPr>
          <w:rStyle w:val="Voetnootmarkering"/>
        </w:rPr>
        <w:footnoteRef/>
      </w:r>
      <w:r>
        <w:t xml:space="preserve"> </w:t>
      </w:r>
      <w:r w:rsidRPr="006F259D">
        <w:t xml:space="preserve">MBO Raad. (2024, September). </w:t>
      </w:r>
      <w:r w:rsidRPr="006F259D">
        <w:rPr>
          <w:i/>
          <w:iCs/>
        </w:rPr>
        <w:t>Landelijke mbo-leefstijlmonitor 2022-2023: Over bewegen, middelengebruik, voeding, angst &amp; somberheid, contact &amp; vriendschap, seksualiteit, agressie &amp; veiligheid, geld en gehoor &amp; muziek</w:t>
      </w:r>
      <w:r w:rsidRPr="006F259D">
        <w:t>.</w:t>
      </w:r>
    </w:p>
  </w:footnote>
  <w:footnote w:id="3">
    <w:p w14:paraId="50E901B4" w14:textId="77777777" w:rsidR="004031E8" w:rsidRDefault="004031E8" w:rsidP="004031E8">
      <w:pPr>
        <w:pStyle w:val="Voetnoottekst"/>
      </w:pPr>
      <w:r>
        <w:rPr>
          <w:rStyle w:val="Voetnootmarkering"/>
        </w:rPr>
        <w:footnoteRef/>
      </w:r>
      <w:r>
        <w:t xml:space="preserve"> </w:t>
      </w:r>
      <w:r w:rsidRPr="007F3565">
        <w:t>RIVM. (2025, 2 september). Mentale gezondheid – Kwartaalonderzoek jongeren.</w:t>
      </w:r>
    </w:p>
  </w:footnote>
  <w:footnote w:id="4">
    <w:p w14:paraId="23D59666" w14:textId="68D00B7B" w:rsidR="00C36D90" w:rsidRDefault="00C36D90">
      <w:pPr>
        <w:pStyle w:val="Voetnoottekst"/>
      </w:pPr>
      <w:r>
        <w:rPr>
          <w:rStyle w:val="Voetnootmarkering"/>
        </w:rPr>
        <w:footnoteRef/>
      </w:r>
      <w:r>
        <w:t xml:space="preserve"> </w:t>
      </w:r>
      <w:r w:rsidRPr="00C36D90">
        <w:t>Trimbos</w:t>
      </w:r>
      <w:r w:rsidRPr="00C36D90">
        <w:noBreakHyphen/>
        <w:t xml:space="preserve">instituut &amp; Nationale Drug Monitor. (2025, januari 28). </w:t>
      </w:r>
      <w:r w:rsidRPr="00C36D90">
        <w:rPr>
          <w:i/>
          <w:iCs/>
        </w:rPr>
        <w:t>12.3.5 Roken onder studenten</w:t>
      </w:r>
      <w:r w:rsidRPr="00C36D90">
        <w:t>.</w:t>
      </w:r>
    </w:p>
  </w:footnote>
  <w:footnote w:id="5">
    <w:p w14:paraId="50CED2F4" w14:textId="77777777" w:rsidR="00564488" w:rsidRDefault="00564488" w:rsidP="00564488">
      <w:pPr>
        <w:pStyle w:val="Voetnoottekst"/>
      </w:pPr>
      <w:r>
        <w:rPr>
          <w:rStyle w:val="Voetnootmarkering"/>
        </w:rPr>
        <w:footnoteRef/>
      </w:r>
      <w:r>
        <w:t xml:space="preserve"> Kamerstuk </w:t>
      </w:r>
      <w:r w:rsidRPr="001C7778">
        <w:t>25</w:t>
      </w:r>
      <w:r>
        <w:t xml:space="preserve"> </w:t>
      </w:r>
      <w:r w:rsidRPr="001C7778">
        <w:t>424</w:t>
      </w:r>
      <w:r>
        <w:t xml:space="preserve">, nr. </w:t>
      </w:r>
      <w:r w:rsidRPr="001C7778">
        <w:t>770</w:t>
      </w:r>
    </w:p>
  </w:footnote>
  <w:footnote w:id="6">
    <w:p w14:paraId="297FB53B" w14:textId="5E724929" w:rsidR="00564488" w:rsidRDefault="00564488" w:rsidP="00564488">
      <w:pPr>
        <w:pStyle w:val="Voetnoottekst"/>
      </w:pPr>
      <w:r>
        <w:rPr>
          <w:rStyle w:val="Voetnootmarkering"/>
        </w:rPr>
        <w:footnoteRef/>
      </w:r>
      <w:r>
        <w:t xml:space="preserve"> </w:t>
      </w:r>
      <w:r w:rsidR="0098345B">
        <w:rPr>
          <w:szCs w:val="13"/>
        </w:rPr>
        <w:t xml:space="preserve">Kamerstuk </w:t>
      </w:r>
      <w:r w:rsidRPr="0006416E">
        <w:rPr>
          <w:szCs w:val="13"/>
        </w:rPr>
        <w:t>31 288</w:t>
      </w:r>
      <w:r w:rsidR="0098345B">
        <w:rPr>
          <w:szCs w:val="13"/>
        </w:rPr>
        <w:t>, n</w:t>
      </w:r>
      <w:r>
        <w:rPr>
          <w:szCs w:val="13"/>
        </w:rPr>
        <w:t>r. 1141</w:t>
      </w:r>
    </w:p>
  </w:footnote>
  <w:footnote w:id="7">
    <w:p w14:paraId="23586310" w14:textId="77777777" w:rsidR="00564488" w:rsidRDefault="00564488" w:rsidP="00564488">
      <w:pPr>
        <w:pStyle w:val="Voetnoottekst"/>
      </w:pPr>
      <w:r>
        <w:rPr>
          <w:rStyle w:val="Voetnootmarkering"/>
        </w:rPr>
        <w:footnoteRef/>
      </w:r>
      <w:r>
        <w:t xml:space="preserve"> Kamerstuk </w:t>
      </w:r>
      <w:r w:rsidRPr="004D25F2">
        <w:t>36 200</w:t>
      </w:r>
      <w:r>
        <w:t>, nr. 148</w:t>
      </w:r>
    </w:p>
  </w:footnote>
  <w:footnote w:id="8">
    <w:p w14:paraId="2A84BF7F" w14:textId="79404F79" w:rsidR="00B73FFF" w:rsidRDefault="00B73FFF">
      <w:pPr>
        <w:pStyle w:val="Voetnoottekst"/>
      </w:pPr>
      <w:r>
        <w:rPr>
          <w:rStyle w:val="Voetnootmarkering"/>
        </w:rPr>
        <w:footnoteRef/>
      </w:r>
      <w:r>
        <w:t xml:space="preserve"> </w:t>
      </w:r>
      <w:r w:rsidR="003C543A">
        <w:rPr>
          <w:szCs w:val="13"/>
        </w:rPr>
        <w:t>Commissiedebat Mentale gezondheid scholieren en studenten, 25 mei 2025</w:t>
      </w:r>
    </w:p>
  </w:footnote>
  <w:footnote w:id="9">
    <w:p w14:paraId="5D741FF4" w14:textId="31CBE3FA" w:rsidR="00672CDC" w:rsidRDefault="00672CDC">
      <w:pPr>
        <w:pStyle w:val="Voetnoottekst"/>
      </w:pPr>
      <w:r>
        <w:rPr>
          <w:rStyle w:val="Voetnootmarkering"/>
        </w:rPr>
        <w:footnoteRef/>
      </w:r>
      <w:r>
        <w:t xml:space="preserve"> </w:t>
      </w:r>
      <w:r w:rsidRPr="00672CDC">
        <w:t xml:space="preserve">SLO. (2021). </w:t>
      </w:r>
      <w:r w:rsidRPr="00672CDC">
        <w:rPr>
          <w:i/>
          <w:iCs/>
        </w:rPr>
        <w:t>Verkenning vervolgonderwijs: Wensen van het vervolgonderwijs betreffende kennis en vaardigheden van geslaagden uit het voortgezet onderwijs</w:t>
      </w:r>
      <w:r w:rsidRPr="00672CDC">
        <w:t xml:space="preserve"> (onderzoek uitgevoerd door </w:t>
      </w:r>
      <w:proofErr w:type="spellStart"/>
      <w:r w:rsidRPr="00672CDC">
        <w:t>ResearchNed</w:t>
      </w:r>
      <w:proofErr w:type="spellEnd"/>
      <w:r w:rsidRPr="00672CDC">
        <w:t>).</w:t>
      </w:r>
    </w:p>
  </w:footnote>
  <w:footnote w:id="10">
    <w:p w14:paraId="2C4859E3" w14:textId="3335BF22" w:rsidR="006B5D37" w:rsidRDefault="006B5D37">
      <w:pPr>
        <w:pStyle w:val="Voetnoottekst"/>
      </w:pPr>
      <w:r>
        <w:rPr>
          <w:rStyle w:val="Voetnootmarkering"/>
        </w:rPr>
        <w:footnoteRef/>
      </w:r>
      <w:r>
        <w:t xml:space="preserve"> </w:t>
      </w:r>
      <w:r w:rsidR="008506E9">
        <w:rPr>
          <w:szCs w:val="13"/>
        </w:rPr>
        <w:t>Commissiedebat Mentale gezondheid scholieren en studenten, 25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627CE" w14:paraId="3B2847E3" w14:textId="77777777" w:rsidTr="006D2D53">
      <w:trPr>
        <w:trHeight w:hRule="exact" w:val="400"/>
      </w:trPr>
      <w:tc>
        <w:tcPr>
          <w:tcW w:w="7518" w:type="dxa"/>
        </w:tcPr>
        <w:p w14:paraId="0610520C" w14:textId="77777777" w:rsidR="00527BD4" w:rsidRPr="00275984" w:rsidRDefault="00527BD4" w:rsidP="00BF4427">
          <w:pPr>
            <w:pStyle w:val="Huisstijl-Rubricering"/>
          </w:pPr>
        </w:p>
      </w:tc>
    </w:tr>
  </w:tbl>
  <w:p w14:paraId="135AABC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627CE" w14:paraId="0547B783" w14:textId="77777777" w:rsidTr="003B528D">
      <w:tc>
        <w:tcPr>
          <w:tcW w:w="2160" w:type="dxa"/>
        </w:tcPr>
        <w:p w14:paraId="187CC2BE" w14:textId="77777777" w:rsidR="002F71BB" w:rsidRPr="000407BB" w:rsidRDefault="00367BA3" w:rsidP="005D283A">
          <w:pPr>
            <w:pStyle w:val="Colofonkop"/>
            <w:framePr w:hSpace="0" w:wrap="auto" w:vAnchor="margin" w:hAnchor="text" w:xAlign="left" w:yAlign="inline"/>
          </w:pPr>
          <w:r>
            <w:t>Onze referentie</w:t>
          </w:r>
        </w:p>
      </w:tc>
    </w:tr>
    <w:tr w:rsidR="000627CE" w14:paraId="62F2AC8D" w14:textId="77777777" w:rsidTr="002F71BB">
      <w:trPr>
        <w:trHeight w:val="259"/>
      </w:trPr>
      <w:tc>
        <w:tcPr>
          <w:tcW w:w="2160" w:type="dxa"/>
        </w:tcPr>
        <w:p w14:paraId="2B57D0D1" w14:textId="40188406" w:rsidR="00E35CF4" w:rsidRPr="005D283A" w:rsidRDefault="00D20B97" w:rsidP="0049501A">
          <w:pPr>
            <w:spacing w:line="180" w:lineRule="exact"/>
            <w:rPr>
              <w:sz w:val="13"/>
              <w:szCs w:val="13"/>
            </w:rPr>
          </w:pPr>
          <w:r w:rsidRPr="00D20B97">
            <w:rPr>
              <w:sz w:val="13"/>
              <w:szCs w:val="13"/>
            </w:rPr>
            <w:t>55368032</w:t>
          </w:r>
        </w:p>
      </w:tc>
    </w:tr>
  </w:tbl>
  <w:p w14:paraId="12D29A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627CE" w14:paraId="6D25F1B0" w14:textId="77777777" w:rsidTr="001377D4">
      <w:trPr>
        <w:trHeight w:val="2636"/>
      </w:trPr>
      <w:tc>
        <w:tcPr>
          <w:tcW w:w="737" w:type="dxa"/>
        </w:tcPr>
        <w:p w14:paraId="27590746" w14:textId="77777777" w:rsidR="00704845" w:rsidRDefault="00704845" w:rsidP="0047126E">
          <w:pPr>
            <w:framePr w:w="6339" w:h="2750" w:hRule="exact" w:hSpace="181" w:wrap="around" w:vAnchor="page" w:hAnchor="page" w:x="5586" w:y="1"/>
            <w:spacing w:line="240" w:lineRule="auto"/>
          </w:pPr>
        </w:p>
      </w:tc>
      <w:tc>
        <w:tcPr>
          <w:tcW w:w="5156" w:type="dxa"/>
        </w:tcPr>
        <w:p w14:paraId="1D78E126" w14:textId="77777777" w:rsidR="00704845" w:rsidRDefault="00367BA3" w:rsidP="0047126E">
          <w:pPr>
            <w:framePr w:w="3873" w:h="2625" w:hRule="exact" w:wrap="around" w:vAnchor="page" w:hAnchor="page" w:x="6323" w:y="1"/>
          </w:pPr>
          <w:r>
            <w:rPr>
              <w:noProof/>
              <w:lang w:val="en-US" w:eastAsia="en-US"/>
            </w:rPr>
            <w:drawing>
              <wp:inline distT="0" distB="0" distL="0" distR="0" wp14:anchorId="0EF1C6F7" wp14:editId="6C6AAB9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16224AE" w14:textId="77777777" w:rsidR="00483ECA" w:rsidRDefault="00483ECA" w:rsidP="00D037A9"/>
      </w:tc>
    </w:tr>
  </w:tbl>
  <w:p w14:paraId="63B5DBE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627CE" w14:paraId="7E5B0F27" w14:textId="77777777" w:rsidTr="0008539E">
      <w:trPr>
        <w:trHeight w:hRule="exact" w:val="572"/>
      </w:trPr>
      <w:tc>
        <w:tcPr>
          <w:tcW w:w="7520" w:type="dxa"/>
        </w:tcPr>
        <w:p w14:paraId="52C22D92" w14:textId="77777777" w:rsidR="00527BD4" w:rsidRPr="00963440" w:rsidRDefault="00367BA3" w:rsidP="00210BA3">
          <w:pPr>
            <w:pStyle w:val="Huisstijl-Adres"/>
            <w:spacing w:after="0"/>
          </w:pPr>
          <w:r w:rsidRPr="009E3B07">
            <w:t>&gt;Retouradres </w:t>
          </w:r>
          <w:r>
            <w:t>Postbus 16375 2500 BJ Den Haag</w:t>
          </w:r>
          <w:r w:rsidRPr="009E3B07">
            <w:t xml:space="preserve"> </w:t>
          </w:r>
        </w:p>
      </w:tc>
    </w:tr>
    <w:tr w:rsidR="000627CE" w14:paraId="5F8F367F" w14:textId="77777777" w:rsidTr="00E776C6">
      <w:trPr>
        <w:cantSplit/>
        <w:trHeight w:hRule="exact" w:val="238"/>
      </w:trPr>
      <w:tc>
        <w:tcPr>
          <w:tcW w:w="7520" w:type="dxa"/>
        </w:tcPr>
        <w:p w14:paraId="06615890" w14:textId="77777777" w:rsidR="00093ABC" w:rsidRPr="00963440" w:rsidRDefault="00093ABC" w:rsidP="00963440"/>
      </w:tc>
    </w:tr>
    <w:tr w:rsidR="000627CE" w14:paraId="3F007A09" w14:textId="77777777" w:rsidTr="00E776C6">
      <w:trPr>
        <w:cantSplit/>
        <w:trHeight w:hRule="exact" w:val="1520"/>
      </w:trPr>
      <w:tc>
        <w:tcPr>
          <w:tcW w:w="7520" w:type="dxa"/>
        </w:tcPr>
        <w:p w14:paraId="142A8A18" w14:textId="77777777" w:rsidR="00A604D3" w:rsidRPr="00963440" w:rsidRDefault="00A604D3" w:rsidP="00963440"/>
      </w:tc>
    </w:tr>
    <w:tr w:rsidR="000627CE" w14:paraId="5F4956DB" w14:textId="77777777" w:rsidTr="00E776C6">
      <w:trPr>
        <w:trHeight w:hRule="exact" w:val="1077"/>
      </w:trPr>
      <w:tc>
        <w:tcPr>
          <w:tcW w:w="7520" w:type="dxa"/>
        </w:tcPr>
        <w:p w14:paraId="10567168" w14:textId="77777777" w:rsidR="00892BA5" w:rsidRPr="00035E67" w:rsidRDefault="00892BA5" w:rsidP="00892BA5">
          <w:pPr>
            <w:tabs>
              <w:tab w:val="left" w:pos="740"/>
            </w:tabs>
            <w:autoSpaceDE w:val="0"/>
            <w:autoSpaceDN w:val="0"/>
            <w:adjustRightInd w:val="0"/>
            <w:rPr>
              <w:rFonts w:cs="Verdana"/>
              <w:szCs w:val="18"/>
            </w:rPr>
          </w:pPr>
        </w:p>
      </w:tc>
    </w:tr>
  </w:tbl>
  <w:p w14:paraId="1B95F29E" w14:textId="77777777" w:rsidR="006F273B" w:rsidRDefault="006F273B" w:rsidP="00BC4AE3">
    <w:pPr>
      <w:pStyle w:val="Koptekst"/>
    </w:pPr>
  </w:p>
  <w:p w14:paraId="62894FD1" w14:textId="77777777" w:rsidR="00153BD0" w:rsidRDefault="00153BD0" w:rsidP="00BC4AE3">
    <w:pPr>
      <w:pStyle w:val="Koptekst"/>
    </w:pPr>
  </w:p>
  <w:p w14:paraId="48C7FC83" w14:textId="77777777" w:rsidR="0044605E" w:rsidRDefault="0044605E" w:rsidP="00BC4AE3">
    <w:pPr>
      <w:pStyle w:val="Koptekst"/>
    </w:pPr>
  </w:p>
  <w:p w14:paraId="3B2F0389" w14:textId="77777777" w:rsidR="0044605E" w:rsidRDefault="0044605E" w:rsidP="00BC4AE3">
    <w:pPr>
      <w:pStyle w:val="Koptekst"/>
    </w:pPr>
  </w:p>
  <w:p w14:paraId="15A75F5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CFE100E">
      <w:start w:val="1"/>
      <w:numFmt w:val="bullet"/>
      <w:pStyle w:val="Lijstopsomteken"/>
      <w:lvlText w:val="•"/>
      <w:lvlJc w:val="left"/>
      <w:pPr>
        <w:tabs>
          <w:tab w:val="num" w:pos="227"/>
        </w:tabs>
        <w:ind w:left="227" w:hanging="227"/>
      </w:pPr>
      <w:rPr>
        <w:rFonts w:ascii="Verdana" w:hAnsi="Verdana" w:hint="default"/>
        <w:sz w:val="18"/>
        <w:szCs w:val="18"/>
      </w:rPr>
    </w:lvl>
    <w:lvl w:ilvl="1" w:tplc="49CEBFDA" w:tentative="1">
      <w:start w:val="1"/>
      <w:numFmt w:val="bullet"/>
      <w:lvlText w:val="o"/>
      <w:lvlJc w:val="left"/>
      <w:pPr>
        <w:tabs>
          <w:tab w:val="num" w:pos="1440"/>
        </w:tabs>
        <w:ind w:left="1440" w:hanging="360"/>
      </w:pPr>
      <w:rPr>
        <w:rFonts w:ascii="Courier New" w:hAnsi="Courier New" w:cs="Courier New" w:hint="default"/>
      </w:rPr>
    </w:lvl>
    <w:lvl w:ilvl="2" w:tplc="AA5C12F6" w:tentative="1">
      <w:start w:val="1"/>
      <w:numFmt w:val="bullet"/>
      <w:lvlText w:val=""/>
      <w:lvlJc w:val="left"/>
      <w:pPr>
        <w:tabs>
          <w:tab w:val="num" w:pos="2160"/>
        </w:tabs>
        <w:ind w:left="2160" w:hanging="360"/>
      </w:pPr>
      <w:rPr>
        <w:rFonts w:ascii="Wingdings" w:hAnsi="Wingdings" w:hint="default"/>
      </w:rPr>
    </w:lvl>
    <w:lvl w:ilvl="3" w:tplc="EA685C54" w:tentative="1">
      <w:start w:val="1"/>
      <w:numFmt w:val="bullet"/>
      <w:lvlText w:val=""/>
      <w:lvlJc w:val="left"/>
      <w:pPr>
        <w:tabs>
          <w:tab w:val="num" w:pos="2880"/>
        </w:tabs>
        <w:ind w:left="2880" w:hanging="360"/>
      </w:pPr>
      <w:rPr>
        <w:rFonts w:ascii="Symbol" w:hAnsi="Symbol" w:hint="default"/>
      </w:rPr>
    </w:lvl>
    <w:lvl w:ilvl="4" w:tplc="9342CDE8" w:tentative="1">
      <w:start w:val="1"/>
      <w:numFmt w:val="bullet"/>
      <w:lvlText w:val="o"/>
      <w:lvlJc w:val="left"/>
      <w:pPr>
        <w:tabs>
          <w:tab w:val="num" w:pos="3600"/>
        </w:tabs>
        <w:ind w:left="3600" w:hanging="360"/>
      </w:pPr>
      <w:rPr>
        <w:rFonts w:ascii="Courier New" w:hAnsi="Courier New" w:cs="Courier New" w:hint="default"/>
      </w:rPr>
    </w:lvl>
    <w:lvl w:ilvl="5" w:tplc="B76AF4FE" w:tentative="1">
      <w:start w:val="1"/>
      <w:numFmt w:val="bullet"/>
      <w:lvlText w:val=""/>
      <w:lvlJc w:val="left"/>
      <w:pPr>
        <w:tabs>
          <w:tab w:val="num" w:pos="4320"/>
        </w:tabs>
        <w:ind w:left="4320" w:hanging="360"/>
      </w:pPr>
      <w:rPr>
        <w:rFonts w:ascii="Wingdings" w:hAnsi="Wingdings" w:hint="default"/>
      </w:rPr>
    </w:lvl>
    <w:lvl w:ilvl="6" w:tplc="46D0EC90" w:tentative="1">
      <w:start w:val="1"/>
      <w:numFmt w:val="bullet"/>
      <w:lvlText w:val=""/>
      <w:lvlJc w:val="left"/>
      <w:pPr>
        <w:tabs>
          <w:tab w:val="num" w:pos="5040"/>
        </w:tabs>
        <w:ind w:left="5040" w:hanging="360"/>
      </w:pPr>
      <w:rPr>
        <w:rFonts w:ascii="Symbol" w:hAnsi="Symbol" w:hint="default"/>
      </w:rPr>
    </w:lvl>
    <w:lvl w:ilvl="7" w:tplc="F87090DA" w:tentative="1">
      <w:start w:val="1"/>
      <w:numFmt w:val="bullet"/>
      <w:lvlText w:val="o"/>
      <w:lvlJc w:val="left"/>
      <w:pPr>
        <w:tabs>
          <w:tab w:val="num" w:pos="5760"/>
        </w:tabs>
        <w:ind w:left="5760" w:hanging="360"/>
      </w:pPr>
      <w:rPr>
        <w:rFonts w:ascii="Courier New" w:hAnsi="Courier New" w:cs="Courier New" w:hint="default"/>
      </w:rPr>
    </w:lvl>
    <w:lvl w:ilvl="8" w:tplc="5EA0AD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B3133E"/>
    <w:multiLevelType w:val="hybridMultilevel"/>
    <w:tmpl w:val="A6E676F0"/>
    <w:lvl w:ilvl="0" w:tplc="6E44C904">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B78C2D2">
      <w:start w:val="1"/>
      <w:numFmt w:val="bullet"/>
      <w:pStyle w:val="Lijstopsomteken2"/>
      <w:lvlText w:val="–"/>
      <w:lvlJc w:val="left"/>
      <w:pPr>
        <w:tabs>
          <w:tab w:val="num" w:pos="227"/>
        </w:tabs>
        <w:ind w:left="227" w:firstLine="0"/>
      </w:pPr>
      <w:rPr>
        <w:rFonts w:ascii="Verdana" w:hAnsi="Verdana" w:hint="default"/>
      </w:rPr>
    </w:lvl>
    <w:lvl w:ilvl="1" w:tplc="ABD8EC90" w:tentative="1">
      <w:start w:val="1"/>
      <w:numFmt w:val="bullet"/>
      <w:lvlText w:val="o"/>
      <w:lvlJc w:val="left"/>
      <w:pPr>
        <w:tabs>
          <w:tab w:val="num" w:pos="1440"/>
        </w:tabs>
        <w:ind w:left="1440" w:hanging="360"/>
      </w:pPr>
      <w:rPr>
        <w:rFonts w:ascii="Courier New" w:hAnsi="Courier New" w:cs="Courier New" w:hint="default"/>
      </w:rPr>
    </w:lvl>
    <w:lvl w:ilvl="2" w:tplc="DB7478DC" w:tentative="1">
      <w:start w:val="1"/>
      <w:numFmt w:val="bullet"/>
      <w:lvlText w:val=""/>
      <w:lvlJc w:val="left"/>
      <w:pPr>
        <w:tabs>
          <w:tab w:val="num" w:pos="2160"/>
        </w:tabs>
        <w:ind w:left="2160" w:hanging="360"/>
      </w:pPr>
      <w:rPr>
        <w:rFonts w:ascii="Wingdings" w:hAnsi="Wingdings" w:hint="default"/>
      </w:rPr>
    </w:lvl>
    <w:lvl w:ilvl="3" w:tplc="34C011A8" w:tentative="1">
      <w:start w:val="1"/>
      <w:numFmt w:val="bullet"/>
      <w:lvlText w:val=""/>
      <w:lvlJc w:val="left"/>
      <w:pPr>
        <w:tabs>
          <w:tab w:val="num" w:pos="2880"/>
        </w:tabs>
        <w:ind w:left="2880" w:hanging="360"/>
      </w:pPr>
      <w:rPr>
        <w:rFonts w:ascii="Symbol" w:hAnsi="Symbol" w:hint="default"/>
      </w:rPr>
    </w:lvl>
    <w:lvl w:ilvl="4" w:tplc="B37C0992" w:tentative="1">
      <w:start w:val="1"/>
      <w:numFmt w:val="bullet"/>
      <w:lvlText w:val="o"/>
      <w:lvlJc w:val="left"/>
      <w:pPr>
        <w:tabs>
          <w:tab w:val="num" w:pos="3600"/>
        </w:tabs>
        <w:ind w:left="3600" w:hanging="360"/>
      </w:pPr>
      <w:rPr>
        <w:rFonts w:ascii="Courier New" w:hAnsi="Courier New" w:cs="Courier New" w:hint="default"/>
      </w:rPr>
    </w:lvl>
    <w:lvl w:ilvl="5" w:tplc="8184493C" w:tentative="1">
      <w:start w:val="1"/>
      <w:numFmt w:val="bullet"/>
      <w:lvlText w:val=""/>
      <w:lvlJc w:val="left"/>
      <w:pPr>
        <w:tabs>
          <w:tab w:val="num" w:pos="4320"/>
        </w:tabs>
        <w:ind w:left="4320" w:hanging="360"/>
      </w:pPr>
      <w:rPr>
        <w:rFonts w:ascii="Wingdings" w:hAnsi="Wingdings" w:hint="default"/>
      </w:rPr>
    </w:lvl>
    <w:lvl w:ilvl="6" w:tplc="0384560E" w:tentative="1">
      <w:start w:val="1"/>
      <w:numFmt w:val="bullet"/>
      <w:lvlText w:val=""/>
      <w:lvlJc w:val="left"/>
      <w:pPr>
        <w:tabs>
          <w:tab w:val="num" w:pos="5040"/>
        </w:tabs>
        <w:ind w:left="5040" w:hanging="360"/>
      </w:pPr>
      <w:rPr>
        <w:rFonts w:ascii="Symbol" w:hAnsi="Symbol" w:hint="default"/>
      </w:rPr>
    </w:lvl>
    <w:lvl w:ilvl="7" w:tplc="D3B6792A" w:tentative="1">
      <w:start w:val="1"/>
      <w:numFmt w:val="bullet"/>
      <w:lvlText w:val="o"/>
      <w:lvlJc w:val="left"/>
      <w:pPr>
        <w:tabs>
          <w:tab w:val="num" w:pos="5760"/>
        </w:tabs>
        <w:ind w:left="5760" w:hanging="360"/>
      </w:pPr>
      <w:rPr>
        <w:rFonts w:ascii="Courier New" w:hAnsi="Courier New" w:cs="Courier New" w:hint="default"/>
      </w:rPr>
    </w:lvl>
    <w:lvl w:ilvl="8" w:tplc="ACCA67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75E90"/>
    <w:multiLevelType w:val="hybridMultilevel"/>
    <w:tmpl w:val="A998D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172637"/>
    <w:multiLevelType w:val="hybridMultilevel"/>
    <w:tmpl w:val="B1B01EF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A86576"/>
    <w:multiLevelType w:val="hybridMultilevel"/>
    <w:tmpl w:val="C41E2490"/>
    <w:lvl w:ilvl="0" w:tplc="935228FE">
      <w:start w:val="1"/>
      <w:numFmt w:val="bullet"/>
      <w:lvlText w:val=""/>
      <w:lvlJc w:val="left"/>
      <w:pPr>
        <w:ind w:left="1440" w:hanging="360"/>
      </w:pPr>
      <w:rPr>
        <w:rFonts w:ascii="Symbol" w:hAnsi="Symbol"/>
      </w:rPr>
    </w:lvl>
    <w:lvl w:ilvl="1" w:tplc="071883F4">
      <w:start w:val="1"/>
      <w:numFmt w:val="bullet"/>
      <w:lvlText w:val=""/>
      <w:lvlJc w:val="left"/>
      <w:pPr>
        <w:ind w:left="2160" w:hanging="360"/>
      </w:pPr>
      <w:rPr>
        <w:rFonts w:ascii="Symbol" w:hAnsi="Symbol"/>
      </w:rPr>
    </w:lvl>
    <w:lvl w:ilvl="2" w:tplc="F496A636">
      <w:start w:val="1"/>
      <w:numFmt w:val="bullet"/>
      <w:lvlText w:val=""/>
      <w:lvlJc w:val="left"/>
      <w:pPr>
        <w:ind w:left="1440" w:hanging="360"/>
      </w:pPr>
      <w:rPr>
        <w:rFonts w:ascii="Symbol" w:hAnsi="Symbol"/>
      </w:rPr>
    </w:lvl>
    <w:lvl w:ilvl="3" w:tplc="FA844D50">
      <w:start w:val="1"/>
      <w:numFmt w:val="bullet"/>
      <w:lvlText w:val=""/>
      <w:lvlJc w:val="left"/>
      <w:pPr>
        <w:ind w:left="1440" w:hanging="360"/>
      </w:pPr>
      <w:rPr>
        <w:rFonts w:ascii="Symbol" w:hAnsi="Symbol"/>
      </w:rPr>
    </w:lvl>
    <w:lvl w:ilvl="4" w:tplc="7E1695C6">
      <w:start w:val="1"/>
      <w:numFmt w:val="bullet"/>
      <w:lvlText w:val=""/>
      <w:lvlJc w:val="left"/>
      <w:pPr>
        <w:ind w:left="1440" w:hanging="360"/>
      </w:pPr>
      <w:rPr>
        <w:rFonts w:ascii="Symbol" w:hAnsi="Symbol"/>
      </w:rPr>
    </w:lvl>
    <w:lvl w:ilvl="5" w:tplc="55C4B412">
      <w:start w:val="1"/>
      <w:numFmt w:val="bullet"/>
      <w:lvlText w:val=""/>
      <w:lvlJc w:val="left"/>
      <w:pPr>
        <w:ind w:left="1440" w:hanging="360"/>
      </w:pPr>
      <w:rPr>
        <w:rFonts w:ascii="Symbol" w:hAnsi="Symbol"/>
      </w:rPr>
    </w:lvl>
    <w:lvl w:ilvl="6" w:tplc="CDBE90D0">
      <w:start w:val="1"/>
      <w:numFmt w:val="bullet"/>
      <w:lvlText w:val=""/>
      <w:lvlJc w:val="left"/>
      <w:pPr>
        <w:ind w:left="1440" w:hanging="360"/>
      </w:pPr>
      <w:rPr>
        <w:rFonts w:ascii="Symbol" w:hAnsi="Symbol"/>
      </w:rPr>
    </w:lvl>
    <w:lvl w:ilvl="7" w:tplc="E63AD29E">
      <w:start w:val="1"/>
      <w:numFmt w:val="bullet"/>
      <w:lvlText w:val=""/>
      <w:lvlJc w:val="left"/>
      <w:pPr>
        <w:ind w:left="1440" w:hanging="360"/>
      </w:pPr>
      <w:rPr>
        <w:rFonts w:ascii="Symbol" w:hAnsi="Symbol"/>
      </w:rPr>
    </w:lvl>
    <w:lvl w:ilvl="8" w:tplc="8E7C9504">
      <w:start w:val="1"/>
      <w:numFmt w:val="bullet"/>
      <w:lvlText w:val=""/>
      <w:lvlJc w:val="left"/>
      <w:pPr>
        <w:ind w:left="1440" w:hanging="360"/>
      </w:pPr>
      <w:rPr>
        <w:rFonts w:ascii="Symbol" w:hAnsi="Symbol"/>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560632"/>
    <w:multiLevelType w:val="hybridMultilevel"/>
    <w:tmpl w:val="FF121EB6"/>
    <w:lvl w:ilvl="0" w:tplc="47BEA88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5785719">
    <w:abstractNumId w:val="10"/>
  </w:num>
  <w:num w:numId="2" w16cid:durableId="672682515">
    <w:abstractNumId w:val="7"/>
  </w:num>
  <w:num w:numId="3" w16cid:durableId="1719817377">
    <w:abstractNumId w:val="6"/>
  </w:num>
  <w:num w:numId="4" w16cid:durableId="211620413">
    <w:abstractNumId w:val="5"/>
  </w:num>
  <w:num w:numId="5" w16cid:durableId="1147668123">
    <w:abstractNumId w:val="4"/>
  </w:num>
  <w:num w:numId="6" w16cid:durableId="889459454">
    <w:abstractNumId w:val="8"/>
  </w:num>
  <w:num w:numId="7" w16cid:durableId="1207764694">
    <w:abstractNumId w:val="3"/>
  </w:num>
  <w:num w:numId="8" w16cid:durableId="1671835875">
    <w:abstractNumId w:val="2"/>
  </w:num>
  <w:num w:numId="9" w16cid:durableId="817528341">
    <w:abstractNumId w:val="1"/>
  </w:num>
  <w:num w:numId="10" w16cid:durableId="567763097">
    <w:abstractNumId w:val="0"/>
  </w:num>
  <w:num w:numId="11" w16cid:durableId="299387906">
    <w:abstractNumId w:val="9"/>
  </w:num>
  <w:num w:numId="12" w16cid:durableId="1595092304">
    <w:abstractNumId w:val="12"/>
  </w:num>
  <w:num w:numId="13" w16cid:durableId="1600067898">
    <w:abstractNumId w:val="17"/>
  </w:num>
  <w:num w:numId="14" w16cid:durableId="2074156326">
    <w:abstractNumId w:val="13"/>
  </w:num>
  <w:num w:numId="15" w16cid:durableId="1075589490">
    <w:abstractNumId w:val="18"/>
  </w:num>
  <w:num w:numId="16" w16cid:durableId="1955793927">
    <w:abstractNumId w:val="14"/>
  </w:num>
  <w:num w:numId="17" w16cid:durableId="800920290">
    <w:abstractNumId w:val="11"/>
  </w:num>
  <w:num w:numId="18" w16cid:durableId="770664500">
    <w:abstractNumId w:val="15"/>
  </w:num>
  <w:num w:numId="19" w16cid:durableId="4754915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6E1"/>
    <w:rsid w:val="00013862"/>
    <w:rsid w:val="00014599"/>
    <w:rsid w:val="00016012"/>
    <w:rsid w:val="00020189"/>
    <w:rsid w:val="00020EE4"/>
    <w:rsid w:val="00020FCB"/>
    <w:rsid w:val="000217E8"/>
    <w:rsid w:val="00023E9A"/>
    <w:rsid w:val="00025A42"/>
    <w:rsid w:val="00030F75"/>
    <w:rsid w:val="00033CDD"/>
    <w:rsid w:val="00034A84"/>
    <w:rsid w:val="00034D28"/>
    <w:rsid w:val="00035E67"/>
    <w:rsid w:val="000366F3"/>
    <w:rsid w:val="000375C2"/>
    <w:rsid w:val="000407BB"/>
    <w:rsid w:val="0005404B"/>
    <w:rsid w:val="0005447D"/>
    <w:rsid w:val="000546DE"/>
    <w:rsid w:val="0006024D"/>
    <w:rsid w:val="00062055"/>
    <w:rsid w:val="000627CE"/>
    <w:rsid w:val="00065462"/>
    <w:rsid w:val="00071F28"/>
    <w:rsid w:val="00074079"/>
    <w:rsid w:val="000765B6"/>
    <w:rsid w:val="00077CD8"/>
    <w:rsid w:val="0008289C"/>
    <w:rsid w:val="0008539E"/>
    <w:rsid w:val="00092799"/>
    <w:rsid w:val="00092A99"/>
    <w:rsid w:val="00092C5F"/>
    <w:rsid w:val="00093ABC"/>
    <w:rsid w:val="00094D28"/>
    <w:rsid w:val="00096680"/>
    <w:rsid w:val="000A0321"/>
    <w:rsid w:val="000A0F36"/>
    <w:rsid w:val="000A174A"/>
    <w:rsid w:val="000A3E0A"/>
    <w:rsid w:val="000A65AC"/>
    <w:rsid w:val="000A7914"/>
    <w:rsid w:val="000B14C2"/>
    <w:rsid w:val="000B7281"/>
    <w:rsid w:val="000B7FAB"/>
    <w:rsid w:val="000C1BA1"/>
    <w:rsid w:val="000C2809"/>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224F"/>
    <w:rsid w:val="00164D63"/>
    <w:rsid w:val="0016725C"/>
    <w:rsid w:val="00167DE5"/>
    <w:rsid w:val="0017008F"/>
    <w:rsid w:val="001726F3"/>
    <w:rsid w:val="00173C51"/>
    <w:rsid w:val="001740B9"/>
    <w:rsid w:val="00174CC2"/>
    <w:rsid w:val="00176CC6"/>
    <w:rsid w:val="00177B41"/>
    <w:rsid w:val="0018043B"/>
    <w:rsid w:val="0018193C"/>
    <w:rsid w:val="00181BE4"/>
    <w:rsid w:val="0018496F"/>
    <w:rsid w:val="00184B30"/>
    <w:rsid w:val="00185576"/>
    <w:rsid w:val="00185951"/>
    <w:rsid w:val="00186F0D"/>
    <w:rsid w:val="0019031F"/>
    <w:rsid w:val="00194A00"/>
    <w:rsid w:val="00196B8B"/>
    <w:rsid w:val="001A0BFA"/>
    <w:rsid w:val="001A1608"/>
    <w:rsid w:val="001A2BEA"/>
    <w:rsid w:val="001A325F"/>
    <w:rsid w:val="001A59DB"/>
    <w:rsid w:val="001A6D93"/>
    <w:rsid w:val="001B2BBA"/>
    <w:rsid w:val="001B2F5E"/>
    <w:rsid w:val="001B35FA"/>
    <w:rsid w:val="001C006F"/>
    <w:rsid w:val="001C2C36"/>
    <w:rsid w:val="001C32EC"/>
    <w:rsid w:val="001C38BD"/>
    <w:rsid w:val="001C4CF5"/>
    <w:rsid w:val="001C4D5A"/>
    <w:rsid w:val="001C7778"/>
    <w:rsid w:val="001D193A"/>
    <w:rsid w:val="001D233F"/>
    <w:rsid w:val="001E0256"/>
    <w:rsid w:val="001E34C6"/>
    <w:rsid w:val="001E5581"/>
    <w:rsid w:val="001F0580"/>
    <w:rsid w:val="001F3C70"/>
    <w:rsid w:val="001F5D8D"/>
    <w:rsid w:val="00200D88"/>
    <w:rsid w:val="002016E6"/>
    <w:rsid w:val="00201C09"/>
    <w:rsid w:val="00201F68"/>
    <w:rsid w:val="00207E90"/>
    <w:rsid w:val="00210BA3"/>
    <w:rsid w:val="00212F2A"/>
    <w:rsid w:val="00214F2B"/>
    <w:rsid w:val="00215356"/>
    <w:rsid w:val="00215964"/>
    <w:rsid w:val="00215D8B"/>
    <w:rsid w:val="00217880"/>
    <w:rsid w:val="00222D66"/>
    <w:rsid w:val="0022441A"/>
    <w:rsid w:val="00224A8A"/>
    <w:rsid w:val="002309A8"/>
    <w:rsid w:val="00233FE6"/>
    <w:rsid w:val="00236CFE"/>
    <w:rsid w:val="002428E3"/>
    <w:rsid w:val="0024430A"/>
    <w:rsid w:val="00245FF7"/>
    <w:rsid w:val="00250E6E"/>
    <w:rsid w:val="00253B65"/>
    <w:rsid w:val="0026060B"/>
    <w:rsid w:val="00260BAF"/>
    <w:rsid w:val="002610A6"/>
    <w:rsid w:val="00263FD6"/>
    <w:rsid w:val="002650F7"/>
    <w:rsid w:val="0026686B"/>
    <w:rsid w:val="00273F3B"/>
    <w:rsid w:val="00274531"/>
    <w:rsid w:val="00274DB7"/>
    <w:rsid w:val="002751E3"/>
    <w:rsid w:val="00275984"/>
    <w:rsid w:val="00276199"/>
    <w:rsid w:val="002768F3"/>
    <w:rsid w:val="00276DA4"/>
    <w:rsid w:val="002774D2"/>
    <w:rsid w:val="00280F74"/>
    <w:rsid w:val="00286998"/>
    <w:rsid w:val="0029034D"/>
    <w:rsid w:val="00291AB7"/>
    <w:rsid w:val="0029422B"/>
    <w:rsid w:val="00294DCB"/>
    <w:rsid w:val="002A06CE"/>
    <w:rsid w:val="002A37B5"/>
    <w:rsid w:val="002A6722"/>
    <w:rsid w:val="002B153C"/>
    <w:rsid w:val="002B52FC"/>
    <w:rsid w:val="002C26D0"/>
    <w:rsid w:val="002C2830"/>
    <w:rsid w:val="002C3CE0"/>
    <w:rsid w:val="002C40AF"/>
    <w:rsid w:val="002C6B80"/>
    <w:rsid w:val="002D001A"/>
    <w:rsid w:val="002D28E2"/>
    <w:rsid w:val="002D317B"/>
    <w:rsid w:val="002D3587"/>
    <w:rsid w:val="002D3F4E"/>
    <w:rsid w:val="002D502D"/>
    <w:rsid w:val="002D6C72"/>
    <w:rsid w:val="002E0F69"/>
    <w:rsid w:val="002E1572"/>
    <w:rsid w:val="002E2142"/>
    <w:rsid w:val="002E2DA3"/>
    <w:rsid w:val="002E4CF2"/>
    <w:rsid w:val="002E6FC0"/>
    <w:rsid w:val="002F2158"/>
    <w:rsid w:val="002F258D"/>
    <w:rsid w:val="002F3F37"/>
    <w:rsid w:val="002F493B"/>
    <w:rsid w:val="002F4ED5"/>
    <w:rsid w:val="002F5147"/>
    <w:rsid w:val="002F5A0B"/>
    <w:rsid w:val="002F71BB"/>
    <w:rsid w:val="002F7ABD"/>
    <w:rsid w:val="00307B3C"/>
    <w:rsid w:val="00307D6C"/>
    <w:rsid w:val="00310EF2"/>
    <w:rsid w:val="003115A6"/>
    <w:rsid w:val="00312597"/>
    <w:rsid w:val="00321868"/>
    <w:rsid w:val="00322836"/>
    <w:rsid w:val="00325D4A"/>
    <w:rsid w:val="00325F56"/>
    <w:rsid w:val="00334154"/>
    <w:rsid w:val="003341D0"/>
    <w:rsid w:val="003372C4"/>
    <w:rsid w:val="00340A6B"/>
    <w:rsid w:val="00341FA0"/>
    <w:rsid w:val="00342374"/>
    <w:rsid w:val="00344F3D"/>
    <w:rsid w:val="00345299"/>
    <w:rsid w:val="00351A8D"/>
    <w:rsid w:val="003526BB"/>
    <w:rsid w:val="00352BCF"/>
    <w:rsid w:val="00353932"/>
    <w:rsid w:val="0035464B"/>
    <w:rsid w:val="00354E43"/>
    <w:rsid w:val="00356D2B"/>
    <w:rsid w:val="00361A56"/>
    <w:rsid w:val="0036252A"/>
    <w:rsid w:val="00364D9D"/>
    <w:rsid w:val="00367BA3"/>
    <w:rsid w:val="00371048"/>
    <w:rsid w:val="003735DF"/>
    <w:rsid w:val="0037396C"/>
    <w:rsid w:val="0037421D"/>
    <w:rsid w:val="00374412"/>
    <w:rsid w:val="00376093"/>
    <w:rsid w:val="0037715E"/>
    <w:rsid w:val="00383DA1"/>
    <w:rsid w:val="00385F30"/>
    <w:rsid w:val="00387600"/>
    <w:rsid w:val="00390E9A"/>
    <w:rsid w:val="00393696"/>
    <w:rsid w:val="00393963"/>
    <w:rsid w:val="00395575"/>
    <w:rsid w:val="00395672"/>
    <w:rsid w:val="003A06C8"/>
    <w:rsid w:val="003A0D7C"/>
    <w:rsid w:val="003A7160"/>
    <w:rsid w:val="003B0155"/>
    <w:rsid w:val="003B09DB"/>
    <w:rsid w:val="003B4551"/>
    <w:rsid w:val="003B528D"/>
    <w:rsid w:val="003B7EE7"/>
    <w:rsid w:val="003C2734"/>
    <w:rsid w:val="003C2CCB"/>
    <w:rsid w:val="003C4A1C"/>
    <w:rsid w:val="003C543A"/>
    <w:rsid w:val="003C5BCB"/>
    <w:rsid w:val="003C7C41"/>
    <w:rsid w:val="003D39EC"/>
    <w:rsid w:val="003D40EA"/>
    <w:rsid w:val="003E3DD5"/>
    <w:rsid w:val="003F07C6"/>
    <w:rsid w:val="003F1F6B"/>
    <w:rsid w:val="003F3757"/>
    <w:rsid w:val="003F44B7"/>
    <w:rsid w:val="004008E9"/>
    <w:rsid w:val="004031E8"/>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3248"/>
    <w:rsid w:val="0046315E"/>
    <w:rsid w:val="00463A63"/>
    <w:rsid w:val="00465B52"/>
    <w:rsid w:val="0046708E"/>
    <w:rsid w:val="00467D61"/>
    <w:rsid w:val="0047126E"/>
    <w:rsid w:val="004722BE"/>
    <w:rsid w:val="00472A65"/>
    <w:rsid w:val="00474463"/>
    <w:rsid w:val="00474B75"/>
    <w:rsid w:val="00477C73"/>
    <w:rsid w:val="00483ECA"/>
    <w:rsid w:val="00483F0B"/>
    <w:rsid w:val="0049501A"/>
    <w:rsid w:val="00496319"/>
    <w:rsid w:val="0049657E"/>
    <w:rsid w:val="00497279"/>
    <w:rsid w:val="004A010B"/>
    <w:rsid w:val="004A1CC9"/>
    <w:rsid w:val="004A3186"/>
    <w:rsid w:val="004A419C"/>
    <w:rsid w:val="004A670A"/>
    <w:rsid w:val="004B5465"/>
    <w:rsid w:val="004B6487"/>
    <w:rsid w:val="004B70F0"/>
    <w:rsid w:val="004C0035"/>
    <w:rsid w:val="004C1299"/>
    <w:rsid w:val="004C7E1D"/>
    <w:rsid w:val="004D065C"/>
    <w:rsid w:val="004D25F2"/>
    <w:rsid w:val="004D33FE"/>
    <w:rsid w:val="004D39A8"/>
    <w:rsid w:val="004D4703"/>
    <w:rsid w:val="004D505E"/>
    <w:rsid w:val="004D67E8"/>
    <w:rsid w:val="004D72CA"/>
    <w:rsid w:val="004E2242"/>
    <w:rsid w:val="004E2503"/>
    <w:rsid w:val="004F0F6D"/>
    <w:rsid w:val="004F2483"/>
    <w:rsid w:val="004F42FF"/>
    <w:rsid w:val="004F44C2"/>
    <w:rsid w:val="00505262"/>
    <w:rsid w:val="005107B1"/>
    <w:rsid w:val="00514A40"/>
    <w:rsid w:val="00515AD7"/>
    <w:rsid w:val="00516022"/>
    <w:rsid w:val="00521CEE"/>
    <w:rsid w:val="00527BD4"/>
    <w:rsid w:val="00533061"/>
    <w:rsid w:val="005339A9"/>
    <w:rsid w:val="00533FA1"/>
    <w:rsid w:val="00534C77"/>
    <w:rsid w:val="005403C8"/>
    <w:rsid w:val="00541AD9"/>
    <w:rsid w:val="005429DC"/>
    <w:rsid w:val="005442CC"/>
    <w:rsid w:val="00544D07"/>
    <w:rsid w:val="005565F9"/>
    <w:rsid w:val="005639D2"/>
    <w:rsid w:val="00564488"/>
    <w:rsid w:val="00565739"/>
    <w:rsid w:val="00573041"/>
    <w:rsid w:val="00575B80"/>
    <w:rsid w:val="00577559"/>
    <w:rsid w:val="005801C4"/>
    <w:rsid w:val="005819CE"/>
    <w:rsid w:val="0058298D"/>
    <w:rsid w:val="00587AA5"/>
    <w:rsid w:val="00590595"/>
    <w:rsid w:val="00593C2B"/>
    <w:rsid w:val="00595231"/>
    <w:rsid w:val="00595CBB"/>
    <w:rsid w:val="00596166"/>
    <w:rsid w:val="00597F64"/>
    <w:rsid w:val="005A1AF5"/>
    <w:rsid w:val="005A207F"/>
    <w:rsid w:val="005A2F35"/>
    <w:rsid w:val="005A3199"/>
    <w:rsid w:val="005A6457"/>
    <w:rsid w:val="005A7512"/>
    <w:rsid w:val="005B09E6"/>
    <w:rsid w:val="005B3441"/>
    <w:rsid w:val="005B463E"/>
    <w:rsid w:val="005B4E40"/>
    <w:rsid w:val="005B4FAC"/>
    <w:rsid w:val="005B5D8B"/>
    <w:rsid w:val="005C34E1"/>
    <w:rsid w:val="005C3FE0"/>
    <w:rsid w:val="005C4C82"/>
    <w:rsid w:val="005C740C"/>
    <w:rsid w:val="005D2660"/>
    <w:rsid w:val="005D283A"/>
    <w:rsid w:val="005D625B"/>
    <w:rsid w:val="005E3322"/>
    <w:rsid w:val="005E436C"/>
    <w:rsid w:val="005E64E2"/>
    <w:rsid w:val="005E7560"/>
    <w:rsid w:val="005F62D3"/>
    <w:rsid w:val="005F6D11"/>
    <w:rsid w:val="00600CF0"/>
    <w:rsid w:val="006016B8"/>
    <w:rsid w:val="006048F4"/>
    <w:rsid w:val="00604B18"/>
    <w:rsid w:val="0060660A"/>
    <w:rsid w:val="00610A24"/>
    <w:rsid w:val="00613B1D"/>
    <w:rsid w:val="00617311"/>
    <w:rsid w:val="00617A44"/>
    <w:rsid w:val="006202B6"/>
    <w:rsid w:val="006205C0"/>
    <w:rsid w:val="00623CB2"/>
    <w:rsid w:val="00625CD0"/>
    <w:rsid w:val="0062627D"/>
    <w:rsid w:val="00627432"/>
    <w:rsid w:val="0063279D"/>
    <w:rsid w:val="00632DDD"/>
    <w:rsid w:val="00635031"/>
    <w:rsid w:val="0064192A"/>
    <w:rsid w:val="00642768"/>
    <w:rsid w:val="006448E4"/>
    <w:rsid w:val="00645414"/>
    <w:rsid w:val="00645705"/>
    <w:rsid w:val="0065244E"/>
    <w:rsid w:val="006534D0"/>
    <w:rsid w:val="00653606"/>
    <w:rsid w:val="006610E9"/>
    <w:rsid w:val="00661591"/>
    <w:rsid w:val="00662A78"/>
    <w:rsid w:val="00663187"/>
    <w:rsid w:val="0066632F"/>
    <w:rsid w:val="00672CDC"/>
    <w:rsid w:val="00674A89"/>
    <w:rsid w:val="00674F3D"/>
    <w:rsid w:val="006765AC"/>
    <w:rsid w:val="00682E02"/>
    <w:rsid w:val="00685545"/>
    <w:rsid w:val="006864B3"/>
    <w:rsid w:val="00686AED"/>
    <w:rsid w:val="00687511"/>
    <w:rsid w:val="00692BA9"/>
    <w:rsid w:val="00692C30"/>
    <w:rsid w:val="00692D64"/>
    <w:rsid w:val="006A10F8"/>
    <w:rsid w:val="006A2100"/>
    <w:rsid w:val="006B0BF3"/>
    <w:rsid w:val="006B1521"/>
    <w:rsid w:val="006B2A77"/>
    <w:rsid w:val="006B2D2E"/>
    <w:rsid w:val="006B421D"/>
    <w:rsid w:val="006B5113"/>
    <w:rsid w:val="006B5D37"/>
    <w:rsid w:val="006B775E"/>
    <w:rsid w:val="006B7B87"/>
    <w:rsid w:val="006B7BC7"/>
    <w:rsid w:val="006C0013"/>
    <w:rsid w:val="006C2093"/>
    <w:rsid w:val="006C2278"/>
    <w:rsid w:val="006C2535"/>
    <w:rsid w:val="006C311B"/>
    <w:rsid w:val="006C313B"/>
    <w:rsid w:val="006C441E"/>
    <w:rsid w:val="006C453D"/>
    <w:rsid w:val="006C4B90"/>
    <w:rsid w:val="006C54E0"/>
    <w:rsid w:val="006D1016"/>
    <w:rsid w:val="006D17F2"/>
    <w:rsid w:val="006D2D53"/>
    <w:rsid w:val="006E3546"/>
    <w:rsid w:val="006E3FA9"/>
    <w:rsid w:val="006E7D82"/>
    <w:rsid w:val="006F038F"/>
    <w:rsid w:val="006F0F93"/>
    <w:rsid w:val="006F12D1"/>
    <w:rsid w:val="006F259D"/>
    <w:rsid w:val="006F273B"/>
    <w:rsid w:val="006F31F2"/>
    <w:rsid w:val="00700B75"/>
    <w:rsid w:val="00704845"/>
    <w:rsid w:val="00706AB3"/>
    <w:rsid w:val="00714DC5"/>
    <w:rsid w:val="00715237"/>
    <w:rsid w:val="0071565C"/>
    <w:rsid w:val="007174F4"/>
    <w:rsid w:val="00721D2E"/>
    <w:rsid w:val="007242CC"/>
    <w:rsid w:val="00724A8B"/>
    <w:rsid w:val="007254A5"/>
    <w:rsid w:val="00725748"/>
    <w:rsid w:val="00727AAC"/>
    <w:rsid w:val="007320A5"/>
    <w:rsid w:val="007345A7"/>
    <w:rsid w:val="00735D88"/>
    <w:rsid w:val="0073720D"/>
    <w:rsid w:val="00737507"/>
    <w:rsid w:val="00740712"/>
    <w:rsid w:val="00740BC0"/>
    <w:rsid w:val="00741309"/>
    <w:rsid w:val="00742AB9"/>
    <w:rsid w:val="00751A6A"/>
    <w:rsid w:val="00753048"/>
    <w:rsid w:val="00754AD6"/>
    <w:rsid w:val="00754FBF"/>
    <w:rsid w:val="007615AC"/>
    <w:rsid w:val="0076283C"/>
    <w:rsid w:val="00764585"/>
    <w:rsid w:val="00767A48"/>
    <w:rsid w:val="00767FEF"/>
    <w:rsid w:val="00770702"/>
    <w:rsid w:val="007709EF"/>
    <w:rsid w:val="00772BB8"/>
    <w:rsid w:val="00777879"/>
    <w:rsid w:val="007815F1"/>
    <w:rsid w:val="00783559"/>
    <w:rsid w:val="007846ED"/>
    <w:rsid w:val="007851C4"/>
    <w:rsid w:val="00785C3B"/>
    <w:rsid w:val="00797AA5"/>
    <w:rsid w:val="007A26BD"/>
    <w:rsid w:val="007A4105"/>
    <w:rsid w:val="007A4F0E"/>
    <w:rsid w:val="007A514C"/>
    <w:rsid w:val="007A7A1A"/>
    <w:rsid w:val="007B0D8E"/>
    <w:rsid w:val="007B4503"/>
    <w:rsid w:val="007B4968"/>
    <w:rsid w:val="007C03C9"/>
    <w:rsid w:val="007C12B4"/>
    <w:rsid w:val="007C16D8"/>
    <w:rsid w:val="007C406E"/>
    <w:rsid w:val="007C5183"/>
    <w:rsid w:val="007C7573"/>
    <w:rsid w:val="007E14E4"/>
    <w:rsid w:val="007E2B20"/>
    <w:rsid w:val="007F3565"/>
    <w:rsid w:val="007F5331"/>
    <w:rsid w:val="00800CCA"/>
    <w:rsid w:val="0080105C"/>
    <w:rsid w:val="008020F2"/>
    <w:rsid w:val="00806120"/>
    <w:rsid w:val="00810C93"/>
    <w:rsid w:val="00812028"/>
    <w:rsid w:val="00812DD8"/>
    <w:rsid w:val="00813082"/>
    <w:rsid w:val="00813527"/>
    <w:rsid w:val="00814120"/>
    <w:rsid w:val="00814D03"/>
    <w:rsid w:val="00815C7E"/>
    <w:rsid w:val="00816339"/>
    <w:rsid w:val="00816F3E"/>
    <w:rsid w:val="00820DDA"/>
    <w:rsid w:val="00821114"/>
    <w:rsid w:val="008211EF"/>
    <w:rsid w:val="00821FC1"/>
    <w:rsid w:val="00823FBD"/>
    <w:rsid w:val="008267CC"/>
    <w:rsid w:val="0083178B"/>
    <w:rsid w:val="00833695"/>
    <w:rsid w:val="008336B7"/>
    <w:rsid w:val="00833A8E"/>
    <w:rsid w:val="0084255A"/>
    <w:rsid w:val="00842CD8"/>
    <w:rsid w:val="008431FA"/>
    <w:rsid w:val="008506E9"/>
    <w:rsid w:val="00851899"/>
    <w:rsid w:val="008547BA"/>
    <w:rsid w:val="008553C7"/>
    <w:rsid w:val="00857FEB"/>
    <w:rsid w:val="008601AF"/>
    <w:rsid w:val="00866DDA"/>
    <w:rsid w:val="00872271"/>
    <w:rsid w:val="008731F6"/>
    <w:rsid w:val="00874982"/>
    <w:rsid w:val="008762B6"/>
    <w:rsid w:val="00877005"/>
    <w:rsid w:val="00882C25"/>
    <w:rsid w:val="00883137"/>
    <w:rsid w:val="00886A1C"/>
    <w:rsid w:val="00887368"/>
    <w:rsid w:val="00887540"/>
    <w:rsid w:val="00892BA5"/>
    <w:rsid w:val="008A08AC"/>
    <w:rsid w:val="008A1F5D"/>
    <w:rsid w:val="008A28F5"/>
    <w:rsid w:val="008B0E6F"/>
    <w:rsid w:val="008B1198"/>
    <w:rsid w:val="008B2349"/>
    <w:rsid w:val="008B3471"/>
    <w:rsid w:val="008B3479"/>
    <w:rsid w:val="008B3929"/>
    <w:rsid w:val="008B3BAB"/>
    <w:rsid w:val="008B4125"/>
    <w:rsid w:val="008B4CB3"/>
    <w:rsid w:val="008B567B"/>
    <w:rsid w:val="008B7B24"/>
    <w:rsid w:val="008C1E20"/>
    <w:rsid w:val="008C356D"/>
    <w:rsid w:val="008D1583"/>
    <w:rsid w:val="008E0B3F"/>
    <w:rsid w:val="008E1341"/>
    <w:rsid w:val="008E3932"/>
    <w:rsid w:val="008E49AD"/>
    <w:rsid w:val="008E698E"/>
    <w:rsid w:val="008F123F"/>
    <w:rsid w:val="008F2584"/>
    <w:rsid w:val="008F3246"/>
    <w:rsid w:val="008F3C1B"/>
    <w:rsid w:val="008F508C"/>
    <w:rsid w:val="00900EA4"/>
    <w:rsid w:val="0090271B"/>
    <w:rsid w:val="00910642"/>
    <w:rsid w:val="00910DB7"/>
    <w:rsid w:val="00910DDF"/>
    <w:rsid w:val="009132D4"/>
    <w:rsid w:val="00921861"/>
    <w:rsid w:val="0092458E"/>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45B"/>
    <w:rsid w:val="009838BB"/>
    <w:rsid w:val="00983E8F"/>
    <w:rsid w:val="00992338"/>
    <w:rsid w:val="00994FDA"/>
    <w:rsid w:val="0099613A"/>
    <w:rsid w:val="00997D15"/>
    <w:rsid w:val="009A2814"/>
    <w:rsid w:val="009A31BF"/>
    <w:rsid w:val="009A3503"/>
    <w:rsid w:val="009A3B71"/>
    <w:rsid w:val="009A4F50"/>
    <w:rsid w:val="009A5914"/>
    <w:rsid w:val="009A61BC"/>
    <w:rsid w:val="009B0138"/>
    <w:rsid w:val="009B0FE9"/>
    <w:rsid w:val="009B173A"/>
    <w:rsid w:val="009B5846"/>
    <w:rsid w:val="009B601B"/>
    <w:rsid w:val="009C3F20"/>
    <w:rsid w:val="009C64FB"/>
    <w:rsid w:val="009C7CA1"/>
    <w:rsid w:val="009D043D"/>
    <w:rsid w:val="009D12AA"/>
    <w:rsid w:val="009D5079"/>
    <w:rsid w:val="009D716F"/>
    <w:rsid w:val="009E0173"/>
    <w:rsid w:val="009E0E85"/>
    <w:rsid w:val="009E3B07"/>
    <w:rsid w:val="009F3259"/>
    <w:rsid w:val="009F541F"/>
    <w:rsid w:val="00A056DE"/>
    <w:rsid w:val="00A0678A"/>
    <w:rsid w:val="00A1289E"/>
    <w:rsid w:val="00A128AD"/>
    <w:rsid w:val="00A13F01"/>
    <w:rsid w:val="00A16CD9"/>
    <w:rsid w:val="00A20730"/>
    <w:rsid w:val="00A21E76"/>
    <w:rsid w:val="00A23BC8"/>
    <w:rsid w:val="00A2531F"/>
    <w:rsid w:val="00A30E68"/>
    <w:rsid w:val="00A31933"/>
    <w:rsid w:val="00A32073"/>
    <w:rsid w:val="00A329EA"/>
    <w:rsid w:val="00A34AA0"/>
    <w:rsid w:val="00A40B73"/>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1D39"/>
    <w:rsid w:val="00A831FD"/>
    <w:rsid w:val="00A83352"/>
    <w:rsid w:val="00A850A2"/>
    <w:rsid w:val="00A909A9"/>
    <w:rsid w:val="00A91995"/>
    <w:rsid w:val="00A91FA3"/>
    <w:rsid w:val="00A927D3"/>
    <w:rsid w:val="00A9429A"/>
    <w:rsid w:val="00AA70B0"/>
    <w:rsid w:val="00AA7FC9"/>
    <w:rsid w:val="00AB237D"/>
    <w:rsid w:val="00AB50E6"/>
    <w:rsid w:val="00AB5933"/>
    <w:rsid w:val="00AC40C8"/>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0EBE"/>
    <w:rsid w:val="00B12456"/>
    <w:rsid w:val="00B132B0"/>
    <w:rsid w:val="00B173C6"/>
    <w:rsid w:val="00B20109"/>
    <w:rsid w:val="00B21FF9"/>
    <w:rsid w:val="00B220A5"/>
    <w:rsid w:val="00B2317A"/>
    <w:rsid w:val="00B236DB"/>
    <w:rsid w:val="00B259C8"/>
    <w:rsid w:val="00B26CCF"/>
    <w:rsid w:val="00B30FC2"/>
    <w:rsid w:val="00B31BA0"/>
    <w:rsid w:val="00B331A2"/>
    <w:rsid w:val="00B33CF2"/>
    <w:rsid w:val="00B350A2"/>
    <w:rsid w:val="00B37D3F"/>
    <w:rsid w:val="00B425F0"/>
    <w:rsid w:val="00B429B4"/>
    <w:rsid w:val="00B42DFA"/>
    <w:rsid w:val="00B50571"/>
    <w:rsid w:val="00B531DD"/>
    <w:rsid w:val="00B54989"/>
    <w:rsid w:val="00B55014"/>
    <w:rsid w:val="00B55ADB"/>
    <w:rsid w:val="00B62232"/>
    <w:rsid w:val="00B626DD"/>
    <w:rsid w:val="00B70BF3"/>
    <w:rsid w:val="00B70D24"/>
    <w:rsid w:val="00B70E51"/>
    <w:rsid w:val="00B71DC2"/>
    <w:rsid w:val="00B73FFF"/>
    <w:rsid w:val="00B74077"/>
    <w:rsid w:val="00B80DB6"/>
    <w:rsid w:val="00B81AD2"/>
    <w:rsid w:val="00B81AEC"/>
    <w:rsid w:val="00B85A66"/>
    <w:rsid w:val="00B85ED4"/>
    <w:rsid w:val="00B85F07"/>
    <w:rsid w:val="00B86597"/>
    <w:rsid w:val="00B90407"/>
    <w:rsid w:val="00B91CFC"/>
    <w:rsid w:val="00B93893"/>
    <w:rsid w:val="00BA1F75"/>
    <w:rsid w:val="00BA26FF"/>
    <w:rsid w:val="00BA3286"/>
    <w:rsid w:val="00BA439D"/>
    <w:rsid w:val="00BA7E0A"/>
    <w:rsid w:val="00BB61B0"/>
    <w:rsid w:val="00BC0D9E"/>
    <w:rsid w:val="00BC3B53"/>
    <w:rsid w:val="00BC3B96"/>
    <w:rsid w:val="00BC4AE3"/>
    <w:rsid w:val="00BC5B28"/>
    <w:rsid w:val="00BC7264"/>
    <w:rsid w:val="00BD24C3"/>
    <w:rsid w:val="00BE17D4"/>
    <w:rsid w:val="00BE2863"/>
    <w:rsid w:val="00BE3F88"/>
    <w:rsid w:val="00BE4756"/>
    <w:rsid w:val="00BE5ED9"/>
    <w:rsid w:val="00BE7B41"/>
    <w:rsid w:val="00BF16D9"/>
    <w:rsid w:val="00BF4427"/>
    <w:rsid w:val="00BF46B6"/>
    <w:rsid w:val="00BF5675"/>
    <w:rsid w:val="00C1018D"/>
    <w:rsid w:val="00C153BD"/>
    <w:rsid w:val="00C15A91"/>
    <w:rsid w:val="00C206F1"/>
    <w:rsid w:val="00C20B38"/>
    <w:rsid w:val="00C2159D"/>
    <w:rsid w:val="00C217E1"/>
    <w:rsid w:val="00C219B1"/>
    <w:rsid w:val="00C231E2"/>
    <w:rsid w:val="00C2703D"/>
    <w:rsid w:val="00C270D2"/>
    <w:rsid w:val="00C30C6D"/>
    <w:rsid w:val="00C311EC"/>
    <w:rsid w:val="00C352B6"/>
    <w:rsid w:val="00C36D90"/>
    <w:rsid w:val="00C4015B"/>
    <w:rsid w:val="00C4044E"/>
    <w:rsid w:val="00C40C60"/>
    <w:rsid w:val="00C44487"/>
    <w:rsid w:val="00C47F04"/>
    <w:rsid w:val="00C50E87"/>
    <w:rsid w:val="00C5258E"/>
    <w:rsid w:val="00C52EEC"/>
    <w:rsid w:val="00C5333A"/>
    <w:rsid w:val="00C53BD7"/>
    <w:rsid w:val="00C55923"/>
    <w:rsid w:val="00C619A7"/>
    <w:rsid w:val="00C6385D"/>
    <w:rsid w:val="00C64E34"/>
    <w:rsid w:val="00C6545E"/>
    <w:rsid w:val="00C7097A"/>
    <w:rsid w:val="00C736E8"/>
    <w:rsid w:val="00C73D5F"/>
    <w:rsid w:val="00C74D1F"/>
    <w:rsid w:val="00C965EF"/>
    <w:rsid w:val="00C97C80"/>
    <w:rsid w:val="00CA1D00"/>
    <w:rsid w:val="00CA35E4"/>
    <w:rsid w:val="00CA47D3"/>
    <w:rsid w:val="00CA6533"/>
    <w:rsid w:val="00CA6A25"/>
    <w:rsid w:val="00CA6A3F"/>
    <w:rsid w:val="00CA7C99"/>
    <w:rsid w:val="00CB133B"/>
    <w:rsid w:val="00CC15DE"/>
    <w:rsid w:val="00CC2B34"/>
    <w:rsid w:val="00CC6290"/>
    <w:rsid w:val="00CD233D"/>
    <w:rsid w:val="00CD362D"/>
    <w:rsid w:val="00CE101D"/>
    <w:rsid w:val="00CE1C84"/>
    <w:rsid w:val="00CE4E63"/>
    <w:rsid w:val="00CE5055"/>
    <w:rsid w:val="00CE6426"/>
    <w:rsid w:val="00CF053F"/>
    <w:rsid w:val="00CF1A17"/>
    <w:rsid w:val="00CF3F85"/>
    <w:rsid w:val="00D0140D"/>
    <w:rsid w:val="00D01C92"/>
    <w:rsid w:val="00D030AB"/>
    <w:rsid w:val="00D037A9"/>
    <w:rsid w:val="00D0609E"/>
    <w:rsid w:val="00D078E1"/>
    <w:rsid w:val="00D100E9"/>
    <w:rsid w:val="00D1538A"/>
    <w:rsid w:val="00D17084"/>
    <w:rsid w:val="00D175C7"/>
    <w:rsid w:val="00D1791D"/>
    <w:rsid w:val="00D20B97"/>
    <w:rsid w:val="00D21E4B"/>
    <w:rsid w:val="00D22588"/>
    <w:rsid w:val="00D22689"/>
    <w:rsid w:val="00D23522"/>
    <w:rsid w:val="00D235CF"/>
    <w:rsid w:val="00D25E75"/>
    <w:rsid w:val="00D264D6"/>
    <w:rsid w:val="00D33144"/>
    <w:rsid w:val="00D33A96"/>
    <w:rsid w:val="00D33BF0"/>
    <w:rsid w:val="00D33F30"/>
    <w:rsid w:val="00D34892"/>
    <w:rsid w:val="00D36088"/>
    <w:rsid w:val="00D36447"/>
    <w:rsid w:val="00D41CE8"/>
    <w:rsid w:val="00D44B73"/>
    <w:rsid w:val="00D516BE"/>
    <w:rsid w:val="00D5423B"/>
    <w:rsid w:val="00D54B43"/>
    <w:rsid w:val="00D54F4E"/>
    <w:rsid w:val="00D604B3"/>
    <w:rsid w:val="00D60BA4"/>
    <w:rsid w:val="00D610A7"/>
    <w:rsid w:val="00D62419"/>
    <w:rsid w:val="00D62AD8"/>
    <w:rsid w:val="00D65336"/>
    <w:rsid w:val="00D66074"/>
    <w:rsid w:val="00D7203F"/>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7A27"/>
    <w:rsid w:val="00DB36FE"/>
    <w:rsid w:val="00DB38E3"/>
    <w:rsid w:val="00DB533A"/>
    <w:rsid w:val="00DB6307"/>
    <w:rsid w:val="00DB63FE"/>
    <w:rsid w:val="00DC18F3"/>
    <w:rsid w:val="00DC2377"/>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768"/>
    <w:rsid w:val="00E16A8F"/>
    <w:rsid w:val="00E17CA2"/>
    <w:rsid w:val="00E20C25"/>
    <w:rsid w:val="00E21DE3"/>
    <w:rsid w:val="00E233D5"/>
    <w:rsid w:val="00E25B82"/>
    <w:rsid w:val="00E279E3"/>
    <w:rsid w:val="00E307D1"/>
    <w:rsid w:val="00E35710"/>
    <w:rsid w:val="00E35CF4"/>
    <w:rsid w:val="00E3731D"/>
    <w:rsid w:val="00E37811"/>
    <w:rsid w:val="00E442A7"/>
    <w:rsid w:val="00E468E4"/>
    <w:rsid w:val="00E51469"/>
    <w:rsid w:val="00E54114"/>
    <w:rsid w:val="00E62709"/>
    <w:rsid w:val="00E634E3"/>
    <w:rsid w:val="00E717C4"/>
    <w:rsid w:val="00E7185C"/>
    <w:rsid w:val="00E74D10"/>
    <w:rsid w:val="00E776C6"/>
    <w:rsid w:val="00E77F89"/>
    <w:rsid w:val="00E80E71"/>
    <w:rsid w:val="00E8110C"/>
    <w:rsid w:val="00E81589"/>
    <w:rsid w:val="00E82102"/>
    <w:rsid w:val="00E850D3"/>
    <w:rsid w:val="00E853D6"/>
    <w:rsid w:val="00E8544F"/>
    <w:rsid w:val="00E876B9"/>
    <w:rsid w:val="00E91B40"/>
    <w:rsid w:val="00E91F7C"/>
    <w:rsid w:val="00E94D82"/>
    <w:rsid w:val="00E96950"/>
    <w:rsid w:val="00E972A2"/>
    <w:rsid w:val="00EA5BA2"/>
    <w:rsid w:val="00EA6416"/>
    <w:rsid w:val="00EB73E0"/>
    <w:rsid w:val="00EC0DFF"/>
    <w:rsid w:val="00EC237D"/>
    <w:rsid w:val="00EC25AB"/>
    <w:rsid w:val="00EC25B9"/>
    <w:rsid w:val="00EC2927"/>
    <w:rsid w:val="00EC4D0E"/>
    <w:rsid w:val="00EC4E2B"/>
    <w:rsid w:val="00EC6A20"/>
    <w:rsid w:val="00ED072A"/>
    <w:rsid w:val="00ED2F32"/>
    <w:rsid w:val="00ED539E"/>
    <w:rsid w:val="00ED576F"/>
    <w:rsid w:val="00ED5E4D"/>
    <w:rsid w:val="00EE4A1F"/>
    <w:rsid w:val="00EE4C2D"/>
    <w:rsid w:val="00EE5E52"/>
    <w:rsid w:val="00EF0CCB"/>
    <w:rsid w:val="00EF0EAF"/>
    <w:rsid w:val="00EF1B5A"/>
    <w:rsid w:val="00EF24FB"/>
    <w:rsid w:val="00EF2CCA"/>
    <w:rsid w:val="00EF485F"/>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613A"/>
    <w:rsid w:val="00F50F86"/>
    <w:rsid w:val="00F51A76"/>
    <w:rsid w:val="00F5259E"/>
    <w:rsid w:val="00F53862"/>
    <w:rsid w:val="00F53C9D"/>
    <w:rsid w:val="00F53F91"/>
    <w:rsid w:val="00F543E2"/>
    <w:rsid w:val="00F54B9F"/>
    <w:rsid w:val="00F61569"/>
    <w:rsid w:val="00F61A72"/>
    <w:rsid w:val="00F62B67"/>
    <w:rsid w:val="00F66C98"/>
    <w:rsid w:val="00F66F13"/>
    <w:rsid w:val="00F70297"/>
    <w:rsid w:val="00F7145D"/>
    <w:rsid w:val="00F71B5E"/>
    <w:rsid w:val="00F74073"/>
    <w:rsid w:val="00F75603"/>
    <w:rsid w:val="00F77BE5"/>
    <w:rsid w:val="00F77FE9"/>
    <w:rsid w:val="00F8279C"/>
    <w:rsid w:val="00F845B4"/>
    <w:rsid w:val="00F8713B"/>
    <w:rsid w:val="00F904FB"/>
    <w:rsid w:val="00F93F9E"/>
    <w:rsid w:val="00F950BC"/>
    <w:rsid w:val="00FA2CD7"/>
    <w:rsid w:val="00FA5AD5"/>
    <w:rsid w:val="00FA7882"/>
    <w:rsid w:val="00FB06ED"/>
    <w:rsid w:val="00FC08A4"/>
    <w:rsid w:val="00FC202F"/>
    <w:rsid w:val="00FC26F2"/>
    <w:rsid w:val="00FC3165"/>
    <w:rsid w:val="00FC36AB"/>
    <w:rsid w:val="00FC4300"/>
    <w:rsid w:val="00FC7F66"/>
    <w:rsid w:val="00FD5776"/>
    <w:rsid w:val="00FD6A55"/>
    <w:rsid w:val="00FD6CF9"/>
    <w:rsid w:val="00FE1CB6"/>
    <w:rsid w:val="00FE486B"/>
    <w:rsid w:val="00FE4F08"/>
    <w:rsid w:val="00FF0180"/>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48D45"/>
  <w15:docId w15:val="{61626170-3F42-4828-9186-5A656F14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7185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table" w:styleId="Rastertabel5donker">
    <w:name w:val="Grid Table 5 Dark"/>
    <w:basedOn w:val="Standaardtabel"/>
    <w:uiPriority w:val="50"/>
    <w:rsid w:val="001B2F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Onopgemaaktetabel3">
    <w:name w:val="Plain Table 3"/>
    <w:basedOn w:val="Standaardtabel"/>
    <w:uiPriority w:val="43"/>
    <w:rsid w:val="001B2F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2">
    <w:name w:val="Plain Table 2"/>
    <w:basedOn w:val="Standaardtabel"/>
    <w:uiPriority w:val="42"/>
    <w:rsid w:val="001B2F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1">
    <w:name w:val="Plain Table 1"/>
    <w:basedOn w:val="Standaardtabel"/>
    <w:uiPriority w:val="41"/>
    <w:rsid w:val="001B2F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uiPriority w:val="34"/>
    <w:qFormat/>
    <w:rsid w:val="00233FE6"/>
    <w:pPr>
      <w:ind w:left="720"/>
      <w:contextualSpacing/>
    </w:pPr>
  </w:style>
  <w:style w:type="character" w:styleId="Verwijzingopmerking">
    <w:name w:val="annotation reference"/>
    <w:basedOn w:val="Standaardalinea-lettertype"/>
    <w:uiPriority w:val="99"/>
    <w:rsid w:val="00233FE6"/>
    <w:rPr>
      <w:sz w:val="16"/>
      <w:szCs w:val="16"/>
    </w:rPr>
  </w:style>
  <w:style w:type="paragraph" w:styleId="Tekstopmerking">
    <w:name w:val="annotation text"/>
    <w:basedOn w:val="Standaard"/>
    <w:link w:val="TekstopmerkingChar"/>
    <w:rsid w:val="00233FE6"/>
    <w:pPr>
      <w:spacing w:line="240" w:lineRule="auto"/>
    </w:pPr>
    <w:rPr>
      <w:sz w:val="20"/>
      <w:szCs w:val="20"/>
    </w:rPr>
  </w:style>
  <w:style w:type="character" w:customStyle="1" w:styleId="TekstopmerkingChar">
    <w:name w:val="Tekst opmerking Char"/>
    <w:basedOn w:val="Standaardalinea-lettertype"/>
    <w:link w:val="Tekstopmerking"/>
    <w:rsid w:val="00233FE6"/>
    <w:rPr>
      <w:rFonts w:ascii="Verdana" w:hAnsi="Verdana"/>
      <w:lang w:val="nl-NL" w:eastAsia="nl-NL"/>
    </w:rPr>
  </w:style>
  <w:style w:type="paragraph" w:styleId="Onderwerpvanopmerking">
    <w:name w:val="annotation subject"/>
    <w:basedOn w:val="Tekstopmerking"/>
    <w:next w:val="Tekstopmerking"/>
    <w:link w:val="OnderwerpvanopmerkingChar"/>
    <w:rsid w:val="00233FE6"/>
    <w:rPr>
      <w:b/>
      <w:bCs/>
    </w:rPr>
  </w:style>
  <w:style w:type="character" w:customStyle="1" w:styleId="OnderwerpvanopmerkingChar">
    <w:name w:val="Onderwerp van opmerking Char"/>
    <w:basedOn w:val="TekstopmerkingChar"/>
    <w:link w:val="Onderwerpvanopmerking"/>
    <w:rsid w:val="00233FE6"/>
    <w:rPr>
      <w:rFonts w:ascii="Verdana" w:hAnsi="Verdana"/>
      <w:b/>
      <w:bCs/>
      <w:lang w:val="nl-NL" w:eastAsia="nl-NL"/>
    </w:rPr>
  </w:style>
  <w:style w:type="character" w:customStyle="1" w:styleId="VoetnoottekstChar">
    <w:name w:val="Voetnoottekst Char"/>
    <w:basedOn w:val="Standaardalinea-lettertype"/>
    <w:link w:val="Voetnoottekst"/>
    <w:semiHidden/>
    <w:rsid w:val="001F0580"/>
    <w:rPr>
      <w:rFonts w:ascii="Verdana" w:hAnsi="Verdana"/>
      <w:sz w:val="13"/>
      <w:lang w:val="nl-NL" w:eastAsia="nl-NL"/>
    </w:rPr>
  </w:style>
  <w:style w:type="paragraph" w:styleId="Revisie">
    <w:name w:val="Revision"/>
    <w:hidden/>
    <w:uiPriority w:val="99"/>
    <w:semiHidden/>
    <w:rsid w:val="00453248"/>
    <w:rPr>
      <w:rFonts w:ascii="Verdana" w:hAnsi="Verdana"/>
      <w:sz w:val="18"/>
      <w:szCs w:val="24"/>
      <w:lang w:val="nl-NL" w:eastAsia="nl-NL"/>
    </w:rPr>
  </w:style>
  <w:style w:type="paragraph" w:customStyle="1" w:styleId="blauwebox2">
    <w:name w:val="blauwe box2"/>
    <w:basedOn w:val="Standaard"/>
    <w:qFormat/>
    <w:rsid w:val="00DA7A27"/>
    <w:pPr>
      <w:pBdr>
        <w:top w:val="single" w:sz="24" w:space="1" w:color="B8CCE4" w:themeColor="accent1" w:themeTint="66"/>
        <w:left w:val="single" w:sz="24" w:space="4" w:color="B8CCE4" w:themeColor="accent1" w:themeTint="66"/>
        <w:bottom w:val="single" w:sz="24" w:space="1" w:color="B8CCE4" w:themeColor="accent1" w:themeTint="66"/>
        <w:right w:val="single" w:sz="24" w:space="4" w:color="B8CCE4" w:themeColor="accent1" w:themeTint="66"/>
      </w:pBdr>
      <w:shd w:val="clear" w:color="auto" w:fill="B8CCE4" w:themeFill="accent1" w:themeFillTint="66"/>
      <w:overflowPunct w:val="0"/>
      <w:autoSpaceDE w:val="0"/>
      <w:autoSpaceDN w:val="0"/>
      <w:adjustRightInd w:val="0"/>
      <w:textAlignment w:val="baseline"/>
    </w:pPr>
    <w:rPr>
      <w:rFonts w:eastAsia="MS Mincho"/>
      <w:sz w:val="20"/>
      <w:szCs w:val="20"/>
    </w:rPr>
  </w:style>
  <w:style w:type="character" w:styleId="Voetnootmarkering">
    <w:name w:val="footnote reference"/>
    <w:basedOn w:val="Standaardalinea-lettertype"/>
    <w:rsid w:val="00CB133B"/>
    <w:rPr>
      <w:vertAlign w:val="superscript"/>
    </w:rPr>
  </w:style>
  <w:style w:type="character" w:styleId="Onopgelostemelding">
    <w:name w:val="Unresolved Mention"/>
    <w:basedOn w:val="Standaardalinea-lettertype"/>
    <w:uiPriority w:val="99"/>
    <w:semiHidden/>
    <w:unhideWhenUsed/>
    <w:rsid w:val="00BF1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5007">
      <w:bodyDiv w:val="1"/>
      <w:marLeft w:val="0"/>
      <w:marRight w:val="0"/>
      <w:marTop w:val="0"/>
      <w:marBottom w:val="0"/>
      <w:divBdr>
        <w:top w:val="none" w:sz="0" w:space="0" w:color="auto"/>
        <w:left w:val="none" w:sz="0" w:space="0" w:color="auto"/>
        <w:bottom w:val="none" w:sz="0" w:space="0" w:color="auto"/>
        <w:right w:val="none" w:sz="0" w:space="0" w:color="auto"/>
      </w:divBdr>
    </w:div>
    <w:div w:id="466629429">
      <w:bodyDiv w:val="1"/>
      <w:marLeft w:val="0"/>
      <w:marRight w:val="0"/>
      <w:marTop w:val="0"/>
      <w:marBottom w:val="0"/>
      <w:divBdr>
        <w:top w:val="none" w:sz="0" w:space="0" w:color="auto"/>
        <w:left w:val="none" w:sz="0" w:space="0" w:color="auto"/>
        <w:bottom w:val="none" w:sz="0" w:space="0" w:color="auto"/>
        <w:right w:val="none" w:sz="0" w:space="0" w:color="auto"/>
      </w:divBdr>
    </w:div>
    <w:div w:id="593591790">
      <w:bodyDiv w:val="1"/>
      <w:marLeft w:val="0"/>
      <w:marRight w:val="0"/>
      <w:marTop w:val="0"/>
      <w:marBottom w:val="0"/>
      <w:divBdr>
        <w:top w:val="none" w:sz="0" w:space="0" w:color="auto"/>
        <w:left w:val="none" w:sz="0" w:space="0" w:color="auto"/>
        <w:bottom w:val="none" w:sz="0" w:space="0" w:color="auto"/>
        <w:right w:val="none" w:sz="0" w:space="0" w:color="auto"/>
      </w:divBdr>
    </w:div>
    <w:div w:id="1592736026">
      <w:bodyDiv w:val="1"/>
      <w:marLeft w:val="0"/>
      <w:marRight w:val="0"/>
      <w:marTop w:val="0"/>
      <w:marBottom w:val="0"/>
      <w:divBdr>
        <w:top w:val="none" w:sz="0" w:space="0" w:color="auto"/>
        <w:left w:val="none" w:sz="0" w:space="0" w:color="auto"/>
        <w:bottom w:val="none" w:sz="0" w:space="0" w:color="auto"/>
        <w:right w:val="none" w:sz="0" w:space="0" w:color="auto"/>
      </w:divBdr>
    </w:div>
    <w:div w:id="1875387364">
      <w:bodyDiv w:val="1"/>
      <w:marLeft w:val="0"/>
      <w:marRight w:val="0"/>
      <w:marTop w:val="0"/>
      <w:marBottom w:val="0"/>
      <w:divBdr>
        <w:top w:val="none" w:sz="0" w:space="0" w:color="auto"/>
        <w:left w:val="none" w:sz="0" w:space="0" w:color="auto"/>
        <w:bottom w:val="none" w:sz="0" w:space="0" w:color="auto"/>
        <w:right w:val="none" w:sz="0" w:space="0" w:color="auto"/>
      </w:divBdr>
    </w:div>
    <w:div w:id="1957640533">
      <w:bodyDiv w:val="1"/>
      <w:marLeft w:val="0"/>
      <w:marRight w:val="0"/>
      <w:marTop w:val="0"/>
      <w:marBottom w:val="0"/>
      <w:divBdr>
        <w:top w:val="none" w:sz="0" w:space="0" w:color="auto"/>
        <w:left w:val="none" w:sz="0" w:space="0" w:color="auto"/>
        <w:bottom w:val="none" w:sz="0" w:space="0" w:color="auto"/>
        <w:right w:val="none" w:sz="0" w:space="0" w:color="auto"/>
      </w:divBdr>
    </w:div>
    <w:div w:id="1990288102">
      <w:bodyDiv w:val="1"/>
      <w:marLeft w:val="0"/>
      <w:marRight w:val="0"/>
      <w:marTop w:val="0"/>
      <w:marBottom w:val="0"/>
      <w:divBdr>
        <w:top w:val="none" w:sz="0" w:space="0" w:color="auto"/>
        <w:left w:val="none" w:sz="0" w:space="0" w:color="auto"/>
        <w:bottom w:val="none" w:sz="0" w:space="0" w:color="auto"/>
        <w:right w:val="none" w:sz="0" w:space="0" w:color="auto"/>
      </w:divBdr>
    </w:div>
    <w:div w:id="20316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2532</ap:Words>
  <ap:Characters>14755</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2025-11-20T09:23:00.0000000Z</dcterms:created>
  <dcterms:modified xsi:type="dcterms:W3CDTF">2025-11-20T09:35:00.0000000Z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O256BER</vt:lpwstr>
  </property>
  <property fmtid="{D5CDD505-2E9C-101B-9397-08002B2CF9AE}" pid="3" name="Author">
    <vt:lpwstr>O256BER</vt:lpwstr>
  </property>
  <property fmtid="{D5CDD505-2E9C-101B-9397-08002B2CF9AE}" pid="4" name="cs_objectid">
    <vt:lpwstr>55368032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Resultaten Monitor mentale gezondheid en middelengebruik studenten  hoger onderwijs 2025 en TestJeLeefstijl mbo </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O256BER</vt:lpwstr>
  </property>
</Properties>
</file>