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NET 24.8.0 -->
  <w:body>
    <w:p w:rsidR="009D52E8" w:rsidP="009336D1" w14:paraId="2C05B3F7" w14:textId="77777777">
      <w:pPr>
        <w:spacing w:line="276" w:lineRule="auto"/>
        <w:rPr>
          <w:color w:val="auto"/>
        </w:rPr>
      </w:pPr>
      <w:r w:rsidRPr="00171AD6">
        <w:rPr>
          <w:color w:val="000000" w:themeColor="text1"/>
        </w:rPr>
        <w:t>De huurmarkt is voortdurend in beweging. Sinds de inwerkingtreding van de Wet betaalbare huur (</w:t>
      </w:r>
      <w:r w:rsidRPr="00171AD6">
        <w:rPr>
          <w:color w:val="000000" w:themeColor="text1"/>
        </w:rPr>
        <w:t>Wbh</w:t>
      </w:r>
      <w:r w:rsidRPr="00171AD6">
        <w:rPr>
          <w:color w:val="000000" w:themeColor="text1"/>
        </w:rPr>
        <w:t xml:space="preserve">) volg ik de effecten nauwgezet aan de hand van beschikbare data en signalen uit de markt. </w:t>
      </w:r>
      <w:r w:rsidRPr="00183A92">
        <w:rPr>
          <w:color w:val="auto"/>
        </w:rPr>
        <w:t xml:space="preserve">De combinatie van gewijzigde regelgeving, fiscale ontwikkelingen en macro-economische omstandigheden heeft invloed op zowel verhuurders als huurders. </w:t>
      </w:r>
      <w:r w:rsidRPr="00171AD6">
        <w:rPr>
          <w:color w:val="000000" w:themeColor="text1"/>
        </w:rPr>
        <w:t xml:space="preserve">Met deze brief informeer ik uw Kamer over de ontwikkelingen op de huurmarkt, waarbij ik in ga op de cijfers van het Kadaster </w:t>
      </w:r>
      <w:r w:rsidR="00954EBB">
        <w:rPr>
          <w:color w:val="000000" w:themeColor="text1"/>
        </w:rPr>
        <w:t>over</w:t>
      </w:r>
      <w:r w:rsidR="00EB3D7B">
        <w:rPr>
          <w:color w:val="000000" w:themeColor="text1"/>
        </w:rPr>
        <w:t xml:space="preserve"> </w:t>
      </w:r>
      <w:r w:rsidR="00137E47">
        <w:rPr>
          <w:color w:val="000000" w:themeColor="text1"/>
        </w:rPr>
        <w:t>de woningmarkt</w:t>
      </w:r>
      <w:r w:rsidR="00D31B6D">
        <w:rPr>
          <w:color w:val="000000" w:themeColor="text1"/>
        </w:rPr>
        <w:t>transacties</w:t>
      </w:r>
      <w:r w:rsidR="00137E47">
        <w:rPr>
          <w:color w:val="000000" w:themeColor="text1"/>
        </w:rPr>
        <w:t xml:space="preserve"> in </w:t>
      </w:r>
      <w:r w:rsidR="00EB3D7B">
        <w:rPr>
          <w:color w:val="000000" w:themeColor="text1"/>
        </w:rPr>
        <w:t>de eerste helft van 2025</w:t>
      </w:r>
      <w:r w:rsidRPr="00171AD6">
        <w:rPr>
          <w:color w:val="000000" w:themeColor="text1"/>
        </w:rPr>
        <w:t>.</w:t>
      </w:r>
      <w:r>
        <w:rPr>
          <w:rStyle w:val="FootnoteReference"/>
          <w:color w:val="000000" w:themeColor="text1"/>
        </w:rPr>
        <w:footnoteReference w:id="3"/>
      </w:r>
      <w:r>
        <w:rPr>
          <w:color w:val="000000" w:themeColor="text1"/>
        </w:rPr>
        <w:t xml:space="preserve"> </w:t>
      </w:r>
      <w:r w:rsidR="00DE3838">
        <w:rPr>
          <w:color w:val="auto"/>
        </w:rPr>
        <w:t>Daarnaast kom ik met deze brief terug op de motie Klaver/Kouwenhoven</w:t>
      </w:r>
      <w:r>
        <w:rPr>
          <w:rStyle w:val="FootnoteReference"/>
          <w:color w:val="auto"/>
        </w:rPr>
        <w:footnoteReference w:id="4"/>
      </w:r>
      <w:r w:rsidR="00954EBB">
        <w:rPr>
          <w:color w:val="auto"/>
        </w:rPr>
        <w:t xml:space="preserve"> over het ontwerpbesluit aanpassingen regelgeving verhuur en de </w:t>
      </w:r>
      <w:r w:rsidR="00DC6301">
        <w:rPr>
          <w:color w:val="auto"/>
        </w:rPr>
        <w:t>brief van de leden van de fracties van NSC en GL-Pv</w:t>
      </w:r>
      <w:r w:rsidR="0059549E">
        <w:rPr>
          <w:color w:val="auto"/>
        </w:rPr>
        <w:t>d</w:t>
      </w:r>
      <w:r w:rsidR="00DC6301">
        <w:rPr>
          <w:color w:val="auto"/>
        </w:rPr>
        <w:t xml:space="preserve">A die verzoekt om de maatregelen uit dit ontwerpbesluit op wetsniveau te regelen. </w:t>
      </w:r>
      <w:bookmarkStart w:name="_Hlk213251983" w:id="1"/>
      <w:r w:rsidR="00DC6301">
        <w:rPr>
          <w:color w:val="auto"/>
        </w:rPr>
        <w:t xml:space="preserve">Ook kom ik terug op </w:t>
      </w:r>
      <w:r w:rsidR="00954EBB">
        <w:rPr>
          <w:color w:val="auto"/>
        </w:rPr>
        <w:t xml:space="preserve">de motie </w:t>
      </w:r>
      <w:r w:rsidR="00954EBB">
        <w:rPr>
          <w:color w:val="auto"/>
        </w:rPr>
        <w:t>Grinwis</w:t>
      </w:r>
      <w:r>
        <w:rPr>
          <w:rStyle w:val="FootnoteReference"/>
          <w:color w:val="auto"/>
        </w:rPr>
        <w:footnoteReference w:id="5"/>
      </w:r>
      <w:r w:rsidR="00954EBB">
        <w:rPr>
          <w:color w:val="auto"/>
        </w:rPr>
        <w:t xml:space="preserve"> over het onderzoek naar de indexatie van de puntentabel</w:t>
      </w:r>
      <w:r w:rsidR="00D87A35">
        <w:rPr>
          <w:color w:val="auto"/>
        </w:rPr>
        <w:t xml:space="preserve"> van het </w:t>
      </w:r>
      <w:r w:rsidR="00E72766">
        <w:rPr>
          <w:color w:val="auto"/>
        </w:rPr>
        <w:t>W</w:t>
      </w:r>
      <w:r w:rsidR="00D87A35">
        <w:rPr>
          <w:color w:val="auto"/>
        </w:rPr>
        <w:t>oningwaarderingsstelsel (WWS)</w:t>
      </w:r>
      <w:r w:rsidR="00954EBB">
        <w:rPr>
          <w:color w:val="auto"/>
        </w:rPr>
        <w:t>. Ook</w:t>
      </w:r>
      <w:r w:rsidR="00DE3838">
        <w:rPr>
          <w:color w:val="auto"/>
        </w:rPr>
        <w:t xml:space="preserve"> zend ik uw Kamer de invoeringstoets toe, die ik een jaar na inwerkingtreding van de </w:t>
      </w:r>
      <w:r w:rsidR="00DE3838">
        <w:rPr>
          <w:color w:val="auto"/>
        </w:rPr>
        <w:t>W</w:t>
      </w:r>
      <w:r w:rsidR="0021687B">
        <w:rPr>
          <w:color w:val="auto"/>
        </w:rPr>
        <w:t>bh</w:t>
      </w:r>
      <w:r w:rsidR="00DE3838">
        <w:rPr>
          <w:color w:val="auto"/>
        </w:rPr>
        <w:t xml:space="preserve"> heb uitgevoerd</w:t>
      </w:r>
      <w:r>
        <w:rPr>
          <w:rStyle w:val="FootnoteReference"/>
          <w:color w:val="auto"/>
        </w:rPr>
        <w:footnoteReference w:id="6"/>
      </w:r>
      <w:r w:rsidR="00954EBB">
        <w:rPr>
          <w:color w:val="auto"/>
        </w:rPr>
        <w:t xml:space="preserve"> en beschrijf ik mijn aanpak voor de evaluatie van de nieuwbouwopslag in het WWS</w:t>
      </w:r>
      <w:r w:rsidR="00DE3838">
        <w:rPr>
          <w:color w:val="auto"/>
        </w:rPr>
        <w:t>.</w:t>
      </w:r>
      <w:bookmarkEnd w:id="1"/>
    </w:p>
    <w:p w:rsidR="009D52E8" w:rsidP="009336D1" w14:paraId="71D5D07C" w14:textId="77777777">
      <w:pPr>
        <w:spacing w:line="276" w:lineRule="auto"/>
        <w:rPr>
          <w:color w:val="auto"/>
        </w:rPr>
      </w:pPr>
    </w:p>
    <w:p w:rsidR="00B15CB4" w:rsidP="009336D1" w14:paraId="32AC295F" w14:textId="77777777">
      <w:pPr>
        <w:spacing w:line="276" w:lineRule="auto"/>
        <w:rPr>
          <w:color w:val="auto"/>
        </w:rPr>
      </w:pPr>
      <w:bookmarkStart w:name="_Hlk213055659" w:id="3"/>
      <w:r>
        <w:rPr>
          <w:color w:val="auto"/>
        </w:rPr>
        <w:t xml:space="preserve">De cijfers van </w:t>
      </w:r>
      <w:r w:rsidR="00DE3838">
        <w:rPr>
          <w:color w:val="auto"/>
        </w:rPr>
        <w:t xml:space="preserve">het </w:t>
      </w:r>
      <w:r>
        <w:rPr>
          <w:color w:val="auto"/>
        </w:rPr>
        <w:t xml:space="preserve">Kadaster </w:t>
      </w:r>
      <w:r>
        <w:rPr>
          <w:color w:val="auto"/>
        </w:rPr>
        <w:t xml:space="preserve">laten zien </w:t>
      </w:r>
      <w:r>
        <w:rPr>
          <w:color w:val="auto"/>
        </w:rPr>
        <w:t>dat de uitpondbeweging, zoals beschreven in mijn brief van 10 april 2025</w:t>
      </w:r>
      <w:r>
        <w:rPr>
          <w:rStyle w:val="FootnoteReference"/>
          <w:color w:val="auto"/>
        </w:rPr>
        <w:footnoteReference w:id="7"/>
      </w:r>
      <w:r>
        <w:rPr>
          <w:color w:val="auto"/>
        </w:rPr>
        <w:t xml:space="preserve">, zich ook in </w:t>
      </w:r>
      <w:r w:rsidR="002947AC">
        <w:rPr>
          <w:color w:val="auto"/>
        </w:rPr>
        <w:t xml:space="preserve">de eerste helft van </w:t>
      </w:r>
      <w:r>
        <w:rPr>
          <w:color w:val="auto"/>
        </w:rPr>
        <w:t>2025 heeft voortgezet.</w:t>
      </w:r>
      <w:r w:rsidR="00B52E84">
        <w:rPr>
          <w:color w:val="auto"/>
        </w:rPr>
        <w:t xml:space="preserve"> </w:t>
      </w:r>
      <w:r w:rsidR="00B52E84">
        <w:t xml:space="preserve">Het aandeel in de woningvoorraad van investeerders is ten opzichte van een jaar eerder iets afgenomen, van 9,3% naar 9,2%. Deze afname is met name toe te schrijven aan de daling van het bezit van particuliere investeerders, die hun woningen vooral verkochten aan eigenaar-bewoners. </w:t>
      </w:r>
      <w:r w:rsidR="00B52E84">
        <w:rPr>
          <w:color w:val="auto"/>
        </w:rPr>
        <w:t>Terwijl het aantal particuliere huurwoningen afnam, groeide het bezit van bedrijven en andere organisaties binnen de private huursector.</w:t>
      </w:r>
      <w:r>
        <w:rPr>
          <w:color w:val="auto"/>
        </w:rPr>
        <w:t xml:space="preserve"> </w:t>
      </w:r>
      <w:r w:rsidR="002947AC">
        <w:rPr>
          <w:color w:val="auto"/>
        </w:rPr>
        <w:t xml:space="preserve">Gecorrigeerd voor de aankopen van </w:t>
      </w:r>
      <w:r w:rsidR="00B52E84">
        <w:rPr>
          <w:color w:val="auto"/>
        </w:rPr>
        <w:t xml:space="preserve">deze </w:t>
      </w:r>
      <w:r w:rsidR="002947AC">
        <w:rPr>
          <w:color w:val="auto"/>
        </w:rPr>
        <w:t xml:space="preserve">investeerders kromp het totaalaantal private huurwoningen in de eerste helft van 2025 met 3.000 huurwoningen. </w:t>
      </w:r>
      <w:r w:rsidR="00B52E84">
        <w:rPr>
          <w:color w:val="auto"/>
        </w:rPr>
        <w:t>De</w:t>
      </w:r>
      <w:r w:rsidR="006F37AA">
        <w:rPr>
          <w:color w:val="auto"/>
        </w:rPr>
        <w:t xml:space="preserve"> verkochte woningen </w:t>
      </w:r>
      <w:r w:rsidR="00B52E84">
        <w:rPr>
          <w:color w:val="auto"/>
        </w:rPr>
        <w:t xml:space="preserve">zijn </w:t>
      </w:r>
      <w:r w:rsidR="006F37AA">
        <w:rPr>
          <w:color w:val="auto"/>
        </w:rPr>
        <w:t>vaak woningen in het betaalbare segment, waar juist een grote behoefte aan is</w:t>
      </w:r>
      <w:r w:rsidR="006F37AA">
        <w:rPr>
          <w:color w:val="auto"/>
        </w:rPr>
        <w:t>.</w:t>
      </w:r>
    </w:p>
    <w:bookmarkEnd w:id="3"/>
    <w:p w:rsidR="00B15CB4" w:rsidP="009336D1" w14:paraId="11BBF2F6" w14:textId="77777777">
      <w:pPr>
        <w:spacing w:line="276" w:lineRule="auto"/>
        <w:rPr>
          <w:color w:val="auto"/>
        </w:rPr>
      </w:pPr>
    </w:p>
    <w:p w:rsidR="007C1795" w:rsidP="009336D1" w14:paraId="72648BD9" w14:textId="77777777">
      <w:pPr>
        <w:spacing w:line="276" w:lineRule="auto"/>
        <w:rPr>
          <w:color w:val="auto"/>
        </w:rPr>
      </w:pPr>
      <w:r w:rsidRPr="00AA1B7C">
        <w:rPr>
          <w:color w:val="auto"/>
        </w:rPr>
        <w:t xml:space="preserve">Deze cijfers bevestigen wat ik eerder al concludeerde: de samenloop van recente huurmaatregelen, fiscale maatregelen en macro-economische omstandigheden </w:t>
      </w:r>
      <w:r w:rsidRPr="00AA1B7C">
        <w:rPr>
          <w:color w:val="auto"/>
        </w:rPr>
        <w:t>zorgt ervoor dat veel particuliere verhuurders hun woningen verkopen. Daardoor is de private huurmarkt iets gekrompen, terwijl die juist moet groeien gezien de grote vraag naar betaalbare huurwoningen.</w:t>
      </w:r>
      <w:r w:rsidR="003032D6">
        <w:rPr>
          <w:color w:val="auto"/>
        </w:rPr>
        <w:t xml:space="preserve"> </w:t>
      </w:r>
      <w:r w:rsidR="0002223E">
        <w:rPr>
          <w:color w:val="auto"/>
        </w:rPr>
        <w:t xml:space="preserve">Ik ontvang verschillende verontrustende signalen dat het aanbod van huurwoningen terugloopt. Zo </w:t>
      </w:r>
      <w:r w:rsidR="00D84B2F">
        <w:rPr>
          <w:color w:val="auto"/>
        </w:rPr>
        <w:t>constateerde NRC dat</w:t>
      </w:r>
      <w:r w:rsidR="00DA4E8B">
        <w:rPr>
          <w:color w:val="auto"/>
        </w:rPr>
        <w:t xml:space="preserve"> het</w:t>
      </w:r>
      <w:r w:rsidR="0002223E">
        <w:rPr>
          <w:color w:val="auto"/>
        </w:rPr>
        <w:t xml:space="preserve"> </w:t>
      </w:r>
      <w:r>
        <w:rPr>
          <w:color w:val="auto"/>
        </w:rPr>
        <w:t xml:space="preserve">aantal </w:t>
      </w:r>
      <w:r w:rsidR="0002223E">
        <w:rPr>
          <w:color w:val="auto"/>
        </w:rPr>
        <w:t>aan</w:t>
      </w:r>
      <w:r>
        <w:rPr>
          <w:color w:val="auto"/>
        </w:rPr>
        <w:t>ge</w:t>
      </w:r>
      <w:r w:rsidR="0002223E">
        <w:rPr>
          <w:color w:val="auto"/>
        </w:rPr>
        <w:t>bod</w:t>
      </w:r>
      <w:r>
        <w:rPr>
          <w:color w:val="auto"/>
        </w:rPr>
        <w:t>en</w:t>
      </w:r>
      <w:r w:rsidR="0002223E">
        <w:rPr>
          <w:color w:val="auto"/>
        </w:rPr>
        <w:t xml:space="preserve"> kamers en kleine appartementen in de grote studentensteden in Q3 van dit jaar 20 procent lager </w:t>
      </w:r>
      <w:r w:rsidR="00D84B2F">
        <w:rPr>
          <w:color w:val="auto"/>
        </w:rPr>
        <w:t xml:space="preserve">lijkt </w:t>
      </w:r>
      <w:r w:rsidR="00DA4E8B">
        <w:rPr>
          <w:color w:val="auto"/>
        </w:rPr>
        <w:t>te liggen</w:t>
      </w:r>
      <w:r w:rsidR="00D84B2F">
        <w:rPr>
          <w:color w:val="auto"/>
        </w:rPr>
        <w:t xml:space="preserve"> dan </w:t>
      </w:r>
      <w:r w:rsidR="0002223E">
        <w:rPr>
          <w:color w:val="auto"/>
        </w:rPr>
        <w:t>een jaar geleden</w:t>
      </w:r>
      <w:r>
        <w:rPr>
          <w:rStyle w:val="FootnoteReference"/>
          <w:color w:val="auto"/>
        </w:rPr>
        <w:footnoteReference w:id="8"/>
      </w:r>
      <w:r w:rsidR="0002223E">
        <w:rPr>
          <w:color w:val="auto"/>
        </w:rPr>
        <w:t xml:space="preserve">. </w:t>
      </w:r>
      <w:r w:rsidR="00EC6706">
        <w:rPr>
          <w:color w:val="auto"/>
        </w:rPr>
        <w:t>D</w:t>
      </w:r>
      <w:r w:rsidR="00DA4E8B">
        <w:rPr>
          <w:color w:val="auto"/>
        </w:rPr>
        <w:t xml:space="preserve">e cijfers van </w:t>
      </w:r>
      <w:r w:rsidR="00DA4E8B">
        <w:rPr>
          <w:color w:val="auto"/>
        </w:rPr>
        <w:t>Pararius</w:t>
      </w:r>
      <w:r w:rsidR="00DA4E8B">
        <w:rPr>
          <w:color w:val="auto"/>
        </w:rPr>
        <w:t xml:space="preserve"> laten </w:t>
      </w:r>
      <w:r w:rsidR="00EC6706">
        <w:rPr>
          <w:color w:val="auto"/>
        </w:rPr>
        <w:t xml:space="preserve">ook </w:t>
      </w:r>
      <w:r w:rsidR="00DA4E8B">
        <w:rPr>
          <w:color w:val="auto"/>
        </w:rPr>
        <w:t>een afname in het aanbod aan vrijkomende huurwoningen zien</w:t>
      </w:r>
      <w:r>
        <w:rPr>
          <w:rStyle w:val="FootnoteReference"/>
          <w:color w:val="auto"/>
        </w:rPr>
        <w:footnoteReference w:id="9"/>
      </w:r>
      <w:r w:rsidR="00EC6706">
        <w:rPr>
          <w:color w:val="auto"/>
        </w:rPr>
        <w:t xml:space="preserve"> en</w:t>
      </w:r>
      <w:r>
        <w:rPr>
          <w:color w:val="auto"/>
        </w:rPr>
        <w:t xml:space="preserve"> </w:t>
      </w:r>
      <w:r w:rsidR="00A906E8">
        <w:rPr>
          <w:color w:val="auto"/>
        </w:rPr>
        <w:t>ABF Research</w:t>
      </w:r>
      <w:r>
        <w:rPr>
          <w:color w:val="auto"/>
        </w:rPr>
        <w:t xml:space="preserve"> signaleert een grootschalige verkoop van particuliere studentenhuizen</w:t>
      </w:r>
      <w:r>
        <w:rPr>
          <w:rStyle w:val="FootnoteReference"/>
          <w:color w:val="auto"/>
        </w:rPr>
        <w:footnoteReference w:id="10"/>
      </w:r>
      <w:r>
        <w:rPr>
          <w:color w:val="auto"/>
        </w:rPr>
        <w:t xml:space="preserve">. </w:t>
      </w:r>
      <w:r w:rsidR="0002223E">
        <w:rPr>
          <w:color w:val="auto"/>
        </w:rPr>
        <w:t>Huurders</w:t>
      </w:r>
      <w:r w:rsidR="00EC6706">
        <w:rPr>
          <w:color w:val="auto"/>
        </w:rPr>
        <w:t>, waaronder studenten,</w:t>
      </w:r>
      <w:r w:rsidR="0002223E">
        <w:rPr>
          <w:color w:val="auto"/>
        </w:rPr>
        <w:t xml:space="preserve"> zijn hiervan de dupe. </w:t>
      </w:r>
    </w:p>
    <w:p w:rsidR="007C1795" w:rsidP="009336D1" w14:paraId="165604C9" w14:textId="77777777">
      <w:pPr>
        <w:spacing w:line="276" w:lineRule="auto"/>
        <w:rPr>
          <w:color w:val="auto"/>
        </w:rPr>
      </w:pPr>
    </w:p>
    <w:p w:rsidR="00137E47" w:rsidP="009336D1" w14:paraId="7D025DB8" w14:textId="77777777">
      <w:pPr>
        <w:spacing w:line="276" w:lineRule="auto"/>
        <w:rPr>
          <w:color w:val="auto"/>
        </w:rPr>
      </w:pPr>
      <w:r w:rsidRPr="00AA1B7C">
        <w:rPr>
          <w:color w:val="auto"/>
        </w:rPr>
        <w:t>Om particuliere verhuurders meer ruimte te bieden</w:t>
      </w:r>
      <w:r>
        <w:rPr>
          <w:color w:val="auto"/>
        </w:rPr>
        <w:t xml:space="preserve"> </w:t>
      </w:r>
      <w:r w:rsidR="00E80694">
        <w:rPr>
          <w:color w:val="auto"/>
        </w:rPr>
        <w:t xml:space="preserve">heb ik een </w:t>
      </w:r>
      <w:r w:rsidR="00C17315">
        <w:rPr>
          <w:color w:val="auto"/>
        </w:rPr>
        <w:t xml:space="preserve">pakket </w:t>
      </w:r>
      <w:r w:rsidR="00CE7BBA">
        <w:rPr>
          <w:color w:val="auto"/>
        </w:rPr>
        <w:t xml:space="preserve">maatregelen </w:t>
      </w:r>
      <w:r w:rsidR="00C17315">
        <w:rPr>
          <w:color w:val="auto"/>
        </w:rPr>
        <w:t>opgesteld</w:t>
      </w:r>
      <w:r w:rsidRPr="00171AD6" w:rsidR="00DB752E">
        <w:rPr>
          <w:color w:val="auto"/>
        </w:rPr>
        <w:t xml:space="preserve"> </w:t>
      </w:r>
      <w:r w:rsidR="00C17315">
        <w:rPr>
          <w:color w:val="auto"/>
        </w:rPr>
        <w:t>met</w:t>
      </w:r>
      <w:r w:rsidRPr="00171AD6" w:rsidR="00DB752E">
        <w:rPr>
          <w:color w:val="auto"/>
        </w:rPr>
        <w:t xml:space="preserve"> gerichte en </w:t>
      </w:r>
      <w:r w:rsidR="00C17315">
        <w:rPr>
          <w:color w:val="auto"/>
        </w:rPr>
        <w:t xml:space="preserve">relatief </w:t>
      </w:r>
      <w:r w:rsidRPr="00171AD6" w:rsidR="00DB752E">
        <w:rPr>
          <w:color w:val="auto"/>
        </w:rPr>
        <w:t xml:space="preserve">snel </w:t>
      </w:r>
      <w:r w:rsidR="00C17315">
        <w:rPr>
          <w:color w:val="auto"/>
        </w:rPr>
        <w:t>in te voeren</w:t>
      </w:r>
      <w:r w:rsidRPr="00171AD6" w:rsidR="00C17315">
        <w:rPr>
          <w:color w:val="auto"/>
        </w:rPr>
        <w:t xml:space="preserve"> </w:t>
      </w:r>
      <w:r w:rsidRPr="00171AD6" w:rsidR="00DB752E">
        <w:rPr>
          <w:color w:val="auto"/>
        </w:rPr>
        <w:t xml:space="preserve">aanpassingen aan de huurregelgeving, </w:t>
      </w:r>
      <w:r>
        <w:rPr>
          <w:color w:val="auto"/>
        </w:rPr>
        <w:t xml:space="preserve">waarmee concrete knelpunten bij de verhuur worden opgelost. </w:t>
      </w:r>
      <w:r w:rsidRPr="00171AD6" w:rsidR="00DB752E">
        <w:rPr>
          <w:color w:val="auto"/>
        </w:rPr>
        <w:t xml:space="preserve">Dit heeft geleid tot het </w:t>
      </w:r>
      <w:r w:rsidRPr="00B15CB4" w:rsidR="00D14A31">
        <w:rPr>
          <w:color w:val="auto"/>
        </w:rPr>
        <w:t>ontwerpb</w:t>
      </w:r>
      <w:r w:rsidRPr="00B15CB4" w:rsidR="00DB752E">
        <w:rPr>
          <w:color w:val="auto"/>
        </w:rPr>
        <w:t>esluit aanpassingen regelgeving verhuur</w:t>
      </w:r>
      <w:r>
        <w:rPr>
          <w:rStyle w:val="FootnoteReference"/>
          <w:color w:val="auto"/>
        </w:rPr>
        <w:footnoteReference w:id="11"/>
      </w:r>
      <w:r w:rsidR="00DB361B">
        <w:rPr>
          <w:color w:val="auto"/>
        </w:rPr>
        <w:t xml:space="preserve">. </w:t>
      </w:r>
      <w:r w:rsidRPr="00137E47">
        <w:rPr>
          <w:color w:val="auto"/>
        </w:rPr>
        <w:t xml:space="preserve">Uw Kamer heeft op </w:t>
      </w:r>
      <w:r w:rsidR="00A70DCE">
        <w:rPr>
          <w:color w:val="auto"/>
        </w:rPr>
        <w:t>3 oktober</w:t>
      </w:r>
      <w:r w:rsidRPr="00137E47">
        <w:rPr>
          <w:color w:val="auto"/>
        </w:rPr>
        <w:t xml:space="preserve"> de motie Klaver/Kouwenho</w:t>
      </w:r>
      <w:r w:rsidR="00A70DCE">
        <w:rPr>
          <w:color w:val="auto"/>
        </w:rPr>
        <w:t>v</w:t>
      </w:r>
      <w:r w:rsidRPr="00137E47">
        <w:rPr>
          <w:color w:val="auto"/>
        </w:rPr>
        <w:t xml:space="preserve">en aangenomen, die oproept om </w:t>
      </w:r>
      <w:r w:rsidR="00A70DCE">
        <w:rPr>
          <w:color w:val="auto"/>
        </w:rPr>
        <w:t>het ontwerpbesluit in te trekken</w:t>
      </w:r>
      <w:r w:rsidRPr="00137E47">
        <w:rPr>
          <w:color w:val="auto"/>
        </w:rPr>
        <w:t>.</w:t>
      </w:r>
      <w:r w:rsidR="00A70DCE">
        <w:rPr>
          <w:color w:val="auto"/>
        </w:rPr>
        <w:t xml:space="preserve"> Daarnaast hebben de fracties van NSC en GL-P</w:t>
      </w:r>
      <w:r w:rsidR="0059549E">
        <w:rPr>
          <w:color w:val="auto"/>
        </w:rPr>
        <w:t>vd</w:t>
      </w:r>
      <w:r w:rsidR="00A70DCE">
        <w:rPr>
          <w:color w:val="auto"/>
        </w:rPr>
        <w:t xml:space="preserve">A per brief verzocht om de maatregelen op wetsniveau te regelen. </w:t>
      </w:r>
      <w:r w:rsidRPr="00137E47">
        <w:rPr>
          <w:color w:val="auto"/>
        </w:rPr>
        <w:t xml:space="preserve">In deze brief ga ik in op hoe ik </w:t>
      </w:r>
      <w:r w:rsidR="00A70DCE">
        <w:rPr>
          <w:color w:val="auto"/>
        </w:rPr>
        <w:t xml:space="preserve">invulling wil geven aan deze motie en brief, in gesprek met uw Kamer. </w:t>
      </w:r>
    </w:p>
    <w:p w:rsidR="00B44D97" w:rsidP="009336D1" w14:paraId="5ED25FB7" w14:textId="77777777">
      <w:pPr>
        <w:spacing w:line="276" w:lineRule="auto"/>
      </w:pPr>
    </w:p>
    <w:p w:rsidR="00277804" w:rsidP="00277804" w14:paraId="47AEE3B2" w14:textId="77777777">
      <w:pPr>
        <w:spacing w:line="276" w:lineRule="auto"/>
        <w:rPr>
          <w:b/>
          <w:bCs/>
        </w:rPr>
      </w:pPr>
      <w:r>
        <w:rPr>
          <w:b/>
          <w:bCs/>
        </w:rPr>
        <w:t xml:space="preserve">Stand van zaken </w:t>
      </w:r>
      <w:r w:rsidR="00073DDF">
        <w:rPr>
          <w:b/>
          <w:bCs/>
        </w:rPr>
        <w:t>ontwerpb</w:t>
      </w:r>
      <w:r>
        <w:rPr>
          <w:b/>
          <w:bCs/>
        </w:rPr>
        <w:t>esluit aanpassingen regelgeving verhuur</w:t>
      </w:r>
    </w:p>
    <w:p w:rsidR="008578D2" w:rsidP="00277804" w14:paraId="1B61F2F1" w14:textId="77777777">
      <w:pPr>
        <w:spacing w:line="276" w:lineRule="auto"/>
        <w:rPr>
          <w:color w:val="auto"/>
        </w:rPr>
      </w:pPr>
      <w:r>
        <w:rPr>
          <w:color w:val="auto"/>
        </w:rPr>
        <w:t xml:space="preserve">Op </w:t>
      </w:r>
      <w:r w:rsidR="00397D36">
        <w:rPr>
          <w:color w:val="auto"/>
        </w:rPr>
        <w:t>1</w:t>
      </w:r>
      <w:r>
        <w:rPr>
          <w:color w:val="auto"/>
        </w:rPr>
        <w:t xml:space="preserve"> oktober </w:t>
      </w:r>
      <w:r w:rsidR="00073DDF">
        <w:rPr>
          <w:color w:val="auto"/>
        </w:rPr>
        <w:t xml:space="preserve">jl. </w:t>
      </w:r>
      <w:r>
        <w:rPr>
          <w:color w:val="auto"/>
        </w:rPr>
        <w:t xml:space="preserve">heb ik het </w:t>
      </w:r>
      <w:r w:rsidR="00073DDF">
        <w:rPr>
          <w:color w:val="auto"/>
        </w:rPr>
        <w:t>ontwerpb</w:t>
      </w:r>
      <w:r>
        <w:rPr>
          <w:color w:val="auto"/>
        </w:rPr>
        <w:t>esluit aanpassingen regelgeving verhuur bij u</w:t>
      </w:r>
      <w:r w:rsidR="00073DDF">
        <w:rPr>
          <w:color w:val="auto"/>
        </w:rPr>
        <w:t>w Kamer</w:t>
      </w:r>
      <w:r>
        <w:rPr>
          <w:color w:val="auto"/>
        </w:rPr>
        <w:t xml:space="preserve"> in voorhang gebracht</w:t>
      </w:r>
      <w:r w:rsidRPr="00171AD6">
        <w:rPr>
          <w:color w:val="auto"/>
        </w:rPr>
        <w:t xml:space="preserve">. </w:t>
      </w:r>
      <w:r>
        <w:rPr>
          <w:color w:val="auto"/>
        </w:rPr>
        <w:t>Op 3 oktober heeft uw Kamer de motie van de leden Klaver (</w:t>
      </w:r>
      <w:r w:rsidR="003C783E">
        <w:rPr>
          <w:color w:val="auto"/>
        </w:rPr>
        <w:t>GL</w:t>
      </w:r>
      <w:r>
        <w:rPr>
          <w:color w:val="auto"/>
        </w:rPr>
        <w:t xml:space="preserve">-PvdA) en Kouwenhoven (NSC) aangenomen, die oproept om </w:t>
      </w:r>
      <w:r w:rsidR="00A05C90">
        <w:rPr>
          <w:color w:val="auto"/>
        </w:rPr>
        <w:t>deze voorgestelde regelingen per direct in</w:t>
      </w:r>
      <w:r>
        <w:rPr>
          <w:color w:val="auto"/>
        </w:rPr>
        <w:t xml:space="preserve"> te trekken.</w:t>
      </w:r>
      <w:r w:rsidR="00573022">
        <w:rPr>
          <w:color w:val="auto"/>
        </w:rPr>
        <w:t xml:space="preserve"> </w:t>
      </w:r>
      <w:r w:rsidRPr="00573022" w:rsidR="00573022">
        <w:rPr>
          <w:color w:val="auto"/>
        </w:rPr>
        <w:t xml:space="preserve">Daarnaast hebben 44 </w:t>
      </w:r>
      <w:r w:rsidR="007D526E">
        <w:rPr>
          <w:color w:val="auto"/>
        </w:rPr>
        <w:t xml:space="preserve">van uw </w:t>
      </w:r>
      <w:r w:rsidRPr="00573022" w:rsidR="00573022">
        <w:rPr>
          <w:color w:val="auto"/>
        </w:rPr>
        <w:t xml:space="preserve">leden </w:t>
      </w:r>
      <w:r w:rsidR="007D526E">
        <w:rPr>
          <w:color w:val="auto"/>
        </w:rPr>
        <w:t>(</w:t>
      </w:r>
      <w:r w:rsidRPr="00573022" w:rsidR="00573022">
        <w:rPr>
          <w:color w:val="auto"/>
        </w:rPr>
        <w:t>GL-PvdA en NSC</w:t>
      </w:r>
      <w:r w:rsidR="007D526E">
        <w:rPr>
          <w:color w:val="auto"/>
        </w:rPr>
        <w:t>)</w:t>
      </w:r>
      <w:r w:rsidRPr="00573022" w:rsidR="00573022">
        <w:rPr>
          <w:color w:val="auto"/>
        </w:rPr>
        <w:t xml:space="preserve"> per brief verzocht om de wijzigingen aan het Besluit huurprijzen woonruimte </w:t>
      </w:r>
      <w:r w:rsidR="00CD2E93">
        <w:rPr>
          <w:color w:val="auto"/>
        </w:rPr>
        <w:t>(</w:t>
      </w:r>
      <w:r w:rsidR="00CD2E93">
        <w:rPr>
          <w:color w:val="auto"/>
        </w:rPr>
        <w:t>Bhw</w:t>
      </w:r>
      <w:r w:rsidR="00CD2E93">
        <w:rPr>
          <w:color w:val="auto"/>
        </w:rPr>
        <w:t xml:space="preserve">) </w:t>
      </w:r>
      <w:r w:rsidRPr="00573022" w:rsidR="00573022">
        <w:rPr>
          <w:color w:val="auto"/>
        </w:rPr>
        <w:t xml:space="preserve">en het Besluit specifieke groepen tijdelijke huurovereenkomst </w:t>
      </w:r>
      <w:r w:rsidR="00CD2E93">
        <w:rPr>
          <w:color w:val="auto"/>
        </w:rPr>
        <w:t>(</w:t>
      </w:r>
      <w:r w:rsidR="00CD2E93">
        <w:rPr>
          <w:color w:val="auto"/>
        </w:rPr>
        <w:t>Bsgth</w:t>
      </w:r>
      <w:r w:rsidR="00CD2E93">
        <w:rPr>
          <w:color w:val="auto"/>
        </w:rPr>
        <w:t xml:space="preserve">) </w:t>
      </w:r>
      <w:r w:rsidR="00A05C90">
        <w:rPr>
          <w:color w:val="auto"/>
        </w:rPr>
        <w:t xml:space="preserve">via een </w:t>
      </w:r>
      <w:r w:rsidRPr="00573022" w:rsidR="00573022">
        <w:rPr>
          <w:color w:val="auto"/>
        </w:rPr>
        <w:t xml:space="preserve">wet </w:t>
      </w:r>
      <w:r w:rsidR="00A05C90">
        <w:rPr>
          <w:color w:val="auto"/>
        </w:rPr>
        <w:t>in formele zin</w:t>
      </w:r>
      <w:r w:rsidRPr="00573022" w:rsidR="00573022">
        <w:rPr>
          <w:color w:val="auto"/>
        </w:rPr>
        <w:t xml:space="preserve"> </w:t>
      </w:r>
      <w:r w:rsidR="00A05C90">
        <w:rPr>
          <w:color w:val="auto"/>
        </w:rPr>
        <w:t xml:space="preserve">aan </w:t>
      </w:r>
      <w:r w:rsidR="007D526E">
        <w:rPr>
          <w:color w:val="auto"/>
        </w:rPr>
        <w:t>uw</w:t>
      </w:r>
      <w:r w:rsidR="00A05C90">
        <w:rPr>
          <w:color w:val="auto"/>
        </w:rPr>
        <w:t xml:space="preserve"> Kamer voor </w:t>
      </w:r>
      <w:r w:rsidRPr="00573022" w:rsidR="00573022">
        <w:rPr>
          <w:color w:val="auto"/>
        </w:rPr>
        <w:t xml:space="preserve">te </w:t>
      </w:r>
      <w:r w:rsidR="00A05C90">
        <w:rPr>
          <w:color w:val="auto"/>
        </w:rPr>
        <w:t>leggen</w:t>
      </w:r>
      <w:r w:rsidR="00CE13C9">
        <w:rPr>
          <w:color w:val="auto"/>
        </w:rPr>
        <w:t>, in plaats van met een besluit</w:t>
      </w:r>
      <w:r>
        <w:rPr>
          <w:rStyle w:val="FootnoteReference"/>
          <w:color w:val="auto"/>
        </w:rPr>
        <w:footnoteReference w:id="12"/>
      </w:r>
      <w:r w:rsidRPr="00573022" w:rsidR="00573022">
        <w:rPr>
          <w:color w:val="auto"/>
        </w:rPr>
        <w:t>.</w:t>
      </w:r>
    </w:p>
    <w:p w:rsidR="00EB0C43" w:rsidP="00277804" w14:paraId="17B1C1C6" w14:textId="77777777">
      <w:pPr>
        <w:spacing w:line="276" w:lineRule="auto"/>
      </w:pPr>
    </w:p>
    <w:p w:rsidR="00DB361B" w:rsidP="00277804" w14:paraId="19638194" w14:textId="77777777">
      <w:pPr>
        <w:spacing w:line="276" w:lineRule="auto"/>
        <w:rPr>
          <w:color w:val="auto"/>
        </w:rPr>
      </w:pPr>
      <w:r w:rsidRPr="00573022">
        <w:t xml:space="preserve">Ik heb duidelijk gehoord welke zorgen er in uw Kamer leven en wil daar zorgvuldig op reageren. Tegelijkertijd blijf ik, gezien de voortdurende verkoop van huurwoningen, de noodzaak </w:t>
      </w:r>
      <w:r w:rsidR="003803FE">
        <w:t>voelen</w:t>
      </w:r>
      <w:r w:rsidRPr="00573022">
        <w:t xml:space="preserve"> om </w:t>
      </w:r>
      <w:r w:rsidR="00CE13C9">
        <w:t xml:space="preserve">met name </w:t>
      </w:r>
      <w:r w:rsidRPr="00573022">
        <w:t xml:space="preserve">particuliere verhuurders op korte termijn tegemoet te komen en daarom inhoudelijk iets te wijzigen </w:t>
      </w:r>
      <w:r w:rsidR="00397D36">
        <w:t>in</w:t>
      </w:r>
      <w:r w:rsidRPr="00573022">
        <w:t xml:space="preserve"> de </w:t>
      </w:r>
      <w:r w:rsidR="00397D36">
        <w:t>huurregelgeving</w:t>
      </w:r>
      <w:r w:rsidRPr="00573022">
        <w:t xml:space="preserve">. </w:t>
      </w:r>
      <w:r w:rsidRPr="00027444" w:rsidR="00027444">
        <w:rPr>
          <w:color w:val="auto"/>
        </w:rPr>
        <w:t>Graag ga ik met u</w:t>
      </w:r>
      <w:r w:rsidR="00CE13C9">
        <w:rPr>
          <w:color w:val="auto"/>
        </w:rPr>
        <w:t>w Kamer</w:t>
      </w:r>
      <w:r w:rsidRPr="00027444" w:rsidR="00027444">
        <w:rPr>
          <w:color w:val="auto"/>
        </w:rPr>
        <w:t xml:space="preserve"> in gesprek over de mogelijkheden binnen het voorliggende </w:t>
      </w:r>
      <w:r w:rsidR="00397D36">
        <w:rPr>
          <w:color w:val="auto"/>
        </w:rPr>
        <w:t>ontwerp</w:t>
      </w:r>
      <w:r w:rsidRPr="00027444" w:rsidR="00027444">
        <w:rPr>
          <w:color w:val="auto"/>
        </w:rPr>
        <w:t xml:space="preserve">besluit, dat juist is bedoeld om op korte termijn </w:t>
      </w:r>
      <w:r w:rsidRPr="00027444" w:rsidR="00027444">
        <w:rPr>
          <w:color w:val="auto"/>
        </w:rPr>
        <w:t xml:space="preserve">concrete maatregelen te kunnen nemen die bijdragen aan het terugdringen van de verkoop van huurwoningen en </w:t>
      </w:r>
      <w:r w:rsidR="007D526E">
        <w:rPr>
          <w:color w:val="auto"/>
        </w:rPr>
        <w:t xml:space="preserve">die </w:t>
      </w:r>
      <w:r w:rsidR="00027444">
        <w:rPr>
          <w:color w:val="auto"/>
        </w:rPr>
        <w:t>daarmee de</w:t>
      </w:r>
      <w:r w:rsidRPr="00027444" w:rsidR="00027444">
        <w:rPr>
          <w:color w:val="auto"/>
        </w:rPr>
        <w:t xml:space="preserve"> beschikbaarheid </w:t>
      </w:r>
      <w:r w:rsidR="00EC6706">
        <w:rPr>
          <w:color w:val="auto"/>
        </w:rPr>
        <w:t xml:space="preserve">van woningen en studentenkamers </w:t>
      </w:r>
      <w:r w:rsidRPr="00027444" w:rsidR="00027444">
        <w:rPr>
          <w:color w:val="auto"/>
        </w:rPr>
        <w:t>op de huurmarkt</w:t>
      </w:r>
      <w:r w:rsidR="00027444">
        <w:rPr>
          <w:color w:val="auto"/>
        </w:rPr>
        <w:t xml:space="preserve"> vergroten</w:t>
      </w:r>
      <w:r w:rsidRPr="00027444" w:rsidR="00027444">
        <w:rPr>
          <w:color w:val="auto"/>
        </w:rPr>
        <w:t>.</w:t>
      </w:r>
      <w:r w:rsidR="00D84B2F">
        <w:rPr>
          <w:color w:val="auto"/>
        </w:rPr>
        <w:t xml:space="preserve"> Huurders zijn immers niet geholpen met woningen die niet meer worden aangeboden</w:t>
      </w:r>
      <w:r w:rsidRPr="00027444" w:rsidR="00027444">
        <w:rPr>
          <w:color w:val="auto"/>
        </w:rPr>
        <w:t>.</w:t>
      </w:r>
    </w:p>
    <w:p w:rsidR="0085390B" w:rsidP="00277804" w14:paraId="196ECA88" w14:textId="77777777">
      <w:pPr>
        <w:spacing w:line="276" w:lineRule="auto"/>
        <w:rPr>
          <w:color w:val="auto"/>
        </w:rPr>
      </w:pPr>
    </w:p>
    <w:p w:rsidRPr="0085390B" w:rsidR="0085390B" w:rsidP="0085390B" w14:paraId="4A5C8CFC" w14:textId="77777777">
      <w:pPr>
        <w:spacing w:line="276" w:lineRule="auto"/>
        <w:rPr>
          <w:color w:val="auto"/>
        </w:rPr>
      </w:pPr>
      <w:r w:rsidRPr="00D84B2F">
        <w:rPr>
          <w:color w:val="auto"/>
        </w:rPr>
        <w:t xml:space="preserve">Het ontwerpbesluit bevat (onder meer) een uitbreiding van de mogelijkheid om studenten eenmalig een tijdelijk huurcontract aan te bieden. </w:t>
      </w:r>
      <w:r w:rsidRPr="00D84B2F">
        <w:rPr>
          <w:color w:val="auto"/>
        </w:rPr>
        <w:t>De</w:t>
      </w:r>
      <w:r w:rsidRPr="00D84B2F">
        <w:rPr>
          <w:color w:val="auto"/>
        </w:rPr>
        <w:t>ze</w:t>
      </w:r>
      <w:r w:rsidRPr="00D84B2F">
        <w:rPr>
          <w:color w:val="auto"/>
        </w:rPr>
        <w:t xml:space="preserve"> maatregel </w:t>
      </w:r>
      <w:r w:rsidRPr="00D84B2F">
        <w:rPr>
          <w:color w:val="auto"/>
        </w:rPr>
        <w:t xml:space="preserve">behelst een wijziging van het </w:t>
      </w:r>
      <w:r w:rsidRPr="00D84B2F">
        <w:rPr>
          <w:color w:val="auto"/>
        </w:rPr>
        <w:t>Bsgth</w:t>
      </w:r>
      <w:r w:rsidRPr="00D84B2F" w:rsidR="004B768B">
        <w:rPr>
          <w:color w:val="auto"/>
        </w:rPr>
        <w:t>.</w:t>
      </w:r>
      <w:r w:rsidRPr="00D84B2F">
        <w:rPr>
          <w:color w:val="auto"/>
        </w:rPr>
        <w:t xml:space="preserve"> Als gevolg van de oproep van </w:t>
      </w:r>
      <w:r w:rsidRPr="00D84B2F" w:rsidR="00D71BEF">
        <w:rPr>
          <w:color w:val="auto"/>
        </w:rPr>
        <w:t>meer dan 1/5 van het grondwettelijk aantal</w:t>
      </w:r>
      <w:r w:rsidRPr="00D84B2F" w:rsidR="004B768B">
        <w:rPr>
          <w:color w:val="auto"/>
        </w:rPr>
        <w:t xml:space="preserve"> leden van </w:t>
      </w:r>
      <w:r w:rsidRPr="00D84B2F" w:rsidR="00D71BEF">
        <w:rPr>
          <w:color w:val="auto"/>
        </w:rPr>
        <w:t>uw Kamer</w:t>
      </w:r>
      <w:r w:rsidRPr="00D84B2F">
        <w:rPr>
          <w:color w:val="auto"/>
        </w:rPr>
        <w:t xml:space="preserve"> kan deze maatregel in beginsel niet langer bij besluit worden ingevoerd, maar uitsluitend via een </w:t>
      </w:r>
      <w:r w:rsidRPr="00D84B2F" w:rsidR="00D71BEF">
        <w:rPr>
          <w:color w:val="auto"/>
        </w:rPr>
        <w:t>wet in formele zin aan uw Kamer</w:t>
      </w:r>
      <w:r w:rsidRPr="00D84B2F">
        <w:rPr>
          <w:color w:val="auto"/>
        </w:rPr>
        <w:t xml:space="preserve"> worden </w:t>
      </w:r>
      <w:r w:rsidRPr="00D84B2F" w:rsidR="00D71BEF">
        <w:rPr>
          <w:color w:val="auto"/>
        </w:rPr>
        <w:t>voorgelegd</w:t>
      </w:r>
      <w:r w:rsidRPr="00D84B2F">
        <w:rPr>
          <w:color w:val="auto"/>
        </w:rPr>
        <w:t xml:space="preserve">. Dit vloeit voort uit de verzwaarde voorhangprocedure die voor het </w:t>
      </w:r>
      <w:r w:rsidRPr="00D84B2F">
        <w:rPr>
          <w:color w:val="auto"/>
        </w:rPr>
        <w:t>Bsgth</w:t>
      </w:r>
      <w:r w:rsidRPr="00D84B2F">
        <w:rPr>
          <w:color w:val="auto"/>
        </w:rPr>
        <w:t xml:space="preserve"> geldt</w:t>
      </w:r>
      <w:r>
        <w:rPr>
          <w:rStyle w:val="FootnoteReference"/>
          <w:color w:val="auto"/>
        </w:rPr>
        <w:footnoteReference w:id="13"/>
      </w:r>
      <w:r w:rsidRPr="00D84B2F">
        <w:rPr>
          <w:color w:val="auto"/>
        </w:rPr>
        <w:t>. Ik verken graag met uw Kamer</w:t>
      </w:r>
      <w:r w:rsidR="00F848F9">
        <w:rPr>
          <w:color w:val="auto"/>
        </w:rPr>
        <w:t xml:space="preserve"> </w:t>
      </w:r>
      <w:r w:rsidRPr="00D84B2F">
        <w:rPr>
          <w:color w:val="auto"/>
        </w:rPr>
        <w:t xml:space="preserve">of er alsnog voldoende steun kan worden gevonden om de wijziging </w:t>
      </w:r>
      <w:r w:rsidRPr="00D84B2F">
        <w:rPr>
          <w:color w:val="auto"/>
        </w:rPr>
        <w:t>betreffende</w:t>
      </w:r>
      <w:r w:rsidRPr="00D84B2F">
        <w:rPr>
          <w:color w:val="auto"/>
        </w:rPr>
        <w:t xml:space="preserve"> tijdelijke studentencontracten op AMvB-niveau door te voeren.</w:t>
      </w:r>
      <w:r w:rsidRPr="00D84B2F" w:rsidR="000D56FD">
        <w:rPr>
          <w:color w:val="auto"/>
        </w:rPr>
        <w:t xml:space="preserve"> In dat kader wijs ik uw Kamer</w:t>
      </w:r>
      <w:r w:rsidR="00D84B2F">
        <w:rPr>
          <w:color w:val="auto"/>
        </w:rPr>
        <w:t xml:space="preserve"> op de noodzaak om nu actie te ondernemen, gezien het teruglopende aanbod aan studentenkamers</w:t>
      </w:r>
      <w:r w:rsidRPr="00D84B2F" w:rsidR="000D56FD">
        <w:rPr>
          <w:color w:val="auto"/>
        </w:rPr>
        <w:t xml:space="preserve">. </w:t>
      </w:r>
      <w:r w:rsidR="00D84B2F">
        <w:rPr>
          <w:color w:val="auto"/>
        </w:rPr>
        <w:t xml:space="preserve">Een wetswijziging omhelst een langer traject, terwijl </w:t>
      </w:r>
      <w:r w:rsidR="00EC6706">
        <w:rPr>
          <w:color w:val="auto"/>
        </w:rPr>
        <w:t>het</w:t>
      </w:r>
      <w:r w:rsidR="00D84B2F">
        <w:rPr>
          <w:color w:val="auto"/>
        </w:rPr>
        <w:t xml:space="preserve"> juist noodzakelijk is om verhuurders </w:t>
      </w:r>
      <w:r w:rsidR="007C1795">
        <w:rPr>
          <w:color w:val="auto"/>
        </w:rPr>
        <w:t xml:space="preserve">voor dit type verhuur </w:t>
      </w:r>
      <w:r w:rsidR="00D84B2F">
        <w:rPr>
          <w:color w:val="auto"/>
        </w:rPr>
        <w:t xml:space="preserve">snel meer ruimte te bieden. </w:t>
      </w:r>
    </w:p>
    <w:p w:rsidR="0085390B" w:rsidP="0085390B" w14:paraId="5B99879F" w14:textId="77777777">
      <w:pPr>
        <w:spacing w:line="276" w:lineRule="auto"/>
        <w:rPr>
          <w:color w:val="auto"/>
        </w:rPr>
      </w:pPr>
    </w:p>
    <w:p w:rsidRPr="0085390B" w:rsidR="0085390B" w:rsidP="0085390B" w14:paraId="2BF4C411" w14:textId="77777777">
      <w:pPr>
        <w:spacing w:line="276" w:lineRule="auto"/>
        <w:rPr>
          <w:color w:val="auto"/>
        </w:rPr>
      </w:pPr>
      <w:r w:rsidRPr="00D84B2F">
        <w:rPr>
          <w:color w:val="auto"/>
        </w:rPr>
        <w:t xml:space="preserve">Voor het </w:t>
      </w:r>
      <w:r w:rsidRPr="00D84B2F">
        <w:rPr>
          <w:color w:val="auto"/>
        </w:rPr>
        <w:t>Bhw</w:t>
      </w:r>
      <w:r w:rsidRPr="00D84B2F">
        <w:rPr>
          <w:color w:val="auto"/>
        </w:rPr>
        <w:t xml:space="preserve">, waarin de WWS-maatregelen zijn opgenomen, geldt de verzwaarde voorhangprocedure niet. Tegelijkertijd </w:t>
      </w:r>
      <w:r w:rsidR="00180569">
        <w:rPr>
          <w:color w:val="auto"/>
        </w:rPr>
        <w:t>wil ik recht doen aan</w:t>
      </w:r>
      <w:r w:rsidRPr="00D84B2F">
        <w:rPr>
          <w:color w:val="auto"/>
        </w:rPr>
        <w:t xml:space="preserve"> de zorgen die in de motie </w:t>
      </w:r>
      <w:r w:rsidRPr="00D84B2F" w:rsidR="00A05C90">
        <w:rPr>
          <w:color w:val="auto"/>
        </w:rPr>
        <w:t xml:space="preserve">Klaver/Kouwenhoven </w:t>
      </w:r>
      <w:r w:rsidRPr="00D84B2F">
        <w:rPr>
          <w:color w:val="auto"/>
        </w:rPr>
        <w:t xml:space="preserve">zijn verwoord over het ontwerpbesluit. Om die reden ga ik graag met uw Kamer in gesprek om te verkennen </w:t>
      </w:r>
      <w:r w:rsidR="00180569">
        <w:rPr>
          <w:color w:val="auto"/>
        </w:rPr>
        <w:t xml:space="preserve">op welke wijze en </w:t>
      </w:r>
      <w:r w:rsidRPr="00D84B2F">
        <w:rPr>
          <w:color w:val="auto"/>
        </w:rPr>
        <w:t xml:space="preserve">voor welke onderdelen van het ontwerpbesluit </w:t>
      </w:r>
      <w:r w:rsidR="00180569">
        <w:rPr>
          <w:color w:val="auto"/>
        </w:rPr>
        <w:t>aan deze zorgen tegemoet kan worden gekomen</w:t>
      </w:r>
      <w:r w:rsidRPr="00D84B2F">
        <w:rPr>
          <w:color w:val="auto"/>
        </w:rPr>
        <w:t>.</w:t>
      </w:r>
      <w:r w:rsidRPr="0085390B">
        <w:rPr>
          <w:color w:val="auto"/>
        </w:rPr>
        <w:t xml:space="preserve"> </w:t>
      </w:r>
      <w:r w:rsidR="003719C3">
        <w:rPr>
          <w:color w:val="auto"/>
        </w:rPr>
        <w:t>In dit kader wil ik benadrukken dat h</w:t>
      </w:r>
      <w:r w:rsidRPr="0085390B">
        <w:rPr>
          <w:color w:val="auto"/>
        </w:rPr>
        <w:t xml:space="preserve">et ontwerpbesluit ook </w:t>
      </w:r>
      <w:r w:rsidR="003719C3">
        <w:rPr>
          <w:color w:val="auto"/>
        </w:rPr>
        <w:t xml:space="preserve">noodzakelijke </w:t>
      </w:r>
      <w:r w:rsidRPr="0085390B">
        <w:rPr>
          <w:color w:val="auto"/>
        </w:rPr>
        <w:t xml:space="preserve">technische </w:t>
      </w:r>
      <w:r w:rsidR="00A05C90">
        <w:rPr>
          <w:color w:val="auto"/>
        </w:rPr>
        <w:t>en beleidsarme</w:t>
      </w:r>
      <w:r w:rsidRPr="0085390B">
        <w:rPr>
          <w:color w:val="auto"/>
        </w:rPr>
        <w:t xml:space="preserve"> </w:t>
      </w:r>
      <w:r w:rsidR="00A05C90">
        <w:rPr>
          <w:color w:val="auto"/>
        </w:rPr>
        <w:t>aanpassingen</w:t>
      </w:r>
      <w:r w:rsidRPr="0085390B">
        <w:rPr>
          <w:color w:val="auto"/>
        </w:rPr>
        <w:t xml:space="preserve"> </w:t>
      </w:r>
      <w:r w:rsidR="003719C3">
        <w:rPr>
          <w:color w:val="auto"/>
        </w:rPr>
        <w:t>bevat voor</w:t>
      </w:r>
      <w:r w:rsidRPr="0085390B">
        <w:rPr>
          <w:color w:val="auto"/>
        </w:rPr>
        <w:t xml:space="preserve"> </w:t>
      </w:r>
      <w:r w:rsidR="00A05C90">
        <w:rPr>
          <w:color w:val="auto"/>
        </w:rPr>
        <w:t xml:space="preserve">het verbeteren van </w:t>
      </w:r>
      <w:r w:rsidRPr="0085390B">
        <w:rPr>
          <w:color w:val="auto"/>
        </w:rPr>
        <w:t>de werking van het WWS(O).</w:t>
      </w:r>
    </w:p>
    <w:p w:rsidRPr="00071D66" w:rsidR="00CD2E93" w:rsidP="00277804" w14:paraId="681289D4" w14:textId="77777777">
      <w:pPr>
        <w:spacing w:line="276" w:lineRule="auto"/>
      </w:pPr>
    </w:p>
    <w:p w:rsidR="19BA0BE3" w14:paraId="2A3E7910" w14:textId="77777777">
      <w:r w:rsidRPr="19BA0BE3">
        <w:rPr>
          <w:rFonts w:eastAsia="Verdana" w:cs="Verdana"/>
          <w:b/>
          <w:bCs/>
        </w:rPr>
        <w:t>Analyse ontwikkelingen huurmarkt</w:t>
      </w:r>
    </w:p>
    <w:p w:rsidR="19BA0BE3" w14:paraId="39B715A2" w14:textId="77777777">
      <w:bookmarkStart w:name="_Hlk212473428" w:id="4"/>
      <w:r w:rsidRPr="19BA0BE3">
        <w:rPr>
          <w:rFonts w:eastAsia="Verdana" w:cs="Verdana"/>
        </w:rPr>
        <w:t xml:space="preserve">Uit de transactiedata van het Kadaster blijkt dat het aantal woningverkopen door investeerders ook in de eerste helft van 2025 is gestegen. Zij verkochten in deze periode </w:t>
      </w:r>
      <w:r w:rsidR="000B7C0D">
        <w:rPr>
          <w:rFonts w:eastAsia="Verdana" w:cs="Verdana"/>
        </w:rPr>
        <w:t>iets meer dan</w:t>
      </w:r>
      <w:r w:rsidRPr="19BA0BE3" w:rsidR="000B7C0D">
        <w:rPr>
          <w:rFonts w:eastAsia="Verdana" w:cs="Verdana"/>
        </w:rPr>
        <w:t xml:space="preserve"> </w:t>
      </w:r>
      <w:r w:rsidRPr="19BA0BE3">
        <w:rPr>
          <w:rFonts w:eastAsia="Verdana" w:cs="Verdana"/>
        </w:rPr>
        <w:t>29.</w:t>
      </w:r>
      <w:r w:rsidR="000B7C0D">
        <w:rPr>
          <w:rFonts w:eastAsia="Verdana" w:cs="Verdana"/>
        </w:rPr>
        <w:t>4</w:t>
      </w:r>
      <w:r w:rsidRPr="19BA0BE3">
        <w:rPr>
          <w:rFonts w:eastAsia="Verdana" w:cs="Verdana"/>
        </w:rPr>
        <w:t xml:space="preserve">00 woningen, wat ruim 41% meer is dan in de eerste helft van 2024. De stijging in de woningverkopen is het resultaat van zowel een stijging in de verkoop van woningen door bedrijfsmatige investeerders als door particuliere investeerders. Bedrijfsmatige investeerders verkochten 16.500 woningen en particuliere investeerders </w:t>
      </w:r>
      <w:r w:rsidRPr="18538903" w:rsidR="18538903">
        <w:rPr>
          <w:rFonts w:eastAsia="Verdana" w:cs="Verdana"/>
        </w:rPr>
        <w:t xml:space="preserve">12.900. </w:t>
      </w:r>
    </w:p>
    <w:p w:rsidR="19BA0BE3" w:rsidP="19BA0BE3" w14:paraId="3FC5B1E2" w14:textId="77777777">
      <w:pPr>
        <w:rPr>
          <w:rFonts w:eastAsia="Verdana" w:cs="Verdana"/>
        </w:rPr>
      </w:pPr>
    </w:p>
    <w:p w:rsidR="00624F20" w14:paraId="1E45F043" w14:textId="77777777">
      <w:r w:rsidRPr="70F3A724">
        <w:rPr>
          <w:rFonts w:eastAsia="Verdana" w:cs="Verdana"/>
        </w:rPr>
        <w:t xml:space="preserve">Het merendeel van de huurwoningen </w:t>
      </w:r>
      <w:r w:rsidRPr="18538903" w:rsidR="18538903">
        <w:rPr>
          <w:rFonts w:eastAsia="Verdana" w:cs="Verdana"/>
        </w:rPr>
        <w:t>dat werd</w:t>
      </w:r>
      <w:r w:rsidRPr="70F3A724">
        <w:rPr>
          <w:rFonts w:eastAsia="Verdana" w:cs="Verdana"/>
        </w:rPr>
        <w:t xml:space="preserve"> verkocht door investeerders </w:t>
      </w:r>
      <w:r w:rsidRPr="18538903" w:rsidR="18538903">
        <w:rPr>
          <w:rFonts w:eastAsia="Verdana" w:cs="Verdana"/>
        </w:rPr>
        <w:t>ging</w:t>
      </w:r>
      <w:r w:rsidRPr="70F3A724">
        <w:rPr>
          <w:rFonts w:eastAsia="Verdana" w:cs="Verdana"/>
        </w:rPr>
        <w:t xml:space="preserve"> naar eigenaar-bewoners, namelijk 60%. In de eerste twee kwartalen van 2025 gingen op deze manier in totaal ruim 8.900 huurwoningen van bedrijfsmatige investeerders </w:t>
      </w:r>
      <w:r w:rsidRPr="18538903" w:rsidR="18538903">
        <w:rPr>
          <w:rFonts w:eastAsia="Verdana" w:cs="Verdana"/>
        </w:rPr>
        <w:t xml:space="preserve">over </w:t>
      </w:r>
      <w:r w:rsidRPr="70F3A724">
        <w:rPr>
          <w:rFonts w:eastAsia="Verdana" w:cs="Verdana"/>
        </w:rPr>
        <w:t xml:space="preserve">naar de koopsector (figuur 1). Dit is zo’n 3.200 woningen meer dan in de eerste helft van 2024. In de eerste twee kwartalen van 2025 gingen in totaal </w:t>
      </w:r>
      <w:r w:rsidRPr="18538903" w:rsidR="18538903">
        <w:rPr>
          <w:rFonts w:eastAsia="Verdana" w:cs="Verdana"/>
        </w:rPr>
        <w:t>rond de</w:t>
      </w:r>
      <w:r w:rsidRPr="70F3A724">
        <w:rPr>
          <w:rFonts w:eastAsia="Verdana" w:cs="Verdana"/>
        </w:rPr>
        <w:t xml:space="preserve"> 8.700 woningen van particuliere investeerders naar de koopsector; dit is </w:t>
      </w:r>
      <w:r w:rsidRPr="18538903" w:rsidR="18538903">
        <w:rPr>
          <w:rFonts w:eastAsia="Verdana" w:cs="Verdana"/>
        </w:rPr>
        <w:t>bijna</w:t>
      </w:r>
      <w:r w:rsidRPr="70F3A724">
        <w:rPr>
          <w:rFonts w:eastAsia="Verdana" w:cs="Verdana"/>
        </w:rPr>
        <w:t xml:space="preserve"> 2.400 woningen meer dan in dezelfde periode in 2024. </w:t>
      </w:r>
    </w:p>
    <w:bookmarkEnd w:id="4"/>
    <w:p w:rsidR="009E70C6" w:rsidP="009E70C6" w14:paraId="7C1F06EA" w14:textId="77777777">
      <w:pPr>
        <w:pStyle w:val="Caption"/>
        <w:keepNext/>
      </w:pPr>
    </w:p>
    <w:p w:rsidR="009E70C6" w:rsidP="009E70C6" w14:paraId="4D593146" w14:textId="77777777">
      <w:pPr>
        <w:pStyle w:val="Caption"/>
        <w:keepNext/>
      </w:pPr>
      <w:r w:rsidRPr="005E030C">
        <w:t>Figuur 1: Investeerders: van huur naar koop en van koop naar huur</w:t>
      </w:r>
    </w:p>
    <w:p w:rsidR="70F3A724" w:rsidP="70F3A724" w14:paraId="71C4246A" w14:textId="77777777">
      <w:r>
        <w:rPr>
          <w:noProof/>
        </w:rPr>
        <w:drawing>
          <wp:inline distT="0" distB="0" distL="0" distR="0">
            <wp:extent cx="5149610" cy="2918129"/>
            <wp:effectExtent l="0" t="0" r="0" b="0"/>
            <wp:docPr id="758869102" name="pic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8869102" name="picture"/>
                    <pic:cNvPicPr/>
                  </pic:nvPicPr>
                  <pic:blipFill>
                    <a:blip xmlns:r="http://schemas.openxmlformats.org/officeDocument/2006/relationships" r:embed="rId11">
                      <a:extLst>
                        <a:ext xmlns:a="http://schemas.openxmlformats.org/drawingml/2006/main" uri="{28A0092B-C50C-407E-A947-70E740481C1C}">
                          <a14:useLocalDpi xmlns:a14="http://schemas.microsoft.com/office/drawing/2010/main" val="0"/>
                        </a:ext>
                      </a:extLst>
                    </a:blip>
                    <a:srcRect t="5555"/>
                    <a:stretch>
                      <a:fillRect/>
                    </a:stretch>
                  </pic:blipFill>
                  <pic:spPr>
                    <a:xfrm>
                      <a:off x="0" y="0"/>
                      <a:ext cx="5154350" cy="2920815"/>
                    </a:xfrm>
                    <a:prstGeom prst="rect">
                      <a:avLst/>
                    </a:prstGeom>
                  </pic:spPr>
                </pic:pic>
              </a:graphicData>
            </a:graphic>
          </wp:inline>
        </w:drawing>
      </w:r>
    </w:p>
    <w:p w:rsidR="70F3A724" w:rsidP="70F3A724" w14:paraId="0CB5FC7C" w14:textId="77777777">
      <w:pPr>
        <w:rPr>
          <w:rFonts w:eastAsia="Verdana" w:cs="Verdana"/>
        </w:rPr>
      </w:pPr>
    </w:p>
    <w:p w:rsidR="00624F20" w14:paraId="3CA3CBD5" w14:textId="77777777">
      <w:r w:rsidRPr="4E38BDC3">
        <w:rPr>
          <w:rFonts w:eastAsia="Verdana" w:cs="Verdana"/>
        </w:rPr>
        <w:t>Dit beeld komt overeen met het beeld dat wordt geschetst door het CBS</w:t>
      </w:r>
      <w:r>
        <w:rPr>
          <w:rStyle w:val="FootnoteReference"/>
          <w:rFonts w:eastAsia="Verdana" w:cs="Verdana"/>
        </w:rPr>
        <w:footnoteReference w:id="14"/>
      </w:r>
      <w:r w:rsidRPr="4E38BDC3">
        <w:rPr>
          <w:rFonts w:eastAsia="Verdana" w:cs="Verdana"/>
        </w:rPr>
        <w:t xml:space="preserve"> met zijn data over de periode 2021 tot en met 2024. Deze stijgende trend, waarbij steeds meer woningen worden uitgepond, zette zich ook in de eerste helft van 2025 door. Het aandeel van de uitgeponde woningen dat naar koopstarters gaat neemt steeds verder toe: ruim 60% van de eigenaar-bewoners aan wie de woningen worden verkocht</w:t>
      </w:r>
      <w:r w:rsidR="0080702D">
        <w:rPr>
          <w:rFonts w:eastAsia="Verdana" w:cs="Verdana"/>
        </w:rPr>
        <w:t>, zijn op dit moment</w:t>
      </w:r>
      <w:r w:rsidRPr="4E38BDC3">
        <w:rPr>
          <w:rFonts w:eastAsia="Verdana" w:cs="Verdana"/>
        </w:rPr>
        <w:t xml:space="preserve"> koopstarters. Deze cijfers laten zien dat de uitpondbeweging zoals beschreven in mijn brief van 10 april 2025 ook in 2025 heeft doorgezet. </w:t>
      </w:r>
    </w:p>
    <w:p w:rsidR="00624F20" w14:paraId="72CF795A" w14:textId="77777777">
      <w:pPr>
        <w:rPr>
          <w:rFonts w:eastAsia="Verdana" w:cs="Verdana"/>
        </w:rPr>
      </w:pPr>
    </w:p>
    <w:p w:rsidR="19BA0BE3" w14:paraId="1C6F5CC5" w14:textId="77777777">
      <w:r w:rsidRPr="580B6C96">
        <w:rPr>
          <w:rFonts w:eastAsia="Verdana" w:cs="Verdana"/>
        </w:rPr>
        <w:t>Een nadere analyse van het Kadaster</w:t>
      </w:r>
      <w:r>
        <w:rPr>
          <w:rStyle w:val="FootnoteReference"/>
          <w:rFonts w:eastAsia="Verdana" w:cs="Verdana"/>
        </w:rPr>
        <w:footnoteReference w:id="15"/>
      </w:r>
      <w:r w:rsidRPr="580B6C96">
        <w:rPr>
          <w:rFonts w:eastAsia="Verdana" w:cs="Verdana"/>
        </w:rPr>
        <w:t xml:space="preserve"> toont aan dat vanaf 2019 zowel bedrijfsmatige als particuliere investeerders steeds vaker woningen verkopen die nu </w:t>
      </w:r>
      <w:r w:rsidR="00DB2C82">
        <w:rPr>
          <w:rFonts w:eastAsia="Verdana" w:cs="Verdana"/>
        </w:rPr>
        <w:t xml:space="preserve">naar schatting </w:t>
      </w:r>
      <w:r w:rsidRPr="580B6C96">
        <w:rPr>
          <w:rFonts w:eastAsia="Verdana" w:cs="Verdana"/>
        </w:rPr>
        <w:t xml:space="preserve">onder de sociale huur of </w:t>
      </w:r>
      <w:r w:rsidRPr="580B6C96">
        <w:rPr>
          <w:rFonts w:eastAsia="Verdana" w:cs="Verdana"/>
        </w:rPr>
        <w:t>middenhuur</w:t>
      </w:r>
      <w:r w:rsidRPr="580B6C96">
        <w:rPr>
          <w:rFonts w:eastAsia="Verdana" w:cs="Verdana"/>
        </w:rPr>
        <w:t xml:space="preserve"> zouden vallen (figuur 2). Het is aannemelijk dat deze woningen voor een hogere huur werden verhuurd</w:t>
      </w:r>
      <w:r w:rsidR="00AD7B85">
        <w:rPr>
          <w:rFonts w:eastAsia="Verdana" w:cs="Verdana"/>
        </w:rPr>
        <w:t xml:space="preserve"> dan </w:t>
      </w:r>
      <w:r w:rsidR="003E52A9">
        <w:rPr>
          <w:rFonts w:eastAsia="Verdana" w:cs="Verdana"/>
        </w:rPr>
        <w:t xml:space="preserve">de maximale huurprijsgrens </w:t>
      </w:r>
      <w:r w:rsidR="00AD7B85">
        <w:rPr>
          <w:rFonts w:eastAsia="Verdana" w:cs="Verdana"/>
        </w:rPr>
        <w:t>op grond van het WWS</w:t>
      </w:r>
      <w:r w:rsidRPr="580B6C96">
        <w:rPr>
          <w:rFonts w:eastAsia="Verdana" w:cs="Verdana"/>
        </w:rPr>
        <w:t xml:space="preserve">. Het aandeel verkochte woningen dat op basis van de geschatte WWS-punten in de sociale huursector valt, ligt bij de particuliere verhuurders rond de 41%. Dit is aanzienlijker hoger dan bij de bedrijfsmatige verhuurders, waar dit aandeel rond de 28% </w:t>
      </w:r>
      <w:r w:rsidR="0076517D">
        <w:rPr>
          <w:rFonts w:eastAsia="Verdana" w:cs="Verdana"/>
        </w:rPr>
        <w:t>ligt</w:t>
      </w:r>
      <w:r w:rsidRPr="580B6C96">
        <w:rPr>
          <w:rFonts w:eastAsia="Verdana" w:cs="Verdana"/>
        </w:rPr>
        <w:t xml:space="preserve">. Bedrijfsmatige verhuurders verkochten relatief meer huurwoningen die </w:t>
      </w:r>
      <w:r w:rsidR="00D64DB5">
        <w:rPr>
          <w:rFonts w:eastAsia="Verdana" w:cs="Verdana"/>
        </w:rPr>
        <w:t xml:space="preserve">naar </w:t>
      </w:r>
      <w:r w:rsidR="00D64DB5">
        <w:rPr>
          <w:rFonts w:eastAsia="Verdana" w:cs="Verdana"/>
        </w:rPr>
        <w:t xml:space="preserve">schatting </w:t>
      </w:r>
      <w:r w:rsidRPr="580B6C96">
        <w:rPr>
          <w:rFonts w:eastAsia="Verdana" w:cs="Verdana"/>
        </w:rPr>
        <w:t xml:space="preserve">op basis van het WWS tot het </w:t>
      </w:r>
      <w:r w:rsidRPr="580B6C96">
        <w:rPr>
          <w:rFonts w:eastAsia="Verdana" w:cs="Verdana"/>
        </w:rPr>
        <w:t>middenhuursegment</w:t>
      </w:r>
      <w:r w:rsidRPr="580B6C96">
        <w:rPr>
          <w:rFonts w:eastAsia="Verdana" w:cs="Verdana"/>
        </w:rPr>
        <w:t xml:space="preserve"> behoren: in de eerste helft van 2025 is dit aandeel 52%, ten opzichte van zo’n 43% bij de particuliere verhuurders.</w:t>
      </w:r>
      <w:r w:rsidR="00D23B81">
        <w:rPr>
          <w:rFonts w:eastAsia="Verdana" w:cs="Verdana"/>
        </w:rPr>
        <w:br/>
      </w:r>
    </w:p>
    <w:p w:rsidR="009E70C6" w:rsidP="009E70C6" w14:paraId="7746BAC5" w14:textId="77777777">
      <w:pPr>
        <w:pStyle w:val="Caption"/>
        <w:keepNext/>
      </w:pPr>
      <w:r w:rsidRPr="00D0523F">
        <w:rPr>
          <w:noProof/>
        </w:rPr>
        <w:t>Figuur 2: Verkopen investeerders van eigenaar-bewoners aandeel naar indicatie WWS-huur</w:t>
      </w:r>
    </w:p>
    <w:p w:rsidR="70F3A724" w:rsidP="70F3A724" w14:paraId="6F780329" w14:textId="77777777">
      <w:r>
        <w:rPr>
          <w:noProof/>
        </w:rPr>
        <w:drawing>
          <wp:inline distT="0" distB="0" distL="0" distR="0">
            <wp:extent cx="4591559" cy="2439274"/>
            <wp:effectExtent l="0" t="0" r="0" b="0"/>
            <wp:docPr id="191345786" name="pic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1345786" name="picture"/>
                    <pic:cNvPicPr/>
                  </pic:nvPicPr>
                  <pic:blipFill>
                    <a:blip xmlns:r="http://schemas.openxmlformats.org/officeDocument/2006/relationships" r:embed="rId12">
                      <a:extLst>
                        <a:ext xmlns:a="http://schemas.openxmlformats.org/drawingml/2006/main" uri="{28A0092B-C50C-407E-A947-70E740481C1C}">
                          <a14:useLocalDpi xmlns:a14="http://schemas.microsoft.com/office/drawing/2010/main" val="0"/>
                        </a:ext>
                      </a:extLst>
                    </a:blip>
                    <a:srcRect t="11458"/>
                    <a:stretch>
                      <a:fillRect/>
                    </a:stretch>
                  </pic:blipFill>
                  <pic:spPr>
                    <a:xfrm>
                      <a:off x="0" y="0"/>
                      <a:ext cx="4591559" cy="2439274"/>
                    </a:xfrm>
                    <a:prstGeom prst="rect">
                      <a:avLst/>
                    </a:prstGeom>
                  </pic:spPr>
                </pic:pic>
              </a:graphicData>
            </a:graphic>
          </wp:inline>
        </w:drawing>
      </w:r>
    </w:p>
    <w:p w:rsidR="19BA0BE3" w:rsidP="19BA0BE3" w14:paraId="6A1E35CD" w14:textId="77777777">
      <w:pPr>
        <w:rPr>
          <w:rFonts w:eastAsia="Verdana" w:cs="Verdana"/>
        </w:rPr>
      </w:pPr>
    </w:p>
    <w:p w:rsidR="4E38BDC3" w:rsidP="70F3A724" w14:paraId="2402E7B2" w14:textId="77777777">
      <w:pPr>
        <w:rPr>
          <w:color w:val="auto"/>
        </w:rPr>
      </w:pPr>
      <w:r w:rsidRPr="4E38BDC3">
        <w:rPr>
          <w:rFonts w:eastAsia="Verdana" w:cs="Verdana"/>
        </w:rPr>
        <w:t>De krimp van het aandeel huurwoningen in handen van investeerders als gevolg van de verkoop van huurwoningen wordt gedempt door het aantal huurwoningen dat wordt aangekocht door investeerders: investeerders kochten in het eerste half jaar van 2025 ongeveer 13.400 woningen, waarvan het grootste aandeel in het tweede kwartaal</w:t>
      </w:r>
      <w:r>
        <w:rPr>
          <w:rStyle w:val="FootnoteReference"/>
          <w:rFonts w:eastAsia="Verdana" w:cs="Verdana"/>
        </w:rPr>
        <w:footnoteReference w:id="16"/>
      </w:r>
      <w:r w:rsidRPr="4E38BDC3">
        <w:rPr>
          <w:rFonts w:eastAsia="Verdana" w:cs="Verdana"/>
        </w:rPr>
        <w:t xml:space="preserve">. Dat is zo’n 36% meer dan in de eerste helft van 2024. Ze kochten voornamelijk van andere investeerders. Sinds </w:t>
      </w:r>
      <w:r w:rsidR="003E52A9">
        <w:rPr>
          <w:rFonts w:eastAsia="Verdana" w:cs="Verdana"/>
        </w:rPr>
        <w:t>de</w:t>
      </w:r>
      <w:r w:rsidRPr="4E38BDC3">
        <w:rPr>
          <w:rFonts w:eastAsia="Verdana" w:cs="Verdana"/>
        </w:rPr>
        <w:t xml:space="preserve"> inwerkingtreding van de aanvullende huurregulering betreffen de woningen die worden aangekocht door investeerders en de bestaande voorraad voornamelijk woningen die op basis van de geschatte WWS-punten in het duurdere huursegment vallen (figuur 3). Met name in de aankopen van de particuliere investeerders is een sterke stijging te zien in het aandeel woningen die worden aangekocht voor verhuur in de vrije sector (bijna 60% in het tweede kwartaal van 2025). </w:t>
      </w:r>
      <w:r w:rsidRPr="00AC1FD2" w:rsidR="00C37821">
        <w:rPr>
          <w:color w:val="auto"/>
        </w:rPr>
        <w:t xml:space="preserve">Er </w:t>
      </w:r>
      <w:r w:rsidR="00C37821">
        <w:rPr>
          <w:color w:val="auto"/>
        </w:rPr>
        <w:t xml:space="preserve">is dus een verschuiving merkbaar in het bestaande woningbezit van particulieren naar duurdere huur. </w:t>
      </w:r>
      <w:r w:rsidR="00C37821">
        <w:rPr>
          <w:rFonts w:eastAsia="Verdana" w:cs="Verdana"/>
        </w:rPr>
        <w:t>D</w:t>
      </w:r>
      <w:r w:rsidRPr="00827868" w:rsidR="00C37821">
        <w:rPr>
          <w:rFonts w:eastAsia="Verdana" w:cs="Verdana"/>
        </w:rPr>
        <w:t xml:space="preserve">e beoogde groei van het sociale- en </w:t>
      </w:r>
      <w:r w:rsidRPr="00827868" w:rsidR="00C37821">
        <w:rPr>
          <w:rFonts w:eastAsia="Verdana" w:cs="Verdana"/>
        </w:rPr>
        <w:t>middenhuursegment</w:t>
      </w:r>
      <w:r w:rsidRPr="00827868" w:rsidR="00C37821">
        <w:rPr>
          <w:rFonts w:eastAsia="Verdana" w:cs="Verdana"/>
        </w:rPr>
        <w:t xml:space="preserve"> is daarmee grotendeels afhankelijk van toevoegingen in de vorm van nieuwbouw, transformatie en splitsingen.</w:t>
      </w:r>
      <w:r w:rsidR="00C37821">
        <w:rPr>
          <w:rFonts w:eastAsia="Verdana" w:cs="Verdana"/>
        </w:rPr>
        <w:t xml:space="preserve"> Dit vormt een probleem voor woningzoekenden, aangezien het aanbod aan betaalbare huurwoningen juist moet groeien, </w:t>
      </w:r>
      <w:r w:rsidRPr="00AA1B7C" w:rsidR="00C37821">
        <w:rPr>
          <w:color w:val="auto"/>
        </w:rPr>
        <w:t xml:space="preserve">gezien de grote vraag </w:t>
      </w:r>
      <w:r w:rsidR="00C37821">
        <w:rPr>
          <w:color w:val="auto"/>
        </w:rPr>
        <w:t>daarnaar</w:t>
      </w:r>
      <w:r w:rsidRPr="00AA1B7C" w:rsidR="00C37821">
        <w:rPr>
          <w:color w:val="auto"/>
        </w:rPr>
        <w:t>.</w:t>
      </w:r>
    </w:p>
    <w:p w:rsidR="00811821" w:rsidP="70F3A724" w14:paraId="1E7F528F" w14:textId="77777777">
      <w:pPr>
        <w:rPr>
          <w:rFonts w:eastAsia="Verdana" w:cs="Verdana"/>
        </w:rPr>
      </w:pPr>
    </w:p>
    <w:p w:rsidR="009E70C6" w:rsidP="009E70C6" w14:paraId="158F08F3" w14:textId="77777777">
      <w:pPr>
        <w:pStyle w:val="Caption"/>
        <w:keepNext/>
      </w:pPr>
      <w:r w:rsidRPr="00302E07">
        <w:t>Figuur 3: Aankopen investeerders van eigenaar-bewoners aandeel naar indicatie WWS-huur</w:t>
      </w:r>
    </w:p>
    <w:p w:rsidR="50916BCC" w:rsidP="50916BCC" w14:paraId="2B571351" w14:textId="77777777">
      <w:r>
        <w:rPr>
          <w:noProof/>
        </w:rPr>
        <w:drawing>
          <wp:inline distT="0" distB="0" distL="0" distR="0">
            <wp:extent cx="4572000" cy="2447949"/>
            <wp:effectExtent l="0" t="0" r="0" b="0"/>
            <wp:docPr id="1716148808" name="pic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16148808" name="picture"/>
                    <pic:cNvPicPr/>
                  </pic:nvPicPr>
                  <pic:blipFill>
                    <a:blip xmlns:r="http://schemas.openxmlformats.org/officeDocument/2006/relationships" r:embed="rId13">
                      <a:extLst>
                        <a:ext xmlns:a="http://schemas.openxmlformats.org/drawingml/2006/main" uri="{28A0092B-C50C-407E-A947-70E740481C1C}">
                          <a14:useLocalDpi xmlns:a14="http://schemas.microsoft.com/office/drawing/2010/main" val="0"/>
                        </a:ext>
                      </a:extLst>
                    </a:blip>
                    <a:srcRect t="10763"/>
                    <a:stretch>
                      <a:fillRect/>
                    </a:stretch>
                  </pic:blipFill>
                  <pic:spPr>
                    <a:xfrm>
                      <a:off x="0" y="0"/>
                      <a:ext cx="4572000" cy="2447949"/>
                    </a:xfrm>
                    <a:prstGeom prst="rect">
                      <a:avLst/>
                    </a:prstGeom>
                  </pic:spPr>
                </pic:pic>
              </a:graphicData>
            </a:graphic>
          </wp:inline>
        </w:drawing>
      </w:r>
    </w:p>
    <w:p w:rsidRPr="00733C01" w:rsidR="001F5CBE" w14:paraId="468CD761" w14:textId="77777777">
      <w:r w:rsidRPr="008E5308">
        <w:rPr>
          <w:noProof/>
        </w:rPr>
        <mc:AlternateContent>
          <mc:Choice Requires="wps">
            <w:drawing>
              <wp:anchor distT="45720" distB="45720" distL="114300" distR="114300" simplePos="0" relativeHeight="251658240" behindDoc="0" locked="0" layoutInCell="1" allowOverlap="1">
                <wp:simplePos x="0" y="0"/>
                <wp:positionH relativeFrom="margin">
                  <wp:align>right</wp:align>
                </wp:positionH>
                <wp:positionV relativeFrom="paragraph">
                  <wp:posOffset>303530</wp:posOffset>
                </wp:positionV>
                <wp:extent cx="4886325" cy="3577590"/>
                <wp:effectExtent l="0" t="0" r="28575" b="22860"/>
                <wp:wrapSquare wrapText="bothSides"/>
                <wp:docPr id="217" name="Tekstvak 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4886325" cy="3577590"/>
                        </a:xfrm>
                        <a:prstGeom prst="rect">
                          <a:avLst/>
                        </a:prstGeom>
                        <a:solidFill>
                          <a:srgbClr val="FFFFFF"/>
                        </a:solidFill>
                        <a:ln w="9525">
                          <a:solidFill>
                            <a:srgbClr val="000000"/>
                          </a:solidFill>
                          <a:miter lim="800000"/>
                          <a:headEnd/>
                          <a:tailEnd/>
                        </a:ln>
                      </wps:spPr>
                      <wps:txbx>
                        <w:txbxContent>
                          <w:p w:rsidRPr="00554152" w:rsidR="0072258C" w:rsidP="0072258C" w14:textId="77777777">
                            <w:pPr>
                              <w:rPr>
                                <w:b/>
                                <w:bCs/>
                              </w:rPr>
                            </w:pPr>
                            <w:r>
                              <w:rPr>
                                <w:b/>
                                <w:bCs/>
                              </w:rPr>
                              <w:t>Aanvullende statistieken huurwoningen verkocht door investeerders</w:t>
                            </w:r>
                          </w:p>
                          <w:p w:rsidRPr="00CC0D61" w:rsidR="0072258C" w:rsidP="0072258C" w14:textId="77777777">
                            <w:pPr>
                              <w:pStyle w:val="ListParagraph"/>
                              <w:numPr>
                                <w:ilvl w:val="0"/>
                                <w:numId w:val="14"/>
                              </w:numPr>
                              <w:autoSpaceDN/>
                              <w:spacing w:after="160" w:line="259" w:lineRule="auto"/>
                              <w:textAlignment w:val="auto"/>
                            </w:pPr>
                            <w:r>
                              <w:t>Van alle verkopen van bedrijfsmatige en particuliere investeerders aan eigenaar-bewoners waarvan de koopsom bekend is, lag in de eerste helft van 2025 ongeveer 70% onder de betaalbaarheidsgrens van €405.000. De verkoopwaarde van de huurwoningen die i</w:t>
                            </w:r>
                            <w:r w:rsidRPr="004634E6">
                              <w:t>nvesteerders verkochten</w:t>
                            </w:r>
                            <w:r>
                              <w:t xml:space="preserve"> aan eigenaar-bewoners lag gemiddeld lager dan de woningen die zij aan andere kopers verkochten</w:t>
                            </w:r>
                            <w:r w:rsidRPr="004634E6">
                              <w:t>.</w:t>
                            </w:r>
                          </w:p>
                          <w:p w:rsidR="0072258C" w:rsidP="0072258C" w14:textId="77777777">
                            <w:pPr>
                              <w:pStyle w:val="ListParagraph"/>
                              <w:numPr>
                                <w:ilvl w:val="0"/>
                                <w:numId w:val="15"/>
                              </w:numPr>
                              <w:autoSpaceDN/>
                              <w:spacing w:after="160" w:line="259" w:lineRule="auto"/>
                              <w:textAlignment w:val="auto"/>
                            </w:pPr>
                            <w:r w:rsidRPr="00CC0D61">
                              <w:t xml:space="preserve">In </w:t>
                            </w:r>
                            <w:r w:rsidR="00F716F6">
                              <w:t>het tweede kwartaal</w:t>
                            </w:r>
                            <w:r w:rsidRPr="00CC0D61">
                              <w:t xml:space="preserve"> van 2025 betaalden eigenaar-bewoners gemiddeld € 383.000 voor een woning die zij kochten van een investeerder. Dat was ongeveer 1% hoger dan 1 jaar geleden.</w:t>
                            </w:r>
                            <w:r>
                              <w:t xml:space="preserve"> </w:t>
                            </w:r>
                            <w:r w:rsidRPr="00CC0D61">
                              <w:t>Op de hele woningmarkt betaalden eigenaar-bewoners gemiddeld € 470.000 voor een woning. Het verschil tussen wat ze betaalden aan investeerders en wat ze betaalden op de hele woningmarkt was daarmee bijna € 90.000.</w:t>
                            </w:r>
                            <w:r>
                              <w:t xml:space="preserve"> Dit weerspiegelt het verschil in kenmerken van woningen die worden verkocht door investeerders ten opzichte van de gehele woningmarkt. </w:t>
                            </w:r>
                          </w:p>
                          <w:p w:rsidRPr="00D86943" w:rsidR="0072258C" w:rsidP="0072258C" w14:textId="77777777">
                            <w:pPr>
                              <w:pStyle w:val="ListParagraph"/>
                              <w:numPr>
                                <w:ilvl w:val="0"/>
                                <w:numId w:val="15"/>
                              </w:numPr>
                              <w:autoSpaceDN/>
                              <w:spacing w:after="160" w:line="259" w:lineRule="auto"/>
                              <w:textAlignment w:val="auto"/>
                            </w:pPr>
                            <w:r>
                              <w:t xml:space="preserve">Bijna 50% van de woningen die door investeerders werden verkocht aan eigenaar-bewoners in de eerste helft van 2025 </w:t>
                            </w:r>
                            <w:r w:rsidRPr="00BB1D83">
                              <w:t>betreft middelgrote appartementen (50-100 m2). Het aantal grondgebonden woningen dat investeerders verk</w:t>
                            </w:r>
                            <w:r>
                              <w:t>ocht</w:t>
                            </w:r>
                            <w:r w:rsidRPr="00BB1D83">
                              <w:t xml:space="preserve">en aan eigenaar-bewoners is sterk afgenomen in de eerste helft van 2025. Dit is voornamelijk het resultaat van een daling in het aantal verkopen van dit type woningen door particuliere investeerders. </w:t>
                            </w:r>
                            <w:r>
                              <w:t>In algemene zin neemt het aandeel verkopen van kleine woningen toe ten koste van grotere woningen.</w:t>
                            </w:r>
                          </w:p>
                          <w:p w:rsidR="00277804" w:rsidP="00277804" w14:textId="77777777"/>
                        </w:txbxContent>
                      </wps:txbx>
                      <wps:bodyPr rot="0" vert="horz" wrap="square" lIns="91440" tIns="45720" rIns="91440" bIns="45720" anchor="t" anchorCtr="0"/>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kstvak 2" style="width:384.75pt;height:281.7pt;margin-top:23.9pt;margin-left:333.55pt;mso-height-percent:0;mso-height-relative:margin;mso-position-horizontal:right;mso-position-horizontal-relative:margin;mso-width-percent:0;mso-width-relative:margin;mso-wrap-distance-bottom:3.6pt;mso-wrap-distance-left:9pt;mso-wrap-distance-right:9pt;mso-wrap-distance-top:3.6pt;mso-wrap-style:square;position:absolute;v-text-anchor:top;visibility:visible;z-index:251659264" o:spid="_x0000_s1025" type="#_x0000_t202">
                <v:textbox>
                  <w:txbxContent>
                    <w:p w:rsidRPr="00554152" w:rsidR="0072258C" w:rsidP="0072258C" w14:paraId="6952410F" w14:textId="77777777">
                      <w:pPr>
                        <w:rPr>
                          <w:b/>
                          <w:bCs/>
                        </w:rPr>
                      </w:pPr>
                      <w:r>
                        <w:rPr>
                          <w:b/>
                          <w:bCs/>
                        </w:rPr>
                        <w:t>Aanvullende statistieken huurwoningen verkocht door investeerders</w:t>
                      </w:r>
                    </w:p>
                    <w:p w:rsidRPr="00CC0D61" w:rsidR="0072258C" w:rsidP="0072258C" w14:paraId="1396BD56" w14:textId="77777777">
                      <w:pPr>
                        <w:pStyle w:val="ListParagraph"/>
                        <w:numPr>
                          <w:ilvl w:val="0"/>
                          <w:numId w:val="14"/>
                        </w:numPr>
                        <w:autoSpaceDN/>
                        <w:spacing w:after="160" w:line="259" w:lineRule="auto"/>
                        <w:textAlignment w:val="auto"/>
                      </w:pPr>
                      <w:r>
                        <w:t>Van alle verkopen van bedrijfsmatige en particuliere investeerders aan eigenaar-bewoners waarvan de koopsom bekend is, lag in de eerste helft van 2025 ongeveer 70% onder de betaalbaarheidsgrens van €405.000. De verkoopwaarde van de huurwoningen die i</w:t>
                      </w:r>
                      <w:r w:rsidRPr="004634E6">
                        <w:t>nvesteerders verkochten</w:t>
                      </w:r>
                      <w:r>
                        <w:t xml:space="preserve"> aan eigenaar-bewoners lag gemiddeld lager dan de woningen die zij aan andere kopers verkochten</w:t>
                      </w:r>
                      <w:r w:rsidRPr="004634E6">
                        <w:t>.</w:t>
                      </w:r>
                    </w:p>
                    <w:p w:rsidR="0072258C" w:rsidP="0072258C" w14:paraId="18EA3A67" w14:textId="77777777">
                      <w:pPr>
                        <w:pStyle w:val="ListParagraph"/>
                        <w:numPr>
                          <w:ilvl w:val="0"/>
                          <w:numId w:val="15"/>
                        </w:numPr>
                        <w:autoSpaceDN/>
                        <w:spacing w:after="160" w:line="259" w:lineRule="auto"/>
                        <w:textAlignment w:val="auto"/>
                      </w:pPr>
                      <w:r w:rsidRPr="00CC0D61">
                        <w:t xml:space="preserve">In </w:t>
                      </w:r>
                      <w:r w:rsidR="00F716F6">
                        <w:t>het tweede kwartaal</w:t>
                      </w:r>
                      <w:r w:rsidRPr="00CC0D61">
                        <w:t xml:space="preserve"> van 2025 betaalden eigenaar-bewoners gemiddeld € 383.000 voor een woning die zij kochten van een investeerder. Dat was ongeveer 1% hoger dan 1 jaar geleden.</w:t>
                      </w:r>
                      <w:r>
                        <w:t xml:space="preserve"> </w:t>
                      </w:r>
                      <w:r w:rsidRPr="00CC0D61">
                        <w:t>Op de hele woningmarkt betaalden eigenaar-bewoners gemiddeld € 470.000 voor een woning. Het verschil tussen wat ze betaalden aan investeerders en wat ze betaalden op de hele woningmarkt was daarmee bijna € 90.000.</w:t>
                      </w:r>
                      <w:r>
                        <w:t xml:space="preserve"> Dit weerspiegelt het verschil in kenmerken van woningen die worden verkocht door investeerders ten opzichte van de gehele woningmarkt. </w:t>
                      </w:r>
                    </w:p>
                    <w:p w:rsidRPr="00D86943" w:rsidR="0072258C" w:rsidP="0072258C" w14:paraId="6CCF30B2" w14:textId="77777777">
                      <w:pPr>
                        <w:pStyle w:val="ListParagraph"/>
                        <w:numPr>
                          <w:ilvl w:val="0"/>
                          <w:numId w:val="15"/>
                        </w:numPr>
                        <w:autoSpaceDN/>
                        <w:spacing w:after="160" w:line="259" w:lineRule="auto"/>
                        <w:textAlignment w:val="auto"/>
                      </w:pPr>
                      <w:r>
                        <w:t xml:space="preserve">Bijna 50% van de woningen die door investeerders werden verkocht aan eigenaar-bewoners in de eerste helft van 2025 </w:t>
                      </w:r>
                      <w:r w:rsidRPr="00BB1D83">
                        <w:t>betreft middelgrote appartementen (50-100 m2). Het aantal grondgebonden woningen dat investeerders verk</w:t>
                      </w:r>
                      <w:r>
                        <w:t>ocht</w:t>
                      </w:r>
                      <w:r w:rsidRPr="00BB1D83">
                        <w:t xml:space="preserve">en aan eigenaar-bewoners is sterk afgenomen in de eerste helft van 2025. Dit is voornamelijk het resultaat van een daling in het aantal verkopen van dit type woningen door particuliere investeerders. </w:t>
                      </w:r>
                      <w:r>
                        <w:t>In algemene zin neemt het aandeel verkopen van kleine woningen toe ten koste van grotere woningen.</w:t>
                      </w:r>
                    </w:p>
                    <w:p w:rsidR="00277804" w:rsidP="00277804" w14:paraId="638C0E1B" w14:textId="77777777"/>
                  </w:txbxContent>
                </v:textbox>
                <w10:wrap type="square"/>
              </v:shape>
            </w:pict>
          </mc:Fallback>
        </mc:AlternateContent>
      </w:r>
    </w:p>
    <w:p w:rsidR="19BA0BE3" w14:paraId="242F6C9F" w14:textId="77777777">
      <w:r w:rsidRPr="19BA0BE3">
        <w:rPr>
          <w:rFonts w:eastAsia="Verdana" w:cs="Verdana"/>
        </w:rPr>
        <w:t>O</w:t>
      </w:r>
      <w:bookmarkStart w:name="_Hlk212474171" w:id="5"/>
      <w:r w:rsidRPr="19BA0BE3">
        <w:rPr>
          <w:rFonts w:eastAsia="Verdana" w:cs="Verdana"/>
        </w:rPr>
        <w:t xml:space="preserve">p 1 juli 2025 bezaten investeerders, exclusief het tweede woningbezit van particulieren, ongeveer 9,2% van de woningvoorraad, wat neerkomt op </w:t>
      </w:r>
      <w:r w:rsidRPr="19BA0BE3">
        <w:rPr>
          <w:rFonts w:eastAsia="Verdana" w:cs="Verdana"/>
        </w:rPr>
        <w:t>circa</w:t>
      </w:r>
      <w:r w:rsidRPr="19BA0BE3">
        <w:rPr>
          <w:rFonts w:eastAsia="Verdana" w:cs="Verdana"/>
        </w:rPr>
        <w:t xml:space="preserve"> 762.000 woningen. Dit aandeel en aantal zijn licht gedaald ten opzichte van een jaar eerder, toen het 9,3% en 767.000 woningen betrof. </w:t>
      </w:r>
      <w:bookmarkEnd w:id="5"/>
    </w:p>
    <w:p w:rsidR="19BA0BE3" w:rsidP="19BA0BE3" w14:paraId="4A66D512" w14:textId="77777777">
      <w:pPr>
        <w:rPr>
          <w:rFonts w:eastAsia="Verdana" w:cs="Verdana"/>
        </w:rPr>
      </w:pPr>
    </w:p>
    <w:p w:rsidR="19BA0BE3" w14:paraId="6608EE0D" w14:textId="77777777">
      <w:bookmarkStart w:name="_Hlk212473443" w:id="6"/>
      <w:r w:rsidRPr="580B6C96">
        <w:rPr>
          <w:rFonts w:eastAsia="Verdana" w:cs="Verdana"/>
        </w:rPr>
        <w:t>Deze afname is met name toe te schrijven aan de daling van het bezit van particuliere investeerders, die hun woningen vooral verkochten aan eigenaar-bewoners. Hun aandeel in de totale woningmarkt is afgenomen van 3,8% naar 3,5%, wat een daling van zo’n 21.000 woningen betekent. Het aandeel van bedrijfsmatige investeerders bleef daarentegen licht groeien van 5,5% naar 5,6%, wat een toename van ongeveer 16.000 woningen betekent. Dit is voornamelijk het resultaat van grote bedrijfsmatige investeerders die</w:t>
      </w:r>
      <w:r w:rsidR="0032498F">
        <w:rPr>
          <w:rFonts w:eastAsia="Verdana" w:cs="Verdana"/>
        </w:rPr>
        <w:t xml:space="preserve"> enerzijds</w:t>
      </w:r>
      <w:r w:rsidRPr="580B6C96">
        <w:rPr>
          <w:rFonts w:eastAsia="Verdana" w:cs="Verdana"/>
        </w:rPr>
        <w:t xml:space="preserve"> nog steeds woningen kochten en anderzijds zelf woningen bouw</w:t>
      </w:r>
      <w:r w:rsidR="00893444">
        <w:rPr>
          <w:rFonts w:eastAsia="Verdana" w:cs="Verdana"/>
        </w:rPr>
        <w:t>d</w:t>
      </w:r>
      <w:r w:rsidRPr="580B6C96">
        <w:rPr>
          <w:rFonts w:eastAsia="Verdana" w:cs="Verdana"/>
        </w:rPr>
        <w:t>en</w:t>
      </w:r>
      <w:r w:rsidR="00893444">
        <w:rPr>
          <w:rFonts w:eastAsia="Verdana" w:cs="Verdana"/>
        </w:rPr>
        <w:t xml:space="preserve"> of lieten bouwen</w:t>
      </w:r>
      <w:r w:rsidRPr="580B6C96">
        <w:rPr>
          <w:rFonts w:eastAsia="Verdana" w:cs="Verdana"/>
        </w:rPr>
        <w:t>.</w:t>
      </w:r>
    </w:p>
    <w:bookmarkEnd w:id="6"/>
    <w:p w:rsidR="19BA0BE3" w:rsidP="19BA0BE3" w14:paraId="7FA152BE" w14:textId="77777777">
      <w:pPr>
        <w:rPr>
          <w:rFonts w:eastAsia="Verdana" w:cs="Verdana"/>
        </w:rPr>
      </w:pPr>
    </w:p>
    <w:p w:rsidRPr="00A161C5" w:rsidR="19BA0BE3" w14:paraId="6AF0440C" w14:textId="77777777">
      <w:pPr>
        <w:rPr>
          <w:b/>
          <w:bCs/>
        </w:rPr>
      </w:pPr>
      <w:r w:rsidRPr="00825F7A">
        <w:rPr>
          <w:rFonts w:eastAsia="Verdana" w:cs="Verdana"/>
          <w:b/>
          <w:bCs/>
          <w:i/>
          <w:iCs/>
        </w:rPr>
        <w:t>Verhuurders in de categorie ‘Tweede woningen’</w:t>
      </w:r>
      <w:r w:rsidR="00A161C5">
        <w:br/>
      </w:r>
      <w:r w:rsidRPr="19BA0BE3">
        <w:rPr>
          <w:rFonts w:eastAsia="Verdana" w:cs="Verdana"/>
        </w:rPr>
        <w:t>De eerdere analyses van mijn ministerie over de ontwikkelingen op de huurmarkt waren gebaseerd op de cijfers die het Kadaster rapporteert met betrekking tot investeerders die ten minste drie woningen bezitten. Een deel van de groep natuurlijke personen die maximaal twee woningen bezit</w:t>
      </w:r>
      <w:r w:rsidR="000852BD">
        <w:rPr>
          <w:rFonts w:eastAsia="Verdana" w:cs="Verdana"/>
        </w:rPr>
        <w:t>ten</w:t>
      </w:r>
      <w:r w:rsidRPr="19BA0BE3">
        <w:rPr>
          <w:rFonts w:eastAsia="Verdana" w:cs="Verdana"/>
        </w:rPr>
        <w:t xml:space="preserve"> biedt deze woningen weliswaar aan als huurwoning, maar het exacte aantal daarvan is </w:t>
      </w:r>
      <w:r w:rsidRPr="19BA0BE3" w:rsidR="000852BD">
        <w:rPr>
          <w:rFonts w:eastAsia="Verdana" w:cs="Verdana"/>
        </w:rPr>
        <w:t xml:space="preserve">voor het Kadaster </w:t>
      </w:r>
      <w:r w:rsidRPr="19BA0BE3">
        <w:rPr>
          <w:rFonts w:eastAsia="Verdana" w:cs="Verdana"/>
        </w:rPr>
        <w:t>lastig vast te stellen. Dit komt omdat de woningen in deze categorie voor veel uiteenlopende doeleinden worden gebruikt; iemand kan ook tijdelijk een tweede woning hebben, bijvoorbeeld na een erfenis of als een eerdere woning nog even niet verkocht is. Het Kadaster heeft in het recentste Kwartaalbericht Investeerders een goed onderbouwde schatting opgenomen van het aantal transacties binnen deze categorie. Uit de resultaten van de</w:t>
      </w:r>
      <w:r w:rsidR="00504FC9">
        <w:rPr>
          <w:rFonts w:eastAsia="Verdana" w:cs="Verdana"/>
        </w:rPr>
        <w:t>ze</w:t>
      </w:r>
      <w:r w:rsidRPr="19BA0BE3">
        <w:rPr>
          <w:rFonts w:eastAsia="Verdana" w:cs="Verdana"/>
        </w:rPr>
        <w:t xml:space="preserve"> analyse blijkt dat</w:t>
      </w:r>
      <w:r w:rsidRPr="4E38BDC3" w:rsidR="4E38BDC3">
        <w:rPr>
          <w:rFonts w:eastAsia="Verdana" w:cs="Verdana"/>
        </w:rPr>
        <w:t xml:space="preserve"> in algemene zin</w:t>
      </w:r>
      <w:r w:rsidRPr="19BA0BE3">
        <w:rPr>
          <w:rFonts w:eastAsia="Verdana" w:cs="Verdana"/>
        </w:rPr>
        <w:t xml:space="preserve"> bij zowel aangekochte als verkochte tweede woningen in ongeveer 50% van de gevallen op 1 januari iemand anders dan de eigenaar in de woning woonde. Het Kadaster concludeert hierover dat dit waarschijnlijk huurwoningen waren. De andere helft bestond waarschijnlijk vooral uit tijdelijke situaties, zoals leegstand of gebruik door de eigenaar zelf.</w:t>
      </w:r>
    </w:p>
    <w:p w:rsidR="19BA0BE3" w:rsidP="19BA0BE3" w14:paraId="1E6F7879" w14:textId="77777777">
      <w:pPr>
        <w:rPr>
          <w:rFonts w:eastAsia="Verdana" w:cs="Verdana"/>
        </w:rPr>
      </w:pPr>
    </w:p>
    <w:p w:rsidR="19BA0BE3" w14:paraId="356D7407" w14:textId="77777777">
      <w:r w:rsidRPr="19BA0BE3">
        <w:rPr>
          <w:rFonts w:eastAsia="Verdana" w:cs="Verdana"/>
        </w:rPr>
        <w:t xml:space="preserve">In het 2e kwartaal zijn er naar schatting zo’n 250 tweede woningen voor de verhuur gekocht van eigenaar-bewoners. Tegelijkertijd zijn er zo’n 2.100 tweede woningen die tot kort een huurwoning waren verkocht aan eigenaar-bewoners. Verhuurders binnen de categorie </w:t>
      </w:r>
      <w:r w:rsidR="00792571">
        <w:rPr>
          <w:rFonts w:eastAsia="Verdana" w:cs="Verdana"/>
        </w:rPr>
        <w:t>t</w:t>
      </w:r>
      <w:r w:rsidRPr="19BA0BE3">
        <w:rPr>
          <w:rFonts w:eastAsia="Verdana" w:cs="Verdana"/>
        </w:rPr>
        <w:t>weede woningeigenaren verkochten dus ongeveer 1.850 meer woningen aan eigenaar-bewoners dan dat zij van hen kochten. Dit verschil is groter dan in eerdere jaren</w:t>
      </w:r>
      <w:r w:rsidR="00792571">
        <w:rPr>
          <w:rFonts w:eastAsia="Verdana" w:cs="Verdana"/>
        </w:rPr>
        <w:t xml:space="preserve">. </w:t>
      </w:r>
      <w:r w:rsidRPr="19BA0BE3">
        <w:rPr>
          <w:rFonts w:eastAsia="Verdana" w:cs="Verdana"/>
        </w:rPr>
        <w:t xml:space="preserve">Tweede woningen volgden de trend van andere investeerders: minder aankopen en meer verkopen. De voorraad van </w:t>
      </w:r>
      <w:r w:rsidR="00792571">
        <w:rPr>
          <w:rFonts w:eastAsia="Verdana" w:cs="Verdana"/>
        </w:rPr>
        <w:t xml:space="preserve">verhuurde </w:t>
      </w:r>
      <w:r w:rsidRPr="19BA0BE3">
        <w:rPr>
          <w:rFonts w:eastAsia="Verdana" w:cs="Verdana"/>
        </w:rPr>
        <w:t>tweede woningen nam hierdoor af.</w:t>
      </w:r>
    </w:p>
    <w:p w:rsidR="00DB752E" w:rsidP="009336D1" w14:paraId="4309019E" w14:textId="77777777">
      <w:pPr>
        <w:spacing w:line="276" w:lineRule="auto"/>
        <w:rPr>
          <w:b/>
          <w:bCs/>
          <w:color w:val="auto"/>
        </w:rPr>
      </w:pPr>
    </w:p>
    <w:p w:rsidR="00B44D97" w:rsidP="009336D1" w14:paraId="4B8FD267" w14:textId="77777777">
      <w:pPr>
        <w:spacing w:line="276" w:lineRule="auto"/>
        <w:rPr>
          <w:b/>
          <w:bCs/>
          <w:color w:val="auto"/>
        </w:rPr>
      </w:pPr>
      <w:r>
        <w:rPr>
          <w:b/>
          <w:bCs/>
          <w:color w:val="auto"/>
        </w:rPr>
        <w:t>Bevindingen i</w:t>
      </w:r>
      <w:r w:rsidRPr="00B44D97">
        <w:rPr>
          <w:b/>
          <w:bCs/>
          <w:color w:val="auto"/>
        </w:rPr>
        <w:t>nvoeringstoets</w:t>
      </w:r>
    </w:p>
    <w:p w:rsidRPr="00C00919" w:rsidR="1A14BD07" w:rsidP="00C00919" w14:paraId="6787A89C" w14:textId="77777777">
      <w:pPr>
        <w:spacing w:line="276" w:lineRule="auto"/>
        <w:rPr>
          <w:color w:val="000000" w:themeColor="text1"/>
          <w:lang w:eastAsia="en-US"/>
        </w:rPr>
      </w:pPr>
      <w:r>
        <w:rPr>
          <w:color w:val="000000" w:themeColor="text1"/>
          <w:lang w:eastAsia="en-US"/>
        </w:rPr>
        <w:t xml:space="preserve">Met deze brief informeer ik uw Kamer </w:t>
      </w:r>
      <w:r>
        <w:rPr>
          <w:color w:val="000000" w:themeColor="text1"/>
          <w:lang w:eastAsia="en-US"/>
        </w:rPr>
        <w:t>tevens</w:t>
      </w:r>
      <w:r>
        <w:rPr>
          <w:color w:val="000000" w:themeColor="text1"/>
          <w:lang w:eastAsia="en-US"/>
        </w:rPr>
        <w:t xml:space="preserve"> over de invoeringstoets die ik heb uitgevoerd naar de </w:t>
      </w:r>
      <w:r>
        <w:rPr>
          <w:color w:val="000000" w:themeColor="text1"/>
          <w:lang w:eastAsia="en-US"/>
        </w:rPr>
        <w:t>Wbh</w:t>
      </w:r>
      <w:r>
        <w:rPr>
          <w:color w:val="000000" w:themeColor="text1"/>
          <w:lang w:eastAsia="en-US"/>
        </w:rPr>
        <w:t xml:space="preserve">. </w:t>
      </w:r>
      <w:r w:rsidRPr="1A14BD07">
        <w:rPr>
          <w:rFonts w:eastAsia="Verdana" w:cs="Verdana"/>
        </w:rPr>
        <w:t>De invoeringstoets is een onderzoek met een</w:t>
      </w:r>
      <w:r w:rsidR="003D334E">
        <w:rPr>
          <w:rFonts w:eastAsia="Verdana" w:cs="Verdana"/>
        </w:rPr>
        <w:t xml:space="preserve"> indicatief en</w:t>
      </w:r>
      <w:r w:rsidRPr="1A14BD07">
        <w:rPr>
          <w:rFonts w:eastAsia="Verdana" w:cs="Verdana"/>
        </w:rPr>
        <w:t xml:space="preserve"> kwalitatief karakter</w:t>
      </w:r>
      <w:r>
        <w:rPr>
          <w:rFonts w:eastAsia="Verdana" w:cs="Verdana"/>
        </w:rPr>
        <w:t>,</w:t>
      </w:r>
      <w:r w:rsidRPr="1A14BD07">
        <w:rPr>
          <w:rFonts w:eastAsia="Verdana" w:cs="Verdana"/>
        </w:rPr>
        <w:t xml:space="preserve"> d</w:t>
      </w:r>
      <w:r>
        <w:rPr>
          <w:rFonts w:eastAsia="Verdana" w:cs="Verdana"/>
        </w:rPr>
        <w:t>at</w:t>
      </w:r>
      <w:r w:rsidRPr="1A14BD07">
        <w:rPr>
          <w:rFonts w:eastAsia="Verdana" w:cs="Verdana"/>
        </w:rPr>
        <w:t xml:space="preserve"> één jaar na inwerkingtreding van de</w:t>
      </w:r>
      <w:r>
        <w:rPr>
          <w:rFonts w:eastAsia="Verdana" w:cs="Verdana"/>
        </w:rPr>
        <w:t>ze</w:t>
      </w:r>
      <w:r w:rsidRPr="1A14BD07">
        <w:rPr>
          <w:rFonts w:eastAsia="Verdana" w:cs="Verdana"/>
        </w:rPr>
        <w:t xml:space="preserve"> </w:t>
      </w:r>
      <w:r>
        <w:rPr>
          <w:rFonts w:eastAsia="Verdana" w:cs="Verdana"/>
        </w:rPr>
        <w:t>w</w:t>
      </w:r>
      <w:r w:rsidRPr="1A14BD07">
        <w:rPr>
          <w:rFonts w:eastAsia="Verdana" w:cs="Verdana"/>
        </w:rPr>
        <w:t>et is</w:t>
      </w:r>
      <w:r w:rsidRPr="4DA65DED">
        <w:rPr>
          <w:rFonts w:eastAsia="Verdana" w:cs="Verdana"/>
          <w:color w:val="auto"/>
        </w:rPr>
        <w:t xml:space="preserve"> uitgevoerd</w:t>
      </w:r>
      <w:r>
        <w:rPr>
          <w:rStyle w:val="FootnoteReference"/>
          <w:rFonts w:eastAsia="Verdana" w:cs="Verdana"/>
          <w:color w:val="auto"/>
        </w:rPr>
        <w:footnoteReference w:id="17"/>
      </w:r>
      <w:r w:rsidRPr="4DA65DED">
        <w:rPr>
          <w:rFonts w:eastAsia="Verdana" w:cs="Verdana"/>
          <w:color w:val="auto"/>
        </w:rPr>
        <w:t>. D</w:t>
      </w:r>
      <w:r w:rsidRPr="1A14BD07">
        <w:rPr>
          <w:rFonts w:eastAsia="Verdana" w:cs="Verdana"/>
        </w:rPr>
        <w:t xml:space="preserve">e toets is bedoeld om tijdig knelpunten in de uitvoering te signaleren die aanleiding kunnen geven </w:t>
      </w:r>
      <w:r w:rsidR="00630085">
        <w:rPr>
          <w:rFonts w:eastAsia="Verdana" w:cs="Verdana"/>
        </w:rPr>
        <w:t>om te onderzoeken of</w:t>
      </w:r>
      <w:r w:rsidRPr="1A14BD07" w:rsidR="00630085">
        <w:rPr>
          <w:rFonts w:eastAsia="Verdana" w:cs="Verdana"/>
        </w:rPr>
        <w:t xml:space="preserve"> </w:t>
      </w:r>
      <w:r w:rsidRPr="1A14BD07">
        <w:rPr>
          <w:rFonts w:eastAsia="Verdana" w:cs="Verdana"/>
        </w:rPr>
        <w:t>bijsturing van beleid</w:t>
      </w:r>
      <w:r w:rsidR="003D334E">
        <w:rPr>
          <w:rFonts w:eastAsia="Verdana" w:cs="Verdana"/>
        </w:rPr>
        <w:t xml:space="preserve"> of andere vervolgacties</w:t>
      </w:r>
      <w:r w:rsidR="00630085">
        <w:rPr>
          <w:rFonts w:eastAsia="Verdana" w:cs="Verdana"/>
        </w:rPr>
        <w:t xml:space="preserve"> nodig is</w:t>
      </w:r>
      <w:r w:rsidRPr="1A14BD07">
        <w:rPr>
          <w:rFonts w:eastAsia="Verdana" w:cs="Verdana"/>
        </w:rPr>
        <w:t>. Hierbij is bijzondere aandacht besteed aan de doelgroepen en uitvoerende partijen die direct geraakt worden door de wet.</w:t>
      </w:r>
      <w:r w:rsidR="005E3262">
        <w:t xml:space="preserve"> </w:t>
      </w:r>
      <w:r w:rsidRPr="1A14BD07">
        <w:rPr>
          <w:rFonts w:eastAsia="Verdana" w:cs="Verdana"/>
        </w:rPr>
        <w:t>De toets richt zich op onvoorziene effecten in de praktijk en niet op effecten die vooraf zijn voorzien</w:t>
      </w:r>
      <w:r w:rsidR="00A36884">
        <w:rPr>
          <w:rFonts w:eastAsia="Verdana" w:cs="Verdana"/>
        </w:rPr>
        <w:t xml:space="preserve">, in de totstandkoming van de </w:t>
      </w:r>
      <w:r w:rsidR="00A36884">
        <w:rPr>
          <w:rFonts w:eastAsia="Verdana" w:cs="Verdana"/>
        </w:rPr>
        <w:t>Wbh</w:t>
      </w:r>
      <w:r w:rsidR="00A36884">
        <w:rPr>
          <w:rFonts w:eastAsia="Verdana" w:cs="Verdana"/>
        </w:rPr>
        <w:t xml:space="preserve"> en onderliggende </w:t>
      </w:r>
      <w:r w:rsidR="00A36884">
        <w:rPr>
          <w:rFonts w:eastAsia="Verdana" w:cs="Verdana"/>
        </w:rPr>
        <w:t>regelgeving</w:t>
      </w:r>
      <w:r w:rsidRPr="1A14BD07">
        <w:rPr>
          <w:rFonts w:eastAsia="Verdana" w:cs="Verdana"/>
        </w:rPr>
        <w:t>. Voorbeelden van dergelijke voorziene effecten</w:t>
      </w:r>
      <w:r w:rsidR="008533F2">
        <w:rPr>
          <w:rFonts w:eastAsia="Verdana" w:cs="Verdana"/>
        </w:rPr>
        <w:t xml:space="preserve"> die buiten de scope vallen,</w:t>
      </w:r>
      <w:r w:rsidRPr="1A14BD07">
        <w:rPr>
          <w:rFonts w:eastAsia="Verdana" w:cs="Verdana"/>
        </w:rPr>
        <w:t xml:space="preserve"> zijn de mogelijke terugval in inkomsten voor verhuurders bij bestaande contracten en de beperkte voorbereidingstijd als gevolg van de korte invoeringstermijn.</w:t>
      </w:r>
      <w:r w:rsidR="003D334E">
        <w:rPr>
          <w:rFonts w:eastAsia="Verdana" w:cs="Verdana"/>
        </w:rPr>
        <w:t xml:space="preserve"> </w:t>
      </w:r>
      <w:r w:rsidR="003C3BD0">
        <w:rPr>
          <w:rFonts w:eastAsia="Verdana" w:cs="Verdana"/>
        </w:rPr>
        <w:t>De voorziene effecten worden benoemd in de invoeringstoets.</w:t>
      </w:r>
    </w:p>
    <w:p w:rsidR="1A14BD07" w:rsidP="1A14BD07" w14:paraId="5A5C57CA" w14:textId="77777777">
      <w:pPr>
        <w:rPr>
          <w:rFonts w:eastAsia="Verdana" w:cs="Verdana"/>
        </w:rPr>
      </w:pPr>
    </w:p>
    <w:p w:rsidRPr="00977159" w:rsidR="00FE1C59" w:rsidP="00FE1C59" w14:paraId="23A0C889" w14:textId="77777777">
      <w:pPr>
        <w:rPr>
          <w:rFonts w:eastAsia="Verdana" w:cs="Verdana"/>
        </w:rPr>
      </w:pPr>
      <w:r w:rsidRPr="4DA65DED">
        <w:rPr>
          <w:rFonts w:eastAsia="Verdana" w:cs="Verdana"/>
        </w:rPr>
        <w:t xml:space="preserve">De invoeringstoets </w:t>
      </w:r>
      <w:r>
        <w:rPr>
          <w:rFonts w:eastAsia="Verdana" w:cs="Verdana"/>
        </w:rPr>
        <w:t>is uitgevoerd door middel van</w:t>
      </w:r>
      <w:r w:rsidRPr="4DA65DED">
        <w:rPr>
          <w:rFonts w:eastAsia="Verdana" w:cs="Verdana"/>
        </w:rPr>
        <w:t xml:space="preserve"> drie gespreksrondes. In de eerste ronde is gesproken met de belangrijkste uitvoerders van de </w:t>
      </w:r>
      <w:r w:rsidRPr="4DA65DED">
        <w:rPr>
          <w:rFonts w:eastAsia="Verdana" w:cs="Verdana"/>
        </w:rPr>
        <w:t>Wbh</w:t>
      </w:r>
      <w:r>
        <w:rPr>
          <w:rFonts w:eastAsia="Verdana" w:cs="Verdana"/>
        </w:rPr>
        <w:t xml:space="preserve">; </w:t>
      </w:r>
      <w:r w:rsidRPr="4DA65DED">
        <w:rPr>
          <w:rFonts w:eastAsia="Verdana" w:cs="Verdana"/>
        </w:rPr>
        <w:t xml:space="preserve">de Huurcommissie en </w:t>
      </w:r>
      <w:r>
        <w:rPr>
          <w:rFonts w:eastAsia="Verdana" w:cs="Verdana"/>
        </w:rPr>
        <w:t xml:space="preserve">verschillende </w:t>
      </w:r>
      <w:r w:rsidRPr="4DA65DED">
        <w:rPr>
          <w:rFonts w:eastAsia="Verdana" w:cs="Verdana"/>
        </w:rPr>
        <w:t xml:space="preserve">gemeenten. In de tweede ronde </w:t>
      </w:r>
      <w:r w:rsidR="003A0574">
        <w:rPr>
          <w:rFonts w:eastAsia="Verdana" w:cs="Verdana"/>
        </w:rPr>
        <w:t>is een breder veld</w:t>
      </w:r>
      <w:r w:rsidRPr="4DA65DED">
        <w:rPr>
          <w:rFonts w:eastAsia="Verdana" w:cs="Verdana"/>
        </w:rPr>
        <w:t xml:space="preserve"> </w:t>
      </w:r>
      <w:r w:rsidR="003A0574">
        <w:rPr>
          <w:rFonts w:eastAsia="Verdana" w:cs="Verdana"/>
        </w:rPr>
        <w:t>van</w:t>
      </w:r>
      <w:r w:rsidRPr="4DA65DED" w:rsidR="003A0574">
        <w:rPr>
          <w:rFonts w:eastAsia="Verdana" w:cs="Verdana"/>
        </w:rPr>
        <w:t xml:space="preserve"> </w:t>
      </w:r>
      <w:r w:rsidRPr="4DA65DED">
        <w:rPr>
          <w:rFonts w:eastAsia="Verdana" w:cs="Verdana"/>
        </w:rPr>
        <w:t xml:space="preserve">maatschappelijke stakeholders geraadpleegd. </w:t>
      </w:r>
      <w:r w:rsidR="003A0574">
        <w:rPr>
          <w:rFonts w:eastAsia="Verdana" w:cs="Verdana"/>
        </w:rPr>
        <w:t xml:space="preserve">Gesproken is met Aedes, </w:t>
      </w:r>
      <w:r w:rsidRPr="003A0574" w:rsidR="003A0574">
        <w:rPr>
          <w:rFonts w:eastAsia="Verdana" w:cs="Verdana"/>
        </w:rPr>
        <w:t>de vereniging van Institutionele Beleggers in Vastgoed Nederland (IVBN), Vastgoed Belang, de Woonbond, Stichting Professioneel Platform Vastgoed (SPPV), vertegenwoordiging uit de monumentensector, NEPROM</w:t>
      </w:r>
      <w:r w:rsidR="003A0574">
        <w:rPr>
          <w:rFonts w:eastAsia="Verdana" w:cs="Verdana"/>
        </w:rPr>
        <w:t xml:space="preserve"> en </w:t>
      </w:r>
      <w:r w:rsidRPr="003A0574" w:rsidR="003A0574">
        <w:rPr>
          <w:rFonts w:eastAsia="Verdana" w:cs="Verdana"/>
        </w:rPr>
        <w:t>de Vereniging van Nederlandse Gemeenten (VNG)</w:t>
      </w:r>
      <w:r w:rsidR="003A0574">
        <w:rPr>
          <w:rFonts w:eastAsia="Verdana" w:cs="Verdana"/>
        </w:rPr>
        <w:t xml:space="preserve">. De derde ronde richtte zich op de directe ervaringen van huurders en verhuurders met de </w:t>
      </w:r>
      <w:r w:rsidR="003A0574">
        <w:rPr>
          <w:rFonts w:eastAsia="Verdana" w:cs="Verdana"/>
        </w:rPr>
        <w:t>Wbh</w:t>
      </w:r>
      <w:r w:rsidR="0080702D">
        <w:rPr>
          <w:rFonts w:eastAsia="Verdana" w:cs="Verdana"/>
        </w:rPr>
        <w:t>, om eventuele knelpunten bij deze groepen op te halen</w:t>
      </w:r>
      <w:r w:rsidR="003A0574">
        <w:rPr>
          <w:rFonts w:eastAsia="Verdana" w:cs="Verdana"/>
        </w:rPr>
        <w:t xml:space="preserve">. Aan deze groepen namen huurders en institutionele </w:t>
      </w:r>
      <w:r w:rsidR="00D84B85">
        <w:rPr>
          <w:rFonts w:eastAsia="Verdana" w:cs="Verdana"/>
        </w:rPr>
        <w:t>en</w:t>
      </w:r>
      <w:r w:rsidR="003A0574">
        <w:rPr>
          <w:rFonts w:eastAsia="Verdana" w:cs="Verdana"/>
        </w:rPr>
        <w:t xml:space="preserve"> particuliere verhuurders deel, variërend van kleine tot grote partijen. </w:t>
      </w:r>
      <w:r w:rsidRPr="003A0574" w:rsidR="003A0574">
        <w:rPr>
          <w:rFonts w:eastAsia="Verdana" w:cs="Verdana"/>
        </w:rPr>
        <w:t xml:space="preserve">In elke ronde zijn de </w:t>
      </w:r>
      <w:r w:rsidRPr="4DA65DED">
        <w:rPr>
          <w:rFonts w:eastAsia="Verdana" w:cs="Verdana"/>
        </w:rPr>
        <w:t>bevindingen</w:t>
      </w:r>
      <w:r w:rsidR="002E5393">
        <w:rPr>
          <w:rFonts w:eastAsia="Verdana" w:cs="Verdana"/>
        </w:rPr>
        <w:t xml:space="preserve"> uit eerdere </w:t>
      </w:r>
      <w:r w:rsidRPr="003A0574" w:rsidR="003A0574">
        <w:rPr>
          <w:rFonts w:eastAsia="Verdana" w:cs="Verdana"/>
        </w:rPr>
        <w:t xml:space="preserve">deskresearch of eerdere </w:t>
      </w:r>
      <w:r w:rsidR="002E5393">
        <w:rPr>
          <w:rFonts w:eastAsia="Verdana" w:cs="Verdana"/>
        </w:rPr>
        <w:t>rondes</w:t>
      </w:r>
      <w:r w:rsidRPr="4DA65DED">
        <w:rPr>
          <w:rFonts w:eastAsia="Verdana" w:cs="Verdana"/>
        </w:rPr>
        <w:t xml:space="preserve"> getoetst</w:t>
      </w:r>
      <w:r w:rsidRPr="003A0574" w:rsidR="003A0574">
        <w:rPr>
          <w:rFonts w:eastAsia="Verdana" w:cs="Verdana"/>
        </w:rPr>
        <w:t>,</w:t>
      </w:r>
      <w:r w:rsidRPr="4DA65DED">
        <w:rPr>
          <w:rFonts w:eastAsia="Verdana" w:cs="Verdana"/>
        </w:rPr>
        <w:t xml:space="preserve"> en is ruimte geboden </w:t>
      </w:r>
      <w:r w:rsidRPr="003A0574" w:rsidR="003A0574">
        <w:rPr>
          <w:rFonts w:eastAsia="Verdana" w:cs="Verdana"/>
        </w:rPr>
        <w:t xml:space="preserve">om </w:t>
      </w:r>
      <w:r w:rsidRPr="4DA65DED">
        <w:rPr>
          <w:rFonts w:eastAsia="Verdana" w:cs="Verdana"/>
        </w:rPr>
        <w:t>aanvullende knelpunten</w:t>
      </w:r>
      <w:r>
        <w:rPr>
          <w:rFonts w:eastAsia="Verdana" w:cs="Verdana"/>
        </w:rPr>
        <w:t xml:space="preserve"> en effecten</w:t>
      </w:r>
      <w:r w:rsidRPr="003A0574" w:rsidR="003A0574">
        <w:rPr>
          <w:rFonts w:eastAsia="Verdana" w:cs="Verdana"/>
        </w:rPr>
        <w:t xml:space="preserve"> te signaleren.</w:t>
      </w:r>
      <w:r w:rsidRPr="4DA65DED">
        <w:rPr>
          <w:rFonts w:eastAsia="Verdana" w:cs="Verdana"/>
        </w:rPr>
        <w:t xml:space="preserve"> </w:t>
      </w:r>
      <w:r>
        <w:rPr>
          <w:rFonts w:eastAsia="Verdana" w:cs="Verdana"/>
        </w:rPr>
        <w:t>De opgehaalde signalen geven een indicatief eerste beeld van effecten die mogelijk nader onderzocht dienen te worden.</w:t>
      </w:r>
    </w:p>
    <w:p w:rsidR="1A14BD07" w:rsidP="1A14BD07" w14:paraId="6A39F5AD" w14:textId="77777777">
      <w:pPr>
        <w:spacing w:line="276" w:lineRule="auto"/>
        <w:rPr>
          <w:color w:val="000000" w:themeColor="text1"/>
          <w:lang w:eastAsia="en-US"/>
        </w:rPr>
      </w:pPr>
    </w:p>
    <w:p w:rsidRPr="00747BB2" w:rsidR="00FE1C59" w:rsidP="00FE1C59" w14:paraId="4C92D9BE" w14:textId="77777777">
      <w:pPr>
        <w:spacing w:line="276" w:lineRule="auto"/>
        <w:rPr>
          <w:color w:val="000000" w:themeColor="text1"/>
          <w:lang w:eastAsia="en-US"/>
        </w:rPr>
      </w:pPr>
      <w:r w:rsidRPr="00B07E77">
        <w:rPr>
          <w:color w:val="000000" w:themeColor="text1"/>
          <w:lang w:eastAsia="en-US"/>
        </w:rPr>
        <w:t xml:space="preserve">De </w:t>
      </w:r>
      <w:r>
        <w:rPr>
          <w:color w:val="000000" w:themeColor="text1"/>
          <w:lang w:eastAsia="en-US"/>
        </w:rPr>
        <w:t xml:space="preserve">signalen uit de </w:t>
      </w:r>
      <w:r w:rsidRPr="00B07E77">
        <w:rPr>
          <w:color w:val="000000" w:themeColor="text1"/>
          <w:lang w:eastAsia="en-US"/>
        </w:rPr>
        <w:t xml:space="preserve">invoeringstoets </w:t>
      </w:r>
      <w:r>
        <w:rPr>
          <w:color w:val="000000" w:themeColor="text1"/>
          <w:lang w:eastAsia="en-US"/>
        </w:rPr>
        <w:t>wijzen erop</w:t>
      </w:r>
      <w:r w:rsidRPr="00B07E77">
        <w:rPr>
          <w:color w:val="000000" w:themeColor="text1"/>
          <w:lang w:eastAsia="en-US"/>
        </w:rPr>
        <w:t xml:space="preserve"> dat de implementatie van de </w:t>
      </w:r>
      <w:r w:rsidRPr="00B07E77">
        <w:rPr>
          <w:color w:val="000000" w:themeColor="text1"/>
          <w:lang w:eastAsia="en-US"/>
        </w:rPr>
        <w:t>Wbh</w:t>
      </w:r>
      <w:r w:rsidRPr="00B07E77">
        <w:rPr>
          <w:color w:val="000000" w:themeColor="text1"/>
          <w:lang w:eastAsia="en-US"/>
        </w:rPr>
        <w:t xml:space="preserve"> over het algemeen goed op gang is gekomen, maar dat zich op verschillende </w:t>
      </w:r>
      <w:r w:rsidR="00D84B85">
        <w:rPr>
          <w:color w:val="000000" w:themeColor="text1"/>
          <w:lang w:eastAsia="en-US"/>
        </w:rPr>
        <w:t>onderdelen</w:t>
      </w:r>
      <w:r w:rsidRPr="00B07E77">
        <w:rPr>
          <w:color w:val="000000" w:themeColor="text1"/>
          <w:lang w:eastAsia="en-US"/>
        </w:rPr>
        <w:t xml:space="preserve"> knelpunten en onvoorziene effecten voordoen die de uitvoerbaarheid en effectiviteit van de wet kunnen beïnvloeden. Uit de gesprekken blijkt dat gemeenten uitdagingen ervaren bij de toepassing van de wet, doordat de benodigde kennis en expertise complex is </w:t>
      </w:r>
      <w:r>
        <w:rPr>
          <w:color w:val="000000" w:themeColor="text1"/>
          <w:lang w:eastAsia="en-US"/>
        </w:rPr>
        <w:t xml:space="preserve">en </w:t>
      </w:r>
      <w:r w:rsidRPr="00B07E77">
        <w:rPr>
          <w:color w:val="000000" w:themeColor="text1"/>
          <w:lang w:eastAsia="en-US"/>
        </w:rPr>
        <w:t>niet overal volledig aanwezig en sterk wisselend tussen gemeenten</w:t>
      </w:r>
      <w:r>
        <w:rPr>
          <w:color w:val="000000" w:themeColor="text1"/>
          <w:lang w:eastAsia="en-US"/>
        </w:rPr>
        <w:t xml:space="preserve"> is</w:t>
      </w:r>
      <w:r w:rsidRPr="00B07E77">
        <w:rPr>
          <w:color w:val="000000" w:themeColor="text1"/>
          <w:lang w:eastAsia="en-US"/>
        </w:rPr>
        <w:t xml:space="preserve">. Verhuurders signaleren </w:t>
      </w:r>
      <w:r>
        <w:rPr>
          <w:color w:val="000000" w:themeColor="text1"/>
          <w:lang w:eastAsia="en-US"/>
        </w:rPr>
        <w:t xml:space="preserve">onder andere </w:t>
      </w:r>
      <w:r w:rsidRPr="00B07E77">
        <w:rPr>
          <w:color w:val="000000" w:themeColor="text1"/>
          <w:lang w:eastAsia="en-US"/>
        </w:rPr>
        <w:t xml:space="preserve">knelpunten rondom </w:t>
      </w:r>
      <w:r>
        <w:rPr>
          <w:color w:val="000000" w:themeColor="text1"/>
          <w:lang w:eastAsia="en-US"/>
        </w:rPr>
        <w:t xml:space="preserve">het WWS. Met name de waardering van de </w:t>
      </w:r>
      <w:r w:rsidRPr="00B07E77">
        <w:rPr>
          <w:color w:val="000000" w:themeColor="text1"/>
          <w:lang w:eastAsia="en-US"/>
        </w:rPr>
        <w:t>WOZ-waarde, energielabels en monumentale status</w:t>
      </w:r>
      <w:r>
        <w:rPr>
          <w:color w:val="000000" w:themeColor="text1"/>
          <w:lang w:eastAsia="en-US"/>
        </w:rPr>
        <w:t xml:space="preserve"> werden benoemd. De gesproken verhuurders </w:t>
      </w:r>
      <w:r w:rsidRPr="00B07E77">
        <w:rPr>
          <w:color w:val="000000" w:themeColor="text1"/>
          <w:lang w:eastAsia="en-US"/>
        </w:rPr>
        <w:t>ervaren daar</w:t>
      </w:r>
      <w:r>
        <w:rPr>
          <w:color w:val="000000" w:themeColor="text1"/>
          <w:lang w:eastAsia="en-US"/>
        </w:rPr>
        <w:t>bij</w:t>
      </w:r>
      <w:r w:rsidRPr="00B07E77">
        <w:rPr>
          <w:color w:val="000000" w:themeColor="text1"/>
          <w:lang w:eastAsia="en-US"/>
        </w:rPr>
        <w:t xml:space="preserve"> administratieve lasten en onzekerheid bij de toepassing van het puntensysteem. </w:t>
      </w:r>
      <w:r>
        <w:rPr>
          <w:color w:val="000000" w:themeColor="text1"/>
          <w:lang w:eastAsia="en-US"/>
        </w:rPr>
        <w:t xml:space="preserve">Huurders dienen nog relatief weinig </w:t>
      </w:r>
      <w:r w:rsidR="00544753">
        <w:rPr>
          <w:color w:val="000000" w:themeColor="text1"/>
          <w:lang w:eastAsia="en-US"/>
        </w:rPr>
        <w:t>meldingen (bij gemeenten) of</w:t>
      </w:r>
      <w:r>
        <w:rPr>
          <w:color w:val="000000" w:themeColor="text1"/>
          <w:lang w:eastAsia="en-US"/>
        </w:rPr>
        <w:t xml:space="preserve"> </w:t>
      </w:r>
      <w:r w:rsidR="00544753">
        <w:rPr>
          <w:color w:val="000000" w:themeColor="text1"/>
          <w:lang w:eastAsia="en-US"/>
        </w:rPr>
        <w:t xml:space="preserve">verzoekschriften (aan de Huurcommissie) </w:t>
      </w:r>
      <w:r>
        <w:rPr>
          <w:color w:val="000000" w:themeColor="text1"/>
          <w:lang w:eastAsia="en-US"/>
        </w:rPr>
        <w:t xml:space="preserve">in, maar stellen wel veel vragen aan de Huurcommissie. Hierbij speelt mogelijk angst voor de consequenties of onwetendheid over de rechten en mogelijkheden. Huurders gaven aan dat extra voorlichting en handhaving door </w:t>
      </w:r>
      <w:r w:rsidRPr="00747BB2">
        <w:rPr>
          <w:color w:val="000000" w:themeColor="text1"/>
          <w:lang w:eastAsia="en-US"/>
        </w:rPr>
        <w:t>overheden gewenst is en dat zij behoefte hebben aan meer transparantie over WWS-punten door verhuurders. Een volledig overzicht van de signalen vindt u in Bijlage I.</w:t>
      </w:r>
    </w:p>
    <w:p w:rsidRPr="00747BB2" w:rsidR="00345071" w:rsidP="009336D1" w14:paraId="38B83D71" w14:textId="77777777">
      <w:pPr>
        <w:spacing w:line="276" w:lineRule="auto"/>
        <w:rPr>
          <w:color w:val="000000" w:themeColor="text1"/>
          <w:lang w:eastAsia="en-US"/>
        </w:rPr>
      </w:pPr>
    </w:p>
    <w:p w:rsidR="00D9493E" w:rsidP="00FE1C59" w14:paraId="0F19F5B7" w14:textId="77777777">
      <w:pPr>
        <w:spacing w:line="276" w:lineRule="auto"/>
        <w:rPr>
          <w:color w:val="000000" w:themeColor="text1"/>
          <w:lang w:eastAsia="en-US"/>
        </w:rPr>
      </w:pPr>
      <w:r w:rsidRPr="00747BB2">
        <w:rPr>
          <w:color w:val="000000" w:themeColor="text1"/>
          <w:lang w:eastAsia="en-US"/>
        </w:rPr>
        <w:t xml:space="preserve">Gezamenlijk laten deze signalen zien dat de invoering van de </w:t>
      </w:r>
      <w:r w:rsidRPr="00747BB2">
        <w:rPr>
          <w:color w:val="000000" w:themeColor="text1"/>
          <w:lang w:eastAsia="en-US"/>
        </w:rPr>
        <w:t>Wbh</w:t>
      </w:r>
      <w:r w:rsidRPr="00747BB2">
        <w:rPr>
          <w:color w:val="000000" w:themeColor="text1"/>
          <w:lang w:eastAsia="en-US"/>
        </w:rPr>
        <w:t xml:space="preserve"> meer vraagt dan alleen wettelijke aanpassing: structurele ondersteuning, eenduidige communicatie en betere afstemming tussen betrokken partijen zijn nodig om de doelen van de wet duurzaam te realiseren. </w:t>
      </w:r>
      <w:r>
        <w:rPr>
          <w:color w:val="000000" w:themeColor="text1"/>
          <w:lang w:eastAsia="en-US"/>
        </w:rPr>
        <w:t xml:space="preserve">Ook een langere implementatietermijn was behulpzaam geweest bij een adequate uitvoering. </w:t>
      </w:r>
      <w:r w:rsidRPr="00747BB2">
        <w:rPr>
          <w:color w:val="000000" w:themeColor="text1"/>
          <w:lang w:eastAsia="en-US"/>
        </w:rPr>
        <w:t xml:space="preserve">Hoewel de opgehaalde signalen een goed eerste beeld geven, zijn ze nog niet nader onderzocht of geverifieerd en dienen ze als indicatief beschouwd te worden. Wel geeft de toets alvast waardevolle aanknopingspunten voor verder onderzoek naar beleidsaanpassing, monitoring en ondersteuning van de uitvoering in de komende </w:t>
      </w:r>
      <w:r w:rsidRPr="00747BB2">
        <w:rPr>
          <w:color w:val="000000" w:themeColor="text1"/>
          <w:lang w:eastAsia="en-US"/>
        </w:rPr>
        <w:t xml:space="preserve">periode. Bij het volledige overzicht van de signalen in Bijlage I vindt u een </w:t>
      </w:r>
      <w:r w:rsidR="00CE12A0">
        <w:rPr>
          <w:color w:val="000000" w:themeColor="text1"/>
          <w:lang w:eastAsia="en-US"/>
        </w:rPr>
        <w:t>overzicht</w:t>
      </w:r>
      <w:r w:rsidRPr="00747BB2">
        <w:rPr>
          <w:color w:val="000000" w:themeColor="text1"/>
          <w:lang w:eastAsia="en-US"/>
        </w:rPr>
        <w:t xml:space="preserve"> van de signalen en waar relevant voorstellen voor vervolgstappen en oplossingsrichtingen. </w:t>
      </w:r>
    </w:p>
    <w:p w:rsidR="00D9493E" w:rsidP="00FE1C59" w14:paraId="71F422E7" w14:textId="77777777">
      <w:pPr>
        <w:spacing w:line="276" w:lineRule="auto"/>
        <w:rPr>
          <w:color w:val="000000" w:themeColor="text1"/>
          <w:lang w:eastAsia="en-US"/>
        </w:rPr>
      </w:pPr>
    </w:p>
    <w:p w:rsidRPr="0080702D" w:rsidR="00D9493E" w:rsidP="0080702D" w14:paraId="3DEBE550" w14:textId="77777777">
      <w:pPr>
        <w:pStyle w:val="Standaardcursief"/>
        <w:rPr>
          <w:i w:val="0"/>
        </w:rPr>
      </w:pPr>
      <w:r w:rsidRPr="0080702D">
        <w:rPr>
          <w:i w:val="0"/>
          <w:color w:val="000000" w:themeColor="text1"/>
        </w:rPr>
        <w:t xml:space="preserve">Op korte termijn worden gemeenten ondersteund </w:t>
      </w:r>
      <w:r w:rsidRPr="0080702D">
        <w:rPr>
          <w:i w:val="0"/>
        </w:rPr>
        <w:t xml:space="preserve">met onder meer een handreiking, handhavingsprotocol, modelverordening, regiobijeenkomsten, </w:t>
      </w:r>
      <w:r w:rsidRPr="0080702D">
        <w:rPr>
          <w:i w:val="0"/>
        </w:rPr>
        <w:t>webinars</w:t>
      </w:r>
      <w:r w:rsidRPr="0080702D">
        <w:rPr>
          <w:i w:val="0"/>
        </w:rPr>
        <w:t xml:space="preserve"> en communicatiemateriaal dat zij richting huurders en verhuurders kunnen inzetten. Daarnaast hebben het </w:t>
      </w:r>
      <w:r w:rsidR="0059549E">
        <w:rPr>
          <w:i w:val="0"/>
        </w:rPr>
        <w:t>M</w:t>
      </w:r>
      <w:r w:rsidRPr="0080702D">
        <w:rPr>
          <w:i w:val="0"/>
        </w:rPr>
        <w:t xml:space="preserve">inisterie van VRO, de VNG, de Vereniging Bouw- en Woningtoezicht Nederland en een tiental gemeenten een opleidingstraject opgezet voor gemeentelijke toezichthouders en handhavers. </w:t>
      </w:r>
    </w:p>
    <w:p w:rsidR="0080702D" w:rsidP="0080702D" w14:paraId="1DC90F66" w14:textId="77777777">
      <w:pPr>
        <w:pStyle w:val="Standaardcursief"/>
        <w:rPr>
          <w:i w:val="0"/>
          <w:iCs/>
        </w:rPr>
      </w:pPr>
    </w:p>
    <w:p w:rsidRPr="0080702D" w:rsidR="00D9493E" w:rsidP="0080702D" w14:paraId="45606DA8" w14:textId="77777777">
      <w:pPr>
        <w:pStyle w:val="Standaardcursief"/>
        <w:rPr>
          <w:i w:val="0"/>
        </w:rPr>
      </w:pPr>
      <w:r w:rsidRPr="0080702D">
        <w:rPr>
          <w:i w:val="0"/>
        </w:rPr>
        <w:t xml:space="preserve">De invoeringstoets vormt een waardevol startpunt voor de evaluatie van de </w:t>
      </w:r>
      <w:r w:rsidRPr="0080702D">
        <w:rPr>
          <w:i w:val="0"/>
        </w:rPr>
        <w:t>Wbh</w:t>
      </w:r>
      <w:r w:rsidRPr="0080702D">
        <w:rPr>
          <w:i w:val="0"/>
        </w:rPr>
        <w:t xml:space="preserve"> in 2027. Diverse inhoudelijke punten zijn geagendeerd voor die evaluatie, waaronder de werking van energielabels en de WOZ-waarde in het WWS, eventuele onduidelijkheden rond het begrip ‘duurzaam gemeenschappelijk huishouden’ en de hoogte van de liberalisatiegrens.</w:t>
      </w:r>
      <w:r w:rsidRPr="0080702D">
        <w:rPr>
          <w:i w:val="0"/>
          <w:color w:val="000000" w:themeColor="text1"/>
        </w:rPr>
        <w:t xml:space="preserve"> </w:t>
      </w:r>
      <w:r w:rsidRPr="0080702D">
        <w:rPr>
          <w:i w:val="0"/>
        </w:rPr>
        <w:t xml:space="preserve">In de periode tot aan de evaluatie blijf ik in gesprek met huurders, verhuurders en organisaties zoals </w:t>
      </w:r>
      <w:r w:rsidRPr="0080702D" w:rsidR="0080702D">
        <w:rPr>
          <w:i w:val="0"/>
          <w:iCs/>
        </w:rPr>
        <w:t xml:space="preserve">gemeenten, </w:t>
      </w:r>
      <w:r w:rsidRPr="0080702D">
        <w:rPr>
          <w:i w:val="0"/>
        </w:rPr>
        <w:t>de Huurcommissie, de VNG en brancheverenigingen om praktische knelpunten te monitoren en waar nodig tijdig op te volgen.</w:t>
      </w:r>
    </w:p>
    <w:p w:rsidR="00D27565" w:rsidP="009336D1" w14:paraId="1F5BA950" w14:textId="77777777">
      <w:pPr>
        <w:spacing w:line="276" w:lineRule="auto"/>
        <w:rPr>
          <w:b/>
          <w:bCs/>
        </w:rPr>
      </w:pPr>
    </w:p>
    <w:p w:rsidR="00836F61" w:rsidP="009336D1" w14:paraId="1A7B2F64" w14:textId="77777777">
      <w:pPr>
        <w:spacing w:line="276" w:lineRule="auto"/>
        <w:rPr>
          <w:b/>
          <w:bCs/>
        </w:rPr>
      </w:pPr>
      <w:r>
        <w:rPr>
          <w:b/>
          <w:bCs/>
        </w:rPr>
        <w:t xml:space="preserve">Onderzoek indexatie WWS-tabel (Motie </w:t>
      </w:r>
      <w:r>
        <w:rPr>
          <w:b/>
          <w:bCs/>
        </w:rPr>
        <w:t>Grinwis</w:t>
      </w:r>
      <w:r>
        <w:rPr>
          <w:b/>
          <w:bCs/>
        </w:rPr>
        <w:t>)</w:t>
      </w:r>
    </w:p>
    <w:p w:rsidR="005D4D5E" w:rsidP="009336D1" w14:paraId="02D5D431" w14:textId="77777777">
      <w:pPr>
        <w:spacing w:line="276" w:lineRule="auto"/>
      </w:pPr>
      <w:r>
        <w:t>M</w:t>
      </w:r>
      <w:r>
        <w:t>e</w:t>
      </w:r>
      <w:r>
        <w:t>t</w:t>
      </w:r>
      <w:r>
        <w:t xml:space="preserve"> </w:t>
      </w:r>
      <w:r>
        <w:t xml:space="preserve">de </w:t>
      </w:r>
      <w:r>
        <w:t xml:space="preserve">motie </w:t>
      </w:r>
      <w:r>
        <w:t>Grinwis</w:t>
      </w:r>
      <w:r>
        <w:t xml:space="preserve"> c.s.</w:t>
      </w:r>
      <w:r>
        <w:rPr>
          <w:rStyle w:val="FootnoteReference"/>
        </w:rPr>
        <w:footnoteReference w:id="18"/>
      </w:r>
      <w:r>
        <w:t xml:space="preserve"> heeft </w:t>
      </w:r>
      <w:r>
        <w:t xml:space="preserve">uw Kamer </w:t>
      </w:r>
      <w:r>
        <w:t>opgeroepen om 1) te bezien of de indexatie van de WWS-tabel adequaat is of aanpassing behoeft gelet op de investeringsbereidheid van institutionele investeerders, en 2) daarbij inzicht te verschaffen in de neveneffecten van een aanpassing van deze tabel.</w:t>
      </w:r>
    </w:p>
    <w:p w:rsidRPr="005328DF" w:rsidR="00F01BD4" w:rsidP="005328DF" w14:paraId="603A0C81" w14:textId="77777777">
      <w:pPr>
        <w:spacing w:line="276" w:lineRule="auto"/>
      </w:pPr>
      <w:r>
        <w:t>Het WWS is een puntensysteem dat de maximale huurprijsgrens van een woonruimte in het gereguleerde segment bepa</w:t>
      </w:r>
      <w:r w:rsidR="00EC080C">
        <w:t>a</w:t>
      </w:r>
      <w:r>
        <w:t>l</w:t>
      </w:r>
      <w:r w:rsidR="00EC080C">
        <w:t>t</w:t>
      </w:r>
      <w:r>
        <w:t xml:space="preserve">. Het bepaalt de verhouding tussen huurprijs en </w:t>
      </w:r>
      <w:r w:rsidR="008A555F">
        <w:t xml:space="preserve">de </w:t>
      </w:r>
      <w:r w:rsidR="00DF3A83">
        <w:t xml:space="preserve">extra </w:t>
      </w:r>
      <w:r>
        <w:t xml:space="preserve">kwaliteit van de woonruimte. De kwaliteit wordt uitgedrukt in WWS-punten, waarbij het totaal aantal punten van de woning correspondeert met een maximale huurprijsgrens van de woonruimte. De maximale </w:t>
      </w:r>
      <w:r w:rsidR="00B16E95">
        <w:t xml:space="preserve">toegestane huurprijs </w:t>
      </w:r>
      <w:r>
        <w:t xml:space="preserve">kan daarnaast </w:t>
      </w:r>
      <w:r w:rsidR="00B16E95">
        <w:t>hoger</w:t>
      </w:r>
      <w:r>
        <w:t xml:space="preserve"> </w:t>
      </w:r>
      <w:r w:rsidR="00B16E95">
        <w:t xml:space="preserve">zijn </w:t>
      </w:r>
      <w:r>
        <w:t xml:space="preserve">als sprake is van een </w:t>
      </w:r>
      <w:r>
        <w:t>maximale</w:t>
      </w:r>
      <w:r>
        <w:t xml:space="preserve"> huurprijsopslag, waarmee de maximale huurprijsgrens </w:t>
      </w:r>
      <w:r w:rsidR="00B16E95">
        <w:t xml:space="preserve">op basis van het aantal WWS-punten </w:t>
      </w:r>
      <w:r>
        <w:t>wordt vermeerderd met een bepaald percentage.</w:t>
      </w:r>
      <w:r>
        <w:rPr>
          <w:rStyle w:val="FootnoteReference"/>
        </w:rPr>
        <w:footnoteReference w:id="19"/>
      </w:r>
      <w:r>
        <w:t xml:space="preserve"> Elk jaar </w:t>
      </w:r>
      <w:r w:rsidR="00B16E95">
        <w:t>wordt de WWS-prijstabel</w:t>
      </w:r>
      <w:r>
        <w:t xml:space="preserve"> geïndexeerd</w:t>
      </w:r>
      <w:r w:rsidR="00B16E95">
        <w:t xml:space="preserve">, wat </w:t>
      </w:r>
      <w:r>
        <w:t xml:space="preserve">resulteert in een nieuwe maximale huurprijsgrens per puntenaantal. Dit gebeurt sinds de invoering van het WWS in 1979 met de </w:t>
      </w:r>
      <w:r w:rsidR="000C345A">
        <w:t>consumentenprijsindex (</w:t>
      </w:r>
      <w:r>
        <w:t>CPI</w:t>
      </w:r>
      <w:r w:rsidR="000C345A">
        <w:t>)</w:t>
      </w:r>
      <w:r>
        <w:rPr>
          <w:rStyle w:val="FootnoteReference"/>
        </w:rPr>
        <w:footnoteReference w:id="20"/>
      </w:r>
      <w:r>
        <w:t xml:space="preserve">. </w:t>
      </w:r>
      <w:r w:rsidR="00F066BC">
        <w:t xml:space="preserve">Daarmee worden </w:t>
      </w:r>
      <w:r>
        <w:t>de jaarlijkse toegenomen kosten van de verhuurder</w:t>
      </w:r>
      <w:r w:rsidR="00F066BC">
        <w:t xml:space="preserve"> in de maximale huurprijsgrenzen verrekend</w:t>
      </w:r>
      <w:r>
        <w:t xml:space="preserve">. </w:t>
      </w:r>
      <w:r w:rsidR="00020606">
        <w:t xml:space="preserve">De overweging daarbij is dat het WWS zelf, los van de indexatie, een balans betreft tussen betaalbaarheid enerzijds en investeringsbereidheid anderzijds. Deze balans wordt gevonden in het aantal WWS-punten dat voor kwaliteit wordt toegekend en de huurprijs die daar tegenover staat. </w:t>
      </w:r>
      <w:r w:rsidR="006E3E48">
        <w:t>De indexatiesystematiek</w:t>
      </w:r>
      <w:r w:rsidR="00020606">
        <w:t xml:space="preserve"> op grond van inflatie</w:t>
      </w:r>
      <w:r w:rsidR="006E3E48">
        <w:t xml:space="preserve"> ziet op het over de jaren stabiel houden van de huuropbrengst</w:t>
      </w:r>
      <w:r w:rsidR="00020606">
        <w:t>, afgezet tegen</w:t>
      </w:r>
      <w:r>
        <w:t xml:space="preserve"> gestegen kosten </w:t>
      </w:r>
      <w:r w:rsidR="00020606">
        <w:t xml:space="preserve">voor </w:t>
      </w:r>
      <w:r>
        <w:t>verhuurders</w:t>
      </w:r>
      <w:r w:rsidR="006E3E48">
        <w:t>.</w:t>
      </w:r>
    </w:p>
    <w:p w:rsidR="00F01BD4" w:rsidP="009336D1" w14:paraId="2DFE8D41" w14:textId="77777777">
      <w:pPr>
        <w:spacing w:line="276" w:lineRule="auto"/>
      </w:pPr>
    </w:p>
    <w:p w:rsidR="0064666B" w:rsidP="00FE1C59" w14:paraId="197DBFAC" w14:textId="77777777">
      <w:pPr>
        <w:spacing w:line="276" w:lineRule="auto"/>
      </w:pPr>
      <w:r>
        <w:t xml:space="preserve">De motie </w:t>
      </w:r>
      <w:r>
        <w:t>Grinwis</w:t>
      </w:r>
      <w:r>
        <w:t xml:space="preserve"> c.s. vraagt om te onderzoeken of de huidige </w:t>
      </w:r>
      <w:r w:rsidR="00A23538">
        <w:t>wijze van</w:t>
      </w:r>
      <w:r>
        <w:t xml:space="preserve"> indexatie </w:t>
      </w:r>
      <w:r w:rsidR="006E3E48">
        <w:t>adequaat is</w:t>
      </w:r>
      <w:r w:rsidR="00F94A35">
        <w:t>,</w:t>
      </w:r>
      <w:r>
        <w:t xml:space="preserve"> gelet op de investeringsbereidheid van institutionele investeerders. </w:t>
      </w:r>
      <w:r w:rsidR="001A4D0D">
        <w:t xml:space="preserve"> </w:t>
      </w:r>
      <w:r w:rsidR="00217949">
        <w:t xml:space="preserve">In algemene zin zal een </w:t>
      </w:r>
      <w:r w:rsidR="00FE1C59">
        <w:t xml:space="preserve">hoger indexatiepercentage </w:t>
      </w:r>
      <w:r w:rsidR="00217949">
        <w:t xml:space="preserve">de financiële haalbaarheid van de nieuwbouw van huurwoningen verbeteren en de kans dat een huurwoning in de bestaande woningvoorraad wordt verkocht aan een eigenaar-bewoner </w:t>
      </w:r>
      <w:r w:rsidR="00EE424E">
        <w:t>(</w:t>
      </w:r>
      <w:r w:rsidR="00EE424E">
        <w:t>uitponding</w:t>
      </w:r>
      <w:r w:rsidR="00EE424E">
        <w:t xml:space="preserve">) </w:t>
      </w:r>
      <w:r w:rsidR="00217949">
        <w:t>verkleinen.</w:t>
      </w:r>
      <w:r>
        <w:t xml:space="preserve"> </w:t>
      </w:r>
      <w:r w:rsidR="005C1A03">
        <w:t xml:space="preserve">Naast verhoging van het indexatiepercentage van de WWS-prijstabel bestaan er verschillende alternatieve beleidsopties voor het verbeteren van de investeringsbereidheid voor institutionele investeerders voor wat betreft het WWS. Binnen de huurprijsregulering vormt bijvoorbeeld het eenmalig ophogen van de maximale huurprijsgrens een alternatief. Dit kan gedaan worden door de WWS-puntprijs eenmalig te verhogen. Ook is het mogelijk investeringsbereidheid te verbeteren door elementen in het WWS zwaarder te waarderen. Hierbij kan gedacht worden aan de waardering van de WOZ-waarde, het energielabel of diverse voorzieningen. In het recent met u gedeelde rapport Investeringsklimaat </w:t>
      </w:r>
      <w:r w:rsidR="005C1A03">
        <w:t>Middenhuur</w:t>
      </w:r>
      <w:r w:rsidR="005C1A03">
        <w:t xml:space="preserve"> van SEO Economisch Onderzoek zijn de effecten doorgerekend van een ophoging van de puntprijs met 10%</w:t>
      </w:r>
      <w:r>
        <w:rPr>
          <w:rStyle w:val="FootnoteReference"/>
        </w:rPr>
        <w:footnoteReference w:id="21"/>
      </w:r>
      <w:r w:rsidR="005C1A03">
        <w:t xml:space="preserve">. Ik zal samen met de staatssecretaris van Fiscaliteit </w:t>
      </w:r>
      <w:r w:rsidR="00EA0C11">
        <w:t>binnenkort</w:t>
      </w:r>
      <w:r w:rsidR="005C1A03">
        <w:t xml:space="preserve"> in een Kamerbrief de belangrijkste bevindingen voor uw Kamer inzichtelijk uiteenzetten.</w:t>
      </w:r>
    </w:p>
    <w:p w:rsidR="0064666B" w:rsidP="00FE1C59" w14:paraId="082EE0C9" w14:textId="77777777">
      <w:pPr>
        <w:spacing w:line="276" w:lineRule="auto"/>
      </w:pPr>
    </w:p>
    <w:p w:rsidR="00D27DE5" w:rsidP="00FE1C59" w14:paraId="09723472" w14:textId="77777777">
      <w:pPr>
        <w:spacing w:line="276" w:lineRule="auto"/>
      </w:pPr>
      <w:r>
        <w:t xml:space="preserve">In plaats van de geldende </w:t>
      </w:r>
      <w:r w:rsidR="00C84B70">
        <w:t>indexatie, gekoppeld aan de inflatie,</w:t>
      </w:r>
      <w:r>
        <w:t xml:space="preserve"> </w:t>
      </w:r>
      <w:r w:rsidR="000315FA">
        <w:t xml:space="preserve">kan ook gekozen worden </w:t>
      </w:r>
      <w:r w:rsidR="0081420C">
        <w:t>voor</w:t>
      </w:r>
      <w:r w:rsidR="00217949">
        <w:t xml:space="preserve"> een </w:t>
      </w:r>
      <w:r w:rsidR="00C84B70">
        <w:t xml:space="preserve">ander </w:t>
      </w:r>
      <w:r w:rsidR="00217949">
        <w:t>indexatiepercentage</w:t>
      </w:r>
      <w:r w:rsidR="001F02D8">
        <w:t xml:space="preserve">. Zo kan worden aangesloten bij </w:t>
      </w:r>
      <w:r w:rsidR="00217949">
        <w:t xml:space="preserve">de ontwikkeling van </w:t>
      </w:r>
      <w:r w:rsidR="001F02D8">
        <w:t xml:space="preserve">lonen, </w:t>
      </w:r>
      <w:r w:rsidR="001F02D8">
        <w:t>middels</w:t>
      </w:r>
      <w:r w:rsidR="001F02D8">
        <w:t xml:space="preserve"> de CAO-loonontwikkeling, of</w:t>
      </w:r>
      <w:r w:rsidR="00217949">
        <w:t xml:space="preserve"> </w:t>
      </w:r>
      <w:r w:rsidR="000315FA">
        <w:t>de prijsontwikkeling van koopwoningen</w:t>
      </w:r>
      <w:r w:rsidR="008574D9">
        <w:t xml:space="preserve">. </w:t>
      </w:r>
      <w:r w:rsidR="0094721B">
        <w:t>Daarnaast stelt</w:t>
      </w:r>
      <w:r w:rsidR="00196793">
        <w:t xml:space="preserve"> IVBN</w:t>
      </w:r>
      <w:r w:rsidR="001D20E6">
        <w:t>, de brancheorganisatie voor institutionele verhuurders in Nederland,</w:t>
      </w:r>
      <w:r w:rsidR="00196793">
        <w:t xml:space="preserve"> </w:t>
      </w:r>
      <w:r w:rsidR="0094721B">
        <w:t xml:space="preserve">voor </w:t>
      </w:r>
      <w:r w:rsidR="00196793">
        <w:t>om de huidige indexatiesystematiek te verhogen met een extra procentpunt (CPI + 1%)</w:t>
      </w:r>
      <w:r>
        <w:rPr>
          <w:rStyle w:val="FootnoteReference"/>
        </w:rPr>
        <w:footnoteReference w:id="22"/>
      </w:r>
      <w:r w:rsidR="0094721B">
        <w:t>.</w:t>
      </w:r>
      <w:r w:rsidR="00196793">
        <w:t xml:space="preserve"> </w:t>
      </w:r>
      <w:r w:rsidR="00F84E4A">
        <w:t xml:space="preserve">Hieronder beschrijf ik waarom deze percentages </w:t>
      </w:r>
      <w:r w:rsidR="0020336D">
        <w:t xml:space="preserve">een alternatief kunnen vormen voor de indexatie </w:t>
      </w:r>
      <w:r w:rsidR="00F84E4A">
        <w:t xml:space="preserve">en wat hier de mogelijke voor- en nadelen van zijn. Ook schets ik voor </w:t>
      </w:r>
      <w:r w:rsidR="00A2395A">
        <w:t>de</w:t>
      </w:r>
      <w:r w:rsidR="00F84E4A">
        <w:t xml:space="preserve"> genoemde opties de effecten op betaalbaarheid, afgezet tegen de huidige indexatiemethode.</w:t>
      </w:r>
    </w:p>
    <w:p w:rsidR="00D27DE5" w:rsidP="00FE1C59" w14:paraId="7D52C071" w14:textId="77777777">
      <w:pPr>
        <w:spacing w:line="276" w:lineRule="auto"/>
      </w:pPr>
    </w:p>
    <w:p w:rsidRPr="00D27DE5" w:rsidR="00973AA2" w:rsidP="00FE1C59" w14:paraId="6AADB6BE" w14:textId="77777777">
      <w:pPr>
        <w:spacing w:line="276" w:lineRule="auto"/>
      </w:pPr>
      <w:r w:rsidRPr="00D809B3">
        <w:rPr>
          <w:u w:val="single"/>
        </w:rPr>
        <w:t>Indexatie op basis van de prijsontwikkeling van koopwoningen</w:t>
      </w:r>
    </w:p>
    <w:p w:rsidR="006513BD" w:rsidP="00FE1C59" w14:paraId="2548956E" w14:textId="77777777">
      <w:pPr>
        <w:spacing w:line="276" w:lineRule="auto"/>
      </w:pPr>
      <w:r>
        <w:t>Overwogen kan worden</w:t>
      </w:r>
      <w:r w:rsidR="00973AA2">
        <w:t xml:space="preserve"> om de indexatie van het WWS te </w:t>
      </w:r>
      <w:r w:rsidR="0064666B">
        <w:t xml:space="preserve">koppelen aan de </w:t>
      </w:r>
      <w:r w:rsidR="00973AA2">
        <w:t>prijsontwikkeling van koopwoningen</w:t>
      </w:r>
      <w:r>
        <w:rPr>
          <w:rStyle w:val="FootnoteReference"/>
        </w:rPr>
        <w:footnoteReference w:id="23"/>
      </w:r>
      <w:r w:rsidR="00973AA2">
        <w:t xml:space="preserve">. </w:t>
      </w:r>
      <w:r w:rsidR="00B91889">
        <w:t>Zo kan</w:t>
      </w:r>
      <w:r w:rsidR="0064666B">
        <w:t xml:space="preserve"> het indexatiepercentage </w:t>
      </w:r>
      <w:r w:rsidR="00B91889">
        <w:t>gekoppeld worden</w:t>
      </w:r>
      <w:r w:rsidR="0064666B">
        <w:t xml:space="preserve"> aan de gemiddelde </w:t>
      </w:r>
      <w:r w:rsidR="00F81B22">
        <w:t>prijsstijging van bestaande koopwoningen</w:t>
      </w:r>
      <w:r w:rsidR="0064666B">
        <w:t xml:space="preserve"> </w:t>
      </w:r>
      <w:r w:rsidR="00DF3A83">
        <w:t>per</w:t>
      </w:r>
      <w:r w:rsidR="0064666B">
        <w:t xml:space="preserve"> kalenderjaar </w:t>
      </w:r>
      <w:r w:rsidR="00F81B22">
        <w:t>zoals gerapporteerd door</w:t>
      </w:r>
      <w:r w:rsidR="0064666B">
        <w:t xml:space="preserve"> het CBS. </w:t>
      </w:r>
      <w:r w:rsidR="00E66DE9">
        <w:t>Hiermee blijft in de loop der jaren</w:t>
      </w:r>
      <w:r w:rsidRPr="00E66DE9" w:rsidR="00E66DE9">
        <w:t xml:space="preserve"> </w:t>
      </w:r>
      <w:r w:rsidR="00E66DE9">
        <w:t xml:space="preserve">de verhouding tussen de huuropbrengst en de woningwaarde in leegstand </w:t>
      </w:r>
      <w:r w:rsidR="00DF3A83">
        <w:t xml:space="preserve">(leegwaarde) </w:t>
      </w:r>
      <w:r w:rsidR="00E66DE9">
        <w:t xml:space="preserve">redelijk constant. </w:t>
      </w:r>
      <w:r w:rsidR="00973AA2">
        <w:t>Een dergelijke indexatiemethodiek</w:t>
      </w:r>
      <w:r w:rsidR="00FE1C59">
        <w:t xml:space="preserve"> </w:t>
      </w:r>
      <w:r w:rsidR="00973AA2">
        <w:t>z</w:t>
      </w:r>
      <w:r w:rsidR="009D58CB">
        <w:t xml:space="preserve">ou </w:t>
      </w:r>
      <w:r w:rsidR="00973AA2">
        <w:t>er</w:t>
      </w:r>
      <w:r w:rsidR="00FE1C59">
        <w:t>voor zorgen</w:t>
      </w:r>
      <w:r w:rsidR="00217949">
        <w:t xml:space="preserve"> d</w:t>
      </w:r>
      <w:r w:rsidR="00FE1C59">
        <w:t>at</w:t>
      </w:r>
      <w:r w:rsidR="00217949">
        <w:t xml:space="preserve"> de financiële aantrekkelijkheid van het exploiteren van huurwoningen </w:t>
      </w:r>
      <w:r w:rsidR="00445A2B">
        <w:t xml:space="preserve">op de langere termijn </w:t>
      </w:r>
      <w:r w:rsidR="00217949">
        <w:t xml:space="preserve">meer aansluit op de financiële aantrekkelijkheid van het verkopen van een </w:t>
      </w:r>
      <w:r w:rsidR="00A316FC">
        <w:t>leeggekomen</w:t>
      </w:r>
      <w:r w:rsidR="00217949">
        <w:t xml:space="preserve"> huurwoning aan een eigenaar-bewoner. </w:t>
      </w:r>
      <w:r w:rsidR="00FE67A0">
        <w:t xml:space="preserve">Hierdoor neemt de kans af dat huurwoningen </w:t>
      </w:r>
      <w:r w:rsidR="006F05DC">
        <w:t xml:space="preserve">bij bewonerswissel </w:t>
      </w:r>
      <w:r w:rsidR="00FE67A0">
        <w:t>verschuiven naar het koopsegment.</w:t>
      </w:r>
      <w:r w:rsidR="00217949">
        <w:t xml:space="preserve"> </w:t>
      </w:r>
      <w:r w:rsidR="00445A2B">
        <w:t>Het belangrijk</w:t>
      </w:r>
      <w:r w:rsidR="00E77A7F">
        <w:t>st</w:t>
      </w:r>
      <w:r w:rsidR="00445A2B">
        <w:t xml:space="preserve">e risico bij deze systematiek is het negatieve effect voor de betaalbaarheid van huren op de langere termijn, ten opzichte van de </w:t>
      </w:r>
      <w:r w:rsidR="00445A2B">
        <w:t>huidige indexatie.</w:t>
      </w:r>
      <w:r w:rsidR="00C36ADE">
        <w:t xml:space="preserve"> </w:t>
      </w:r>
      <w:r w:rsidR="00DF3A83">
        <w:t xml:space="preserve">Dit komt doordat de prijsontwikkeling van koopwoningen in percentages doorgaans aanzienlijk hoger ligt dan de inflatie (CPI). </w:t>
      </w:r>
      <w:r w:rsidR="00C36ADE">
        <w:t xml:space="preserve">Daarnaast geldt </w:t>
      </w:r>
      <w:r w:rsidR="00C36ADE">
        <w:t>tevens</w:t>
      </w:r>
      <w:r w:rsidR="00C36ADE">
        <w:t xml:space="preserve"> als risico dat de eigenwoningwaarde niet altijd stijgt</w:t>
      </w:r>
      <w:r w:rsidR="00DF3A83">
        <w:t>, en in dat geval de maximale huren zouden moeten dalen</w:t>
      </w:r>
      <w:r w:rsidR="00C36ADE">
        <w:t xml:space="preserve">. </w:t>
      </w:r>
      <w:r w:rsidR="009D2FA5">
        <w:t xml:space="preserve">In </w:t>
      </w:r>
      <w:r w:rsidR="00E77A7F">
        <w:t>deze situatie</w:t>
      </w:r>
      <w:r w:rsidR="009D2FA5">
        <w:t xml:space="preserve"> wordt de verhuurder niet alleen geraakt door de afnemende waarde van de huurwoning, maar wordt dit effect versterkt door dalende huurinkomsten. Een verhuurder moet hier bovendien alert op zijn, omdat het </w:t>
      </w:r>
      <w:r w:rsidR="007760D7">
        <w:t xml:space="preserve">sinds de invoering van de </w:t>
      </w:r>
      <w:r w:rsidR="009E51F9">
        <w:t>Wbh</w:t>
      </w:r>
      <w:r w:rsidR="009D2FA5">
        <w:t xml:space="preserve"> verboden is een te hoge </w:t>
      </w:r>
      <w:r w:rsidR="007760D7">
        <w:t>huurprijs te vragen.</w:t>
      </w:r>
    </w:p>
    <w:p w:rsidR="0064666B" w:rsidP="00FE1C59" w14:paraId="6C9960D8" w14:textId="77777777">
      <w:pPr>
        <w:spacing w:line="276" w:lineRule="auto"/>
      </w:pPr>
    </w:p>
    <w:p w:rsidRPr="00D809B3" w:rsidR="009C6FE1" w:rsidP="009C6FE1" w14:paraId="53252E09" w14:textId="77777777">
      <w:pPr>
        <w:spacing w:line="276" w:lineRule="auto"/>
        <w:rPr>
          <w:u w:val="single"/>
        </w:rPr>
      </w:pPr>
      <w:r w:rsidRPr="00D809B3">
        <w:rPr>
          <w:u w:val="single"/>
        </w:rPr>
        <w:t>Indexatie op basis van CAO-loonontwikkeling</w:t>
      </w:r>
    </w:p>
    <w:p w:rsidR="008355CD" w:rsidP="009336D1" w14:paraId="5463FAF1" w14:textId="77777777">
      <w:pPr>
        <w:spacing w:line="276" w:lineRule="auto"/>
      </w:pPr>
      <w:r>
        <w:t>Een andere optie is</w:t>
      </w:r>
      <w:r w:rsidR="009C6FE1">
        <w:t xml:space="preserve"> om</w:t>
      </w:r>
      <w:r w:rsidR="0064666B">
        <w:t xml:space="preserve"> het indexatiepercentage te koppelen aan de CAO-loonontwikkeling</w:t>
      </w:r>
      <w:r>
        <w:rPr>
          <w:rStyle w:val="FootnoteReference"/>
        </w:rPr>
        <w:footnoteReference w:id="24"/>
      </w:r>
      <w:r w:rsidR="0064666B">
        <w:t xml:space="preserve">. Op deze manier wordt verzekerd dat de maximale </w:t>
      </w:r>
      <w:r w:rsidR="009C6FE1">
        <w:t>huurprijsgrenzen</w:t>
      </w:r>
      <w:r w:rsidR="0064666B">
        <w:t xml:space="preserve"> niet uit de pas </w:t>
      </w:r>
      <w:r w:rsidR="009C6FE1">
        <w:t>gaan</w:t>
      </w:r>
      <w:r w:rsidR="0064666B">
        <w:t xml:space="preserve"> lopen met wat een huurder kan betalen. </w:t>
      </w:r>
      <w:r w:rsidR="009C6FE1">
        <w:t xml:space="preserve">Daarmee wordt de betaalbaarheid van huren in brede zin bewaakt. </w:t>
      </w:r>
      <w:r w:rsidR="0064666B">
        <w:t xml:space="preserve">Tegelijkertijd wordt </w:t>
      </w:r>
      <w:r w:rsidR="009C6FE1">
        <w:t xml:space="preserve">de </w:t>
      </w:r>
      <w:r w:rsidR="0064666B">
        <w:t>investeringsbereidheid</w:t>
      </w:r>
      <w:r w:rsidR="009C6FE1">
        <w:t xml:space="preserve"> ten opzichte van de huidige indexatie </w:t>
      </w:r>
      <w:r w:rsidR="0064666B">
        <w:t>gestimuleerd</w:t>
      </w:r>
      <w:r w:rsidR="009C6FE1">
        <w:t>, aangezien</w:t>
      </w:r>
      <w:r w:rsidR="000F1C85">
        <w:t xml:space="preserve"> de gemiddelde CAO-loonstijging </w:t>
      </w:r>
      <w:r w:rsidR="009C6FE1">
        <w:t xml:space="preserve">over het algemeen hoger ligt dan </w:t>
      </w:r>
      <w:r w:rsidR="000F1C85">
        <w:t xml:space="preserve">de inflatie. </w:t>
      </w:r>
      <w:r w:rsidR="009C6FE1">
        <w:t>Daarbij dient wel de kanttekening gemaakt te worden dat de CAO-loonontwikkeling doorgaans de inflatie volgt, waardoor een vertragend effect kan optreden: verhuurders kunnen gestegen kosten als gevolg van inflatie pas later doorrekenen in de huur.</w:t>
      </w:r>
      <w:r w:rsidR="007E1E5B">
        <w:t xml:space="preserve"> </w:t>
      </w:r>
    </w:p>
    <w:p w:rsidR="00192A11" w:rsidP="009336D1" w14:paraId="1A9ECA11" w14:textId="77777777">
      <w:pPr>
        <w:spacing w:line="276" w:lineRule="auto"/>
      </w:pPr>
    </w:p>
    <w:p w:rsidRPr="000310EB" w:rsidR="00FA0AE8" w:rsidP="00FA0AE8" w14:paraId="58BAB1D6" w14:textId="77777777">
      <w:pPr>
        <w:spacing w:line="276" w:lineRule="auto"/>
        <w:rPr>
          <w:u w:val="single"/>
        </w:rPr>
      </w:pPr>
      <w:r>
        <w:rPr>
          <w:u w:val="single"/>
        </w:rPr>
        <w:t xml:space="preserve">Indexatie op basis van </w:t>
      </w:r>
      <w:r w:rsidR="00B91BF3">
        <w:rPr>
          <w:u w:val="single"/>
        </w:rPr>
        <w:t>CPI</w:t>
      </w:r>
      <w:r>
        <w:rPr>
          <w:u w:val="single"/>
        </w:rPr>
        <w:t xml:space="preserve"> +1% (voorstel IVBN) </w:t>
      </w:r>
    </w:p>
    <w:p w:rsidR="005D746F" w:rsidP="005D746F" w14:paraId="0D453969" w14:textId="77777777">
      <w:pPr>
        <w:spacing w:line="276" w:lineRule="auto"/>
      </w:pPr>
      <w:r>
        <w:t xml:space="preserve">IVBN heeft in het verleden voorgesteld om de huidige indexatiesystematiek </w:t>
      </w:r>
      <w:r w:rsidR="007A0A01">
        <w:t xml:space="preserve">voor het </w:t>
      </w:r>
      <w:r w:rsidR="007A0A01">
        <w:t>middenhuursegment</w:t>
      </w:r>
      <w:r w:rsidR="007A0A01">
        <w:t xml:space="preserve"> </w:t>
      </w:r>
      <w:r>
        <w:t>aan te vullen met een extra procentpunt (CPI + 1%)</w:t>
      </w:r>
      <w:r w:rsidR="00AF203C">
        <w:t xml:space="preserve">. </w:t>
      </w:r>
      <w:r>
        <w:t xml:space="preserve">IVBN geeft aan dat de indexatie van het WWS cruciaal is voor de rendabiliteit van </w:t>
      </w:r>
      <w:r>
        <w:t>middenhuur</w:t>
      </w:r>
      <w:r>
        <w:t xml:space="preserve">, omdat de jaarlijkse maximale huurverhoging in deze sector gekoppeld is aan de CAO-loonstijging + 1%. Het kan daarmee voorkomen dat de huidige indexatie van het WWS </w:t>
      </w:r>
      <w:r w:rsidR="00FD0DEF">
        <w:t xml:space="preserve">op grond van inflatie </w:t>
      </w:r>
      <w:r>
        <w:t xml:space="preserve">beperkend werkt omdat </w:t>
      </w:r>
      <w:r w:rsidRPr="00FD0DEF" w:rsidR="00FD0DEF">
        <w:t>de inflatie</w:t>
      </w:r>
      <w:r>
        <w:t xml:space="preserve"> lager uitkomt dan de jaarlijkse maximale huurverhoging toelaat.</w:t>
      </w:r>
      <w:r w:rsidR="009A7594">
        <w:t xml:space="preserve"> </w:t>
      </w:r>
      <w:r w:rsidR="00FD0DEF">
        <w:t xml:space="preserve">Het effect </w:t>
      </w:r>
      <w:r w:rsidR="007A0A01">
        <w:t xml:space="preserve">van de verhoging van het indexatiepercentage met 1% is </w:t>
      </w:r>
      <w:r w:rsidR="000C16DF">
        <w:t xml:space="preserve">dat </w:t>
      </w:r>
      <w:r>
        <w:t xml:space="preserve">de indexatie van de maximale huurprijsgrens elk jaar verder uit de pas </w:t>
      </w:r>
      <w:r w:rsidR="000C16DF">
        <w:t xml:space="preserve">loopt </w:t>
      </w:r>
      <w:r>
        <w:t xml:space="preserve">met de inflatie. Omdat deze huurprijsgrens elk jaar harder stijgt dan de inflatie, wordt de huurprijs van een gereguleerde </w:t>
      </w:r>
      <w:r w:rsidR="00BE47E7">
        <w:t>huur</w:t>
      </w:r>
      <w:r>
        <w:t xml:space="preserve">woning daarom elk jaar relatief ‘duurder’ dan het jaar ervoor, zonder dat het aantal </w:t>
      </w:r>
      <w:r w:rsidR="00FD0DEF">
        <w:t>WWS-</w:t>
      </w:r>
      <w:r>
        <w:t xml:space="preserve">punten van de huurwoning verandert. </w:t>
      </w:r>
      <w:r w:rsidR="00FD0DEF">
        <w:t xml:space="preserve">Tegenover deze extra verhoging staat dus geen kwaliteitsverbetering van de woning. </w:t>
      </w:r>
    </w:p>
    <w:p w:rsidRPr="002D63D8" w:rsidR="001D20E6" w:rsidP="00FA0AE8" w14:paraId="33B81C61" w14:textId="77777777">
      <w:pPr>
        <w:spacing w:line="276" w:lineRule="auto"/>
        <w:rPr>
          <w:highlight w:val="yellow"/>
        </w:rPr>
      </w:pPr>
    </w:p>
    <w:p w:rsidR="001D20E6" w:rsidP="00FA0AE8" w14:paraId="392587A9" w14:textId="77777777">
      <w:pPr>
        <w:spacing w:line="276" w:lineRule="auto"/>
      </w:pPr>
      <w:r>
        <w:t xml:space="preserve">Om willekeur en onvoorspelbaarheid op de langere termijn te voorkomen </w:t>
      </w:r>
      <w:r w:rsidRPr="006A12AA" w:rsidR="00AF203C">
        <w:t>vind ik het wenselijk om het indexatiepercentage</w:t>
      </w:r>
      <w:r w:rsidR="00AF203C">
        <w:t xml:space="preserve"> </w:t>
      </w:r>
      <w:r>
        <w:t>van het WWS</w:t>
      </w:r>
      <w:r w:rsidRPr="006A12AA" w:rsidR="00AF203C">
        <w:t xml:space="preserve"> te baseren op een objectieve maatstaf</w:t>
      </w:r>
      <w:r>
        <w:t>.</w:t>
      </w:r>
      <w:r w:rsidRPr="006A12AA" w:rsidR="00AF203C">
        <w:t xml:space="preserve"> </w:t>
      </w:r>
      <w:r>
        <w:t>Het voorstel van IVBN</w:t>
      </w:r>
      <w:r w:rsidR="00AF203C">
        <w:t xml:space="preserve"> om </w:t>
      </w:r>
      <w:r>
        <w:t xml:space="preserve">de indexatie met 1% te verhogen </w:t>
      </w:r>
      <w:r w:rsidRPr="006A12AA">
        <w:t>is</w:t>
      </w:r>
      <w:r w:rsidR="00E65000">
        <w:t xml:space="preserve"> lastig objectief</w:t>
      </w:r>
      <w:r w:rsidRPr="006A12AA" w:rsidR="00AF203C">
        <w:t xml:space="preserve"> te </w:t>
      </w:r>
      <w:r w:rsidR="00E65000">
        <w:t>onderbouwen</w:t>
      </w:r>
      <w:r w:rsidRPr="006A12AA">
        <w:t>.</w:t>
      </w:r>
      <w:r w:rsidRPr="006A12AA" w:rsidR="007A0A01">
        <w:t xml:space="preserve"> </w:t>
      </w:r>
      <w:r>
        <w:t>Voor deze</w:t>
      </w:r>
      <w:r w:rsidRPr="006A12AA" w:rsidR="007A0A01">
        <w:t xml:space="preserve"> verhoging </w:t>
      </w:r>
      <w:r>
        <w:t>valt geen</w:t>
      </w:r>
      <w:r w:rsidRPr="006A12AA" w:rsidR="007A0A01">
        <w:t xml:space="preserve"> objectieve grondslag</w:t>
      </w:r>
      <w:r>
        <w:t xml:space="preserve"> te vinden; de verhoging</w:t>
      </w:r>
      <w:r w:rsidRPr="006A12AA" w:rsidR="007A0A01">
        <w:t xml:space="preserve"> heeft het doel om investeringsbereidheid te stimuleren ten </w:t>
      </w:r>
      <w:r w:rsidR="00EA771D">
        <w:t>opzichte van het huidige indexatiepercentage,</w:t>
      </w:r>
      <w:r w:rsidRPr="006A12AA">
        <w:t xml:space="preserve"> ten koste van betaalbaarheid.</w:t>
      </w:r>
      <w:r w:rsidRPr="006A12AA" w:rsidR="00AF203C">
        <w:t xml:space="preserve"> </w:t>
      </w:r>
      <w:r w:rsidR="00F4760F">
        <w:t>Er valt echter moeilijk te bepalen wanneer de investeringsbereidheid voldoende gestimuleerd is</w:t>
      </w:r>
      <w:r w:rsidR="00E65000">
        <w:t xml:space="preserve"> en het is de vraag of daarvoor </w:t>
      </w:r>
      <w:r w:rsidR="00E65000">
        <w:t>de indexatie het juiste instrument is</w:t>
      </w:r>
      <w:r w:rsidR="00F4760F">
        <w:t xml:space="preserve">. </w:t>
      </w:r>
      <w:r w:rsidRPr="006A12AA" w:rsidR="00AF203C">
        <w:t xml:space="preserve">Daarnaast </w:t>
      </w:r>
      <w:r w:rsidRPr="006A12AA" w:rsidR="007A0A01">
        <w:t xml:space="preserve">wil ik benadrukken dat het wenselijk is </w:t>
      </w:r>
      <w:r w:rsidRPr="006A12AA" w:rsidR="00AF203C">
        <w:t>om één percentage voor alle segmenten te laten gelden. Door één percentage voor de gehele prijstabel te hanteren wordt het WWS niet onnodig gecompliceerd en wordt voorkomen dat de maximale huurprijsgrenzen uit verschillende segmenten op termijn uit elkaar groeien.</w:t>
      </w:r>
    </w:p>
    <w:p w:rsidR="00FA0AE8" w:rsidP="009336D1" w14:paraId="6FD230BD" w14:textId="77777777">
      <w:pPr>
        <w:spacing w:line="276" w:lineRule="auto"/>
      </w:pPr>
    </w:p>
    <w:p w:rsidRPr="002D63D8" w:rsidR="00FA0AE8" w:rsidP="009336D1" w14:paraId="6DA4B466" w14:textId="77777777">
      <w:pPr>
        <w:spacing w:line="276" w:lineRule="auto"/>
        <w:rPr>
          <w:u w:val="single"/>
        </w:rPr>
      </w:pPr>
      <w:r w:rsidRPr="002D63D8">
        <w:rPr>
          <w:u w:val="single"/>
        </w:rPr>
        <w:t>Effecten op betaalbaarheid van verschillende varianten</w:t>
      </w:r>
    </w:p>
    <w:p w:rsidR="005D746F" w:rsidP="009336D1" w14:paraId="62A9A311" w14:textId="77777777">
      <w:pPr>
        <w:spacing w:line="276" w:lineRule="auto"/>
      </w:pPr>
      <w:r>
        <w:t xml:space="preserve">De verschillende genoemde varianten </w:t>
      </w:r>
      <w:r w:rsidR="007D5AA0">
        <w:t xml:space="preserve">leveren over de jaren heen verschillende indexatiepercentages op. </w:t>
      </w:r>
      <w:r w:rsidR="00BE47E7">
        <w:t>Als gevolg hiervan</w:t>
      </w:r>
      <w:r w:rsidR="00B26C6F">
        <w:t xml:space="preserve"> </w:t>
      </w:r>
      <w:r>
        <w:t>hebben</w:t>
      </w:r>
      <w:r w:rsidR="007D5AA0">
        <w:t xml:space="preserve"> de verschillende opties</w:t>
      </w:r>
      <w:r>
        <w:t xml:space="preserve"> elk gevolgen voor de </w:t>
      </w:r>
      <w:r w:rsidR="00EE22EC">
        <w:t xml:space="preserve">hoogte van de maximale huurprijsgrenzen. </w:t>
      </w:r>
      <w:r>
        <w:t>De</w:t>
      </w:r>
      <w:r w:rsidR="007D5AA0">
        <w:t>ze percentages en</w:t>
      </w:r>
      <w:r>
        <w:t xml:space="preserve"> effecten </w:t>
      </w:r>
      <w:r w:rsidR="00EE22EC">
        <w:t>op de maximale huurprijsgrenzen</w:t>
      </w:r>
      <w:r>
        <w:t xml:space="preserve"> worden hieronder uiteengezet. </w:t>
      </w:r>
      <w:r>
        <w:t>Hierbij wordt</w:t>
      </w:r>
      <w:r w:rsidR="00693C3E">
        <w:t xml:space="preserve"> een</w:t>
      </w:r>
      <w:r>
        <w:t xml:space="preserve"> beeld geschetst voor de ontwikkeling van de maximale huurprijs over een periode van 2010 tot en met 2024. </w:t>
      </w:r>
      <w:r w:rsidR="007D5AA0">
        <w:t xml:space="preserve">Tabel 1 toont voor die jaren de </w:t>
      </w:r>
      <w:r w:rsidR="00AB793C">
        <w:t>ontwikkeling van de genoemde mogelijke grondslagen voor indexatie</w:t>
      </w:r>
      <w:r w:rsidR="007D5AA0">
        <w:t xml:space="preserve">. Tabel 2 schetst de effecten van het hanteren van deze </w:t>
      </w:r>
      <w:r w:rsidR="007A0921">
        <w:t>genoemde varianten voor indexatie</w:t>
      </w:r>
      <w:r w:rsidR="007D5AA0">
        <w:t xml:space="preserve"> over dezelfde periode. Kolom 3 </w:t>
      </w:r>
      <w:r w:rsidR="00070153">
        <w:t xml:space="preserve">van die tabel </w:t>
      </w:r>
      <w:r w:rsidR="007D5AA0">
        <w:t xml:space="preserve">schetst de maximale huurprijs in 2024, </w:t>
      </w:r>
      <w:r w:rsidR="006B534B">
        <w:t xml:space="preserve">ter illustratie </w:t>
      </w:r>
      <w:r w:rsidR="007D5AA0">
        <w:t>afgezet tegen een maximale huurprijsgrens van € 500,- in 2010. Kolom 4 schetst het verschil in totale huuropbrengst van 2010 t/m 2024, afgezet tegen de huidige indexatiemethode</w:t>
      </w:r>
      <w:r w:rsidR="009D2449">
        <w:t xml:space="preserve"> van CPI +0%</w:t>
      </w:r>
      <w:r w:rsidR="007D5AA0">
        <w:t>.</w:t>
      </w:r>
    </w:p>
    <w:p w:rsidR="008515D7" w:rsidP="00C02217" w14:paraId="20E1A050" w14:textId="77777777">
      <w:pPr>
        <w:spacing w:line="276" w:lineRule="auto"/>
      </w:pPr>
    </w:p>
    <w:p w:rsidRPr="00DE040D" w:rsidR="007D5AA0" w:rsidP="009336D1" w14:paraId="0ACFEE70" w14:textId="77777777">
      <w:pPr>
        <w:spacing w:line="276" w:lineRule="auto"/>
        <w:rPr>
          <w:i/>
          <w:iCs/>
        </w:rPr>
      </w:pPr>
      <w:r>
        <w:rPr>
          <w:i/>
          <w:iCs/>
        </w:rPr>
        <w:t xml:space="preserve">Tabel 1: </w:t>
      </w:r>
      <w:r w:rsidR="00DB78EB">
        <w:rPr>
          <w:i/>
          <w:iCs/>
        </w:rPr>
        <w:t xml:space="preserve">vergelijking </w:t>
      </w:r>
      <w:r w:rsidR="00130613">
        <w:rPr>
          <w:i/>
          <w:iCs/>
        </w:rPr>
        <w:t>indexatiepercentages</w:t>
      </w:r>
      <w:r w:rsidR="00DB78EB">
        <w:rPr>
          <w:i/>
          <w:iCs/>
        </w:rPr>
        <w:t xml:space="preserve"> </w:t>
      </w:r>
      <w:r w:rsidR="00130613">
        <w:rPr>
          <w:i/>
          <w:iCs/>
        </w:rPr>
        <w:t>verschillende methoden</w:t>
      </w:r>
      <w:r w:rsidR="00DB78EB">
        <w:rPr>
          <w:i/>
          <w:iCs/>
        </w:rPr>
        <w:t xml:space="preserve"> </w:t>
      </w:r>
      <w:r>
        <w:rPr>
          <w:i/>
          <w:iCs/>
        </w:rPr>
        <w:t>(2010 t/m 2024)</w:t>
      </w:r>
    </w:p>
    <w:p w:rsidR="007D5AA0" w:rsidP="009336D1" w14:paraId="65FAFC34" w14:textId="77777777">
      <w:pPr>
        <w:spacing w:line="276" w:lineRule="auto"/>
      </w:pPr>
    </w:p>
    <w:tbl>
      <w:tblPr>
        <w:tblStyle w:val="TableGrid"/>
        <w:tblW w:w="8288" w:type="dxa"/>
        <w:tblInd w:w="0" w:type="dxa"/>
        <w:tblLook w:val="04A0"/>
      </w:tblPr>
      <w:tblGrid>
        <w:gridCol w:w="641"/>
        <w:gridCol w:w="1567"/>
        <w:gridCol w:w="1841"/>
        <w:gridCol w:w="1822"/>
        <w:gridCol w:w="2417"/>
      </w:tblGrid>
      <w:tr w:rsidTr="002603F6" w14:paraId="3AC5630C" w14:textId="77777777">
        <w:tblPrEx>
          <w:tblW w:w="8288" w:type="dxa"/>
          <w:tblInd w:w="0" w:type="dxa"/>
          <w:tblLook w:val="04A0"/>
        </w:tblPrEx>
        <w:trPr>
          <w:trHeight w:val="281"/>
        </w:trPr>
        <w:tc>
          <w:tcPr>
            <w:tcW w:w="642" w:type="dxa"/>
            <w:shd w:val="clear" w:color="auto" w:fill="D9D9D9" w:themeFill="background1" w:themeFillShade="D9"/>
          </w:tcPr>
          <w:p w:rsidR="00C97722" w:rsidP="009336D1" w14:paraId="68AA3599" w14:textId="77777777">
            <w:pPr>
              <w:spacing w:line="276" w:lineRule="auto"/>
            </w:pPr>
            <w:r>
              <w:t>%</w:t>
            </w:r>
          </w:p>
        </w:tc>
        <w:tc>
          <w:tcPr>
            <w:tcW w:w="1621" w:type="dxa"/>
            <w:shd w:val="clear" w:color="auto" w:fill="D9D9D9" w:themeFill="background1" w:themeFillShade="D9"/>
          </w:tcPr>
          <w:p w:rsidR="00C97722" w:rsidP="009336D1" w14:paraId="64D71F33" w14:textId="77777777">
            <w:pPr>
              <w:spacing w:line="276" w:lineRule="auto"/>
            </w:pPr>
            <w:r>
              <w:t>CPI</w:t>
            </w:r>
            <w:r w:rsidR="002603F6">
              <w:t xml:space="preserve"> + 0%</w:t>
            </w:r>
          </w:p>
        </w:tc>
        <w:tc>
          <w:tcPr>
            <w:tcW w:w="1701" w:type="dxa"/>
            <w:shd w:val="clear" w:color="auto" w:fill="D9D9D9" w:themeFill="background1" w:themeFillShade="D9"/>
          </w:tcPr>
          <w:p w:rsidR="00C97722" w:rsidP="009336D1" w14:paraId="2BD4C198" w14:textId="77777777">
            <w:pPr>
              <w:spacing w:line="276" w:lineRule="auto"/>
            </w:pPr>
            <w:r>
              <w:t>CPI + 1%</w:t>
            </w:r>
          </w:p>
        </w:tc>
        <w:tc>
          <w:tcPr>
            <w:tcW w:w="1843" w:type="dxa"/>
            <w:shd w:val="clear" w:color="auto" w:fill="D9D9D9" w:themeFill="background1" w:themeFillShade="D9"/>
          </w:tcPr>
          <w:p w:rsidR="00C97722" w:rsidP="009336D1" w14:paraId="1C13A46F" w14:textId="77777777">
            <w:pPr>
              <w:spacing w:line="276" w:lineRule="auto"/>
            </w:pPr>
            <w:r>
              <w:t>CAO-loonontwikkeling</w:t>
            </w:r>
          </w:p>
        </w:tc>
        <w:tc>
          <w:tcPr>
            <w:tcW w:w="2481" w:type="dxa"/>
            <w:shd w:val="clear" w:color="auto" w:fill="D9D9D9" w:themeFill="background1" w:themeFillShade="D9"/>
          </w:tcPr>
          <w:p w:rsidR="00C97722" w:rsidP="009336D1" w14:paraId="3898035A" w14:textId="77777777">
            <w:pPr>
              <w:spacing w:line="276" w:lineRule="auto"/>
            </w:pPr>
            <w:r>
              <w:t>Prijsontwikkeling bestaande koopwoningen</w:t>
            </w:r>
          </w:p>
        </w:tc>
      </w:tr>
      <w:tr w:rsidTr="002603F6" w14:paraId="16EDF501" w14:textId="77777777">
        <w:tblPrEx>
          <w:tblW w:w="8288" w:type="dxa"/>
          <w:tblInd w:w="0" w:type="dxa"/>
          <w:tblLook w:val="04A0"/>
        </w:tblPrEx>
        <w:trPr>
          <w:trHeight w:val="294"/>
        </w:trPr>
        <w:tc>
          <w:tcPr>
            <w:tcW w:w="642" w:type="dxa"/>
            <w:shd w:val="clear" w:color="auto" w:fill="DAE9F7" w:themeFill="text2" w:themeFillTint="1A"/>
          </w:tcPr>
          <w:p w:rsidR="00C97722" w:rsidP="009336D1" w14:paraId="4175848C" w14:textId="77777777">
            <w:pPr>
              <w:spacing w:line="276" w:lineRule="auto"/>
            </w:pPr>
            <w:r>
              <w:t>2010</w:t>
            </w:r>
          </w:p>
        </w:tc>
        <w:tc>
          <w:tcPr>
            <w:tcW w:w="1621" w:type="dxa"/>
            <w:shd w:val="clear" w:color="auto" w:fill="DAE9F7" w:themeFill="text2" w:themeFillTint="1A"/>
          </w:tcPr>
          <w:p w:rsidR="00C97722" w:rsidP="00130613" w14:paraId="546AC9BF" w14:textId="77777777">
            <w:pPr>
              <w:tabs>
                <w:tab w:val="center" w:pos="805"/>
                <w:tab w:val="right" w:pos="1611"/>
              </w:tabs>
              <w:spacing w:line="276" w:lineRule="auto"/>
            </w:pPr>
            <w:r>
              <w:tab/>
            </w:r>
            <w:r>
              <w:tab/>
            </w:r>
            <w:r>
              <w:t>1,3</w:t>
            </w:r>
          </w:p>
        </w:tc>
        <w:tc>
          <w:tcPr>
            <w:tcW w:w="1701" w:type="dxa"/>
            <w:shd w:val="clear" w:color="auto" w:fill="DAE9F7" w:themeFill="text2" w:themeFillTint="1A"/>
          </w:tcPr>
          <w:p w:rsidR="00C97722" w:rsidP="00130613" w14:paraId="1FCA8AE4" w14:textId="77777777">
            <w:pPr>
              <w:tabs>
                <w:tab w:val="left" w:pos="1536"/>
              </w:tabs>
              <w:spacing w:line="276" w:lineRule="auto"/>
            </w:pPr>
            <w:r>
              <w:tab/>
              <w:t>2,3</w:t>
            </w:r>
          </w:p>
        </w:tc>
        <w:tc>
          <w:tcPr>
            <w:tcW w:w="1843" w:type="dxa"/>
            <w:shd w:val="clear" w:color="auto" w:fill="DAE9F7" w:themeFill="text2" w:themeFillTint="1A"/>
          </w:tcPr>
          <w:p w:rsidR="00C97722" w:rsidP="00DB78EB" w14:paraId="383F12E3" w14:textId="77777777">
            <w:pPr>
              <w:spacing w:line="276" w:lineRule="auto"/>
              <w:jc w:val="right"/>
            </w:pPr>
            <w:r>
              <w:t>1,3</w:t>
            </w:r>
          </w:p>
        </w:tc>
        <w:tc>
          <w:tcPr>
            <w:tcW w:w="2481" w:type="dxa"/>
            <w:shd w:val="clear" w:color="auto" w:fill="DAE9F7" w:themeFill="text2" w:themeFillTint="1A"/>
          </w:tcPr>
          <w:p w:rsidR="00C97722" w:rsidP="00DB78EB" w14:paraId="66C461EF" w14:textId="77777777">
            <w:pPr>
              <w:spacing w:line="276" w:lineRule="auto"/>
              <w:jc w:val="right"/>
            </w:pPr>
            <w:r>
              <w:t>-2,0</w:t>
            </w:r>
          </w:p>
        </w:tc>
      </w:tr>
      <w:tr w:rsidTr="002603F6" w14:paraId="1D086358" w14:textId="77777777">
        <w:tblPrEx>
          <w:tblW w:w="8288" w:type="dxa"/>
          <w:tblInd w:w="0" w:type="dxa"/>
          <w:tblLook w:val="04A0"/>
        </w:tblPrEx>
        <w:trPr>
          <w:trHeight w:val="281"/>
        </w:trPr>
        <w:tc>
          <w:tcPr>
            <w:tcW w:w="642" w:type="dxa"/>
            <w:shd w:val="clear" w:color="auto" w:fill="DAE9F7" w:themeFill="text2" w:themeFillTint="1A"/>
          </w:tcPr>
          <w:p w:rsidR="00C97722" w:rsidP="009336D1" w14:paraId="41DCDF69" w14:textId="77777777">
            <w:pPr>
              <w:spacing w:line="276" w:lineRule="auto"/>
            </w:pPr>
            <w:r>
              <w:t>2011</w:t>
            </w:r>
          </w:p>
        </w:tc>
        <w:tc>
          <w:tcPr>
            <w:tcW w:w="1621" w:type="dxa"/>
            <w:shd w:val="clear" w:color="auto" w:fill="DAE9F7" w:themeFill="text2" w:themeFillTint="1A"/>
          </w:tcPr>
          <w:p w:rsidR="00C97722" w:rsidP="00DB78EB" w14:paraId="517393E3" w14:textId="77777777">
            <w:pPr>
              <w:spacing w:line="276" w:lineRule="auto"/>
              <w:jc w:val="right"/>
            </w:pPr>
            <w:r>
              <w:t>2,3</w:t>
            </w:r>
          </w:p>
        </w:tc>
        <w:tc>
          <w:tcPr>
            <w:tcW w:w="1701" w:type="dxa"/>
            <w:shd w:val="clear" w:color="auto" w:fill="DAE9F7" w:themeFill="text2" w:themeFillTint="1A"/>
          </w:tcPr>
          <w:p w:rsidR="00C97722" w:rsidP="00DB78EB" w14:paraId="59FD5603" w14:textId="77777777">
            <w:pPr>
              <w:spacing w:line="276" w:lineRule="auto"/>
              <w:jc w:val="right"/>
            </w:pPr>
            <w:r>
              <w:t>3,3</w:t>
            </w:r>
          </w:p>
        </w:tc>
        <w:tc>
          <w:tcPr>
            <w:tcW w:w="1843" w:type="dxa"/>
            <w:shd w:val="clear" w:color="auto" w:fill="DAE9F7" w:themeFill="text2" w:themeFillTint="1A"/>
          </w:tcPr>
          <w:p w:rsidR="00C97722" w:rsidP="00DB78EB" w14:paraId="66D9962B" w14:textId="77777777">
            <w:pPr>
              <w:spacing w:line="276" w:lineRule="auto"/>
              <w:jc w:val="right"/>
            </w:pPr>
            <w:r>
              <w:t>1,1</w:t>
            </w:r>
          </w:p>
        </w:tc>
        <w:tc>
          <w:tcPr>
            <w:tcW w:w="2481" w:type="dxa"/>
            <w:shd w:val="clear" w:color="auto" w:fill="DAE9F7" w:themeFill="text2" w:themeFillTint="1A"/>
          </w:tcPr>
          <w:p w:rsidR="00C97722" w:rsidP="00DB78EB" w14:paraId="4462CABC" w14:textId="77777777">
            <w:pPr>
              <w:spacing w:line="276" w:lineRule="auto"/>
              <w:jc w:val="right"/>
            </w:pPr>
            <w:r>
              <w:t>-2,3</w:t>
            </w:r>
          </w:p>
        </w:tc>
      </w:tr>
      <w:tr w:rsidTr="002603F6" w14:paraId="0F4099EE" w14:textId="77777777">
        <w:tblPrEx>
          <w:tblW w:w="8288" w:type="dxa"/>
          <w:tblInd w:w="0" w:type="dxa"/>
          <w:tblLook w:val="04A0"/>
        </w:tblPrEx>
        <w:trPr>
          <w:trHeight w:val="281"/>
        </w:trPr>
        <w:tc>
          <w:tcPr>
            <w:tcW w:w="642" w:type="dxa"/>
            <w:shd w:val="clear" w:color="auto" w:fill="DAE9F7" w:themeFill="text2" w:themeFillTint="1A"/>
          </w:tcPr>
          <w:p w:rsidR="00C97722" w:rsidP="009336D1" w14:paraId="65D7E0A9" w14:textId="77777777">
            <w:pPr>
              <w:spacing w:line="276" w:lineRule="auto"/>
            </w:pPr>
            <w:r>
              <w:t>2012</w:t>
            </w:r>
          </w:p>
        </w:tc>
        <w:tc>
          <w:tcPr>
            <w:tcW w:w="1621" w:type="dxa"/>
            <w:shd w:val="clear" w:color="auto" w:fill="DAE9F7" w:themeFill="text2" w:themeFillTint="1A"/>
          </w:tcPr>
          <w:p w:rsidR="00C97722" w:rsidP="00DB78EB" w14:paraId="25D2AE5B" w14:textId="77777777">
            <w:pPr>
              <w:spacing w:line="276" w:lineRule="auto"/>
              <w:jc w:val="right"/>
            </w:pPr>
            <w:r>
              <w:t>2,5</w:t>
            </w:r>
          </w:p>
        </w:tc>
        <w:tc>
          <w:tcPr>
            <w:tcW w:w="1701" w:type="dxa"/>
            <w:shd w:val="clear" w:color="auto" w:fill="DAE9F7" w:themeFill="text2" w:themeFillTint="1A"/>
          </w:tcPr>
          <w:p w:rsidR="00C97722" w:rsidP="00DB78EB" w14:paraId="1E778F4F" w14:textId="77777777">
            <w:pPr>
              <w:spacing w:line="276" w:lineRule="auto"/>
              <w:jc w:val="right"/>
            </w:pPr>
            <w:r>
              <w:t>3,5</w:t>
            </w:r>
          </w:p>
        </w:tc>
        <w:tc>
          <w:tcPr>
            <w:tcW w:w="1843" w:type="dxa"/>
            <w:shd w:val="clear" w:color="auto" w:fill="DAE9F7" w:themeFill="text2" w:themeFillTint="1A"/>
          </w:tcPr>
          <w:p w:rsidR="00C97722" w:rsidP="00DB78EB" w14:paraId="6BC190A7" w14:textId="77777777">
            <w:pPr>
              <w:spacing w:line="276" w:lineRule="auto"/>
              <w:jc w:val="right"/>
            </w:pPr>
            <w:r>
              <w:t>1,4</w:t>
            </w:r>
          </w:p>
        </w:tc>
        <w:tc>
          <w:tcPr>
            <w:tcW w:w="2481" w:type="dxa"/>
            <w:shd w:val="clear" w:color="auto" w:fill="DAE9F7" w:themeFill="text2" w:themeFillTint="1A"/>
          </w:tcPr>
          <w:p w:rsidR="00C97722" w:rsidP="00DB78EB" w14:paraId="7BD75764" w14:textId="77777777">
            <w:pPr>
              <w:spacing w:line="276" w:lineRule="auto"/>
              <w:jc w:val="right"/>
            </w:pPr>
            <w:r>
              <w:t>-6,3</w:t>
            </w:r>
          </w:p>
        </w:tc>
      </w:tr>
      <w:tr w:rsidTr="002603F6" w14:paraId="572D0644" w14:textId="77777777">
        <w:tblPrEx>
          <w:tblW w:w="8288" w:type="dxa"/>
          <w:tblInd w:w="0" w:type="dxa"/>
          <w:tblLook w:val="04A0"/>
        </w:tblPrEx>
        <w:trPr>
          <w:trHeight w:val="294"/>
        </w:trPr>
        <w:tc>
          <w:tcPr>
            <w:tcW w:w="642" w:type="dxa"/>
            <w:shd w:val="clear" w:color="auto" w:fill="DAE9F7" w:themeFill="text2" w:themeFillTint="1A"/>
          </w:tcPr>
          <w:p w:rsidR="00C97722" w:rsidP="009336D1" w14:paraId="3C5E0A04" w14:textId="77777777">
            <w:pPr>
              <w:spacing w:line="276" w:lineRule="auto"/>
            </w:pPr>
            <w:r>
              <w:t>2013</w:t>
            </w:r>
          </w:p>
        </w:tc>
        <w:tc>
          <w:tcPr>
            <w:tcW w:w="1621" w:type="dxa"/>
            <w:shd w:val="clear" w:color="auto" w:fill="DAE9F7" w:themeFill="text2" w:themeFillTint="1A"/>
          </w:tcPr>
          <w:p w:rsidR="00C97722" w:rsidP="00DB78EB" w14:paraId="7EB30B06" w14:textId="77777777">
            <w:pPr>
              <w:spacing w:line="276" w:lineRule="auto"/>
              <w:jc w:val="right"/>
            </w:pPr>
            <w:r>
              <w:t>2,5</w:t>
            </w:r>
          </w:p>
        </w:tc>
        <w:tc>
          <w:tcPr>
            <w:tcW w:w="1701" w:type="dxa"/>
            <w:shd w:val="clear" w:color="auto" w:fill="DAE9F7" w:themeFill="text2" w:themeFillTint="1A"/>
          </w:tcPr>
          <w:p w:rsidR="00C97722" w:rsidP="00DB78EB" w14:paraId="35BAE1A3" w14:textId="77777777">
            <w:pPr>
              <w:spacing w:line="276" w:lineRule="auto"/>
              <w:jc w:val="right"/>
            </w:pPr>
            <w:r>
              <w:t>3</w:t>
            </w:r>
            <w:r w:rsidR="00130613">
              <w:t>,5</w:t>
            </w:r>
          </w:p>
        </w:tc>
        <w:tc>
          <w:tcPr>
            <w:tcW w:w="1843" w:type="dxa"/>
            <w:shd w:val="clear" w:color="auto" w:fill="DAE9F7" w:themeFill="text2" w:themeFillTint="1A"/>
          </w:tcPr>
          <w:p w:rsidR="00C97722" w:rsidP="00DB78EB" w14:paraId="5D6EF8D0" w14:textId="77777777">
            <w:pPr>
              <w:spacing w:line="276" w:lineRule="auto"/>
              <w:jc w:val="right"/>
            </w:pPr>
            <w:r>
              <w:t>1,2</w:t>
            </w:r>
          </w:p>
        </w:tc>
        <w:tc>
          <w:tcPr>
            <w:tcW w:w="2481" w:type="dxa"/>
            <w:shd w:val="clear" w:color="auto" w:fill="DAE9F7" w:themeFill="text2" w:themeFillTint="1A"/>
          </w:tcPr>
          <w:p w:rsidR="00C97722" w:rsidP="00DB78EB" w14:paraId="054C3229" w14:textId="77777777">
            <w:pPr>
              <w:spacing w:line="276" w:lineRule="auto"/>
              <w:jc w:val="right"/>
            </w:pPr>
            <w:r>
              <w:t>-6,3</w:t>
            </w:r>
          </w:p>
        </w:tc>
      </w:tr>
      <w:tr w:rsidTr="002603F6" w14:paraId="3403CBC2" w14:textId="77777777">
        <w:tblPrEx>
          <w:tblW w:w="8288" w:type="dxa"/>
          <w:tblInd w:w="0" w:type="dxa"/>
          <w:tblLook w:val="04A0"/>
        </w:tblPrEx>
        <w:trPr>
          <w:trHeight w:val="281"/>
        </w:trPr>
        <w:tc>
          <w:tcPr>
            <w:tcW w:w="642" w:type="dxa"/>
            <w:shd w:val="clear" w:color="auto" w:fill="DAE9F7" w:themeFill="text2" w:themeFillTint="1A"/>
          </w:tcPr>
          <w:p w:rsidR="00C97722" w:rsidP="009336D1" w14:paraId="75564175" w14:textId="77777777">
            <w:pPr>
              <w:spacing w:line="276" w:lineRule="auto"/>
            </w:pPr>
            <w:r>
              <w:t>2014</w:t>
            </w:r>
          </w:p>
        </w:tc>
        <w:tc>
          <w:tcPr>
            <w:tcW w:w="1621" w:type="dxa"/>
            <w:shd w:val="clear" w:color="auto" w:fill="DAE9F7" w:themeFill="text2" w:themeFillTint="1A"/>
          </w:tcPr>
          <w:p w:rsidR="00C97722" w:rsidP="00DB78EB" w14:paraId="091A0EC8" w14:textId="77777777">
            <w:pPr>
              <w:spacing w:line="276" w:lineRule="auto"/>
              <w:jc w:val="right"/>
            </w:pPr>
            <w:r>
              <w:t>1,0</w:t>
            </w:r>
          </w:p>
        </w:tc>
        <w:tc>
          <w:tcPr>
            <w:tcW w:w="1701" w:type="dxa"/>
            <w:shd w:val="clear" w:color="auto" w:fill="DAE9F7" w:themeFill="text2" w:themeFillTint="1A"/>
          </w:tcPr>
          <w:p w:rsidR="00C97722" w:rsidP="00DB78EB" w14:paraId="47B5CA13" w14:textId="77777777">
            <w:pPr>
              <w:spacing w:line="276" w:lineRule="auto"/>
              <w:jc w:val="right"/>
            </w:pPr>
            <w:r>
              <w:t>2,0</w:t>
            </w:r>
          </w:p>
        </w:tc>
        <w:tc>
          <w:tcPr>
            <w:tcW w:w="1843" w:type="dxa"/>
            <w:shd w:val="clear" w:color="auto" w:fill="DAE9F7" w:themeFill="text2" w:themeFillTint="1A"/>
          </w:tcPr>
          <w:p w:rsidR="00C97722" w:rsidP="00DB78EB" w14:paraId="24161651" w14:textId="77777777">
            <w:pPr>
              <w:spacing w:line="276" w:lineRule="auto"/>
              <w:jc w:val="right"/>
            </w:pPr>
            <w:r>
              <w:t>0,9</w:t>
            </w:r>
          </w:p>
        </w:tc>
        <w:tc>
          <w:tcPr>
            <w:tcW w:w="2481" w:type="dxa"/>
            <w:shd w:val="clear" w:color="auto" w:fill="DAE9F7" w:themeFill="text2" w:themeFillTint="1A"/>
          </w:tcPr>
          <w:p w:rsidR="00C97722" w:rsidP="00DB78EB" w14:paraId="7E62EBFA" w14:textId="77777777">
            <w:pPr>
              <w:spacing w:line="276" w:lineRule="auto"/>
              <w:jc w:val="right"/>
            </w:pPr>
            <w:r>
              <w:t>1,2</w:t>
            </w:r>
          </w:p>
        </w:tc>
      </w:tr>
      <w:tr w:rsidTr="002603F6" w14:paraId="09E77F90" w14:textId="77777777">
        <w:tblPrEx>
          <w:tblW w:w="8288" w:type="dxa"/>
          <w:tblInd w:w="0" w:type="dxa"/>
          <w:tblLook w:val="04A0"/>
        </w:tblPrEx>
        <w:trPr>
          <w:trHeight w:val="281"/>
        </w:trPr>
        <w:tc>
          <w:tcPr>
            <w:tcW w:w="642" w:type="dxa"/>
            <w:shd w:val="clear" w:color="auto" w:fill="DAE9F7" w:themeFill="text2" w:themeFillTint="1A"/>
          </w:tcPr>
          <w:p w:rsidR="00C97722" w:rsidP="009336D1" w14:paraId="10ACA7B9" w14:textId="77777777">
            <w:pPr>
              <w:spacing w:line="276" w:lineRule="auto"/>
            </w:pPr>
            <w:r>
              <w:t>2015</w:t>
            </w:r>
          </w:p>
        </w:tc>
        <w:tc>
          <w:tcPr>
            <w:tcW w:w="1621" w:type="dxa"/>
            <w:shd w:val="clear" w:color="auto" w:fill="DAE9F7" w:themeFill="text2" w:themeFillTint="1A"/>
          </w:tcPr>
          <w:p w:rsidR="00C97722" w:rsidP="00DB78EB" w14:paraId="4AAB1A4E" w14:textId="77777777">
            <w:pPr>
              <w:spacing w:line="276" w:lineRule="auto"/>
              <w:jc w:val="right"/>
            </w:pPr>
            <w:r>
              <w:t>0,6</w:t>
            </w:r>
          </w:p>
        </w:tc>
        <w:tc>
          <w:tcPr>
            <w:tcW w:w="1701" w:type="dxa"/>
            <w:shd w:val="clear" w:color="auto" w:fill="DAE9F7" w:themeFill="text2" w:themeFillTint="1A"/>
          </w:tcPr>
          <w:p w:rsidR="00C97722" w:rsidP="00DB78EB" w14:paraId="211D01B9" w14:textId="77777777">
            <w:pPr>
              <w:spacing w:line="276" w:lineRule="auto"/>
              <w:jc w:val="right"/>
            </w:pPr>
            <w:r>
              <w:t>1,6</w:t>
            </w:r>
          </w:p>
        </w:tc>
        <w:tc>
          <w:tcPr>
            <w:tcW w:w="1843" w:type="dxa"/>
            <w:shd w:val="clear" w:color="auto" w:fill="DAE9F7" w:themeFill="text2" w:themeFillTint="1A"/>
          </w:tcPr>
          <w:p w:rsidR="00C97722" w:rsidP="00DB78EB" w14:paraId="70D7D272" w14:textId="77777777">
            <w:pPr>
              <w:spacing w:line="276" w:lineRule="auto"/>
              <w:jc w:val="right"/>
            </w:pPr>
            <w:r>
              <w:t>1,4</w:t>
            </w:r>
          </w:p>
        </w:tc>
        <w:tc>
          <w:tcPr>
            <w:tcW w:w="2481" w:type="dxa"/>
            <w:shd w:val="clear" w:color="auto" w:fill="DAE9F7" w:themeFill="text2" w:themeFillTint="1A"/>
          </w:tcPr>
          <w:p w:rsidR="00C97722" w:rsidP="00DB78EB" w14:paraId="22B1611E" w14:textId="77777777">
            <w:pPr>
              <w:spacing w:line="276" w:lineRule="auto"/>
              <w:jc w:val="right"/>
            </w:pPr>
            <w:r>
              <w:t>3,3</w:t>
            </w:r>
          </w:p>
        </w:tc>
      </w:tr>
      <w:tr w:rsidTr="002603F6" w14:paraId="644FE9DA" w14:textId="77777777">
        <w:tblPrEx>
          <w:tblW w:w="8288" w:type="dxa"/>
          <w:tblInd w:w="0" w:type="dxa"/>
          <w:tblLook w:val="04A0"/>
        </w:tblPrEx>
        <w:trPr>
          <w:trHeight w:val="294"/>
        </w:trPr>
        <w:tc>
          <w:tcPr>
            <w:tcW w:w="642" w:type="dxa"/>
            <w:shd w:val="clear" w:color="auto" w:fill="DAE9F7" w:themeFill="text2" w:themeFillTint="1A"/>
          </w:tcPr>
          <w:p w:rsidR="00C97722" w:rsidP="009336D1" w14:paraId="11156B9E" w14:textId="77777777">
            <w:pPr>
              <w:spacing w:line="276" w:lineRule="auto"/>
            </w:pPr>
            <w:r>
              <w:t>2016</w:t>
            </w:r>
          </w:p>
        </w:tc>
        <w:tc>
          <w:tcPr>
            <w:tcW w:w="1621" w:type="dxa"/>
            <w:shd w:val="clear" w:color="auto" w:fill="DAE9F7" w:themeFill="text2" w:themeFillTint="1A"/>
          </w:tcPr>
          <w:p w:rsidR="00C97722" w:rsidP="00DB78EB" w14:paraId="7DCE37A1" w14:textId="77777777">
            <w:pPr>
              <w:spacing w:line="276" w:lineRule="auto"/>
              <w:jc w:val="right"/>
            </w:pPr>
            <w:r>
              <w:t>0,3</w:t>
            </w:r>
          </w:p>
        </w:tc>
        <w:tc>
          <w:tcPr>
            <w:tcW w:w="1701" w:type="dxa"/>
            <w:shd w:val="clear" w:color="auto" w:fill="DAE9F7" w:themeFill="text2" w:themeFillTint="1A"/>
          </w:tcPr>
          <w:p w:rsidR="00C97722" w:rsidP="00DB78EB" w14:paraId="6B391445" w14:textId="77777777">
            <w:pPr>
              <w:spacing w:line="276" w:lineRule="auto"/>
              <w:jc w:val="right"/>
            </w:pPr>
            <w:r>
              <w:t>1,3</w:t>
            </w:r>
          </w:p>
        </w:tc>
        <w:tc>
          <w:tcPr>
            <w:tcW w:w="1843" w:type="dxa"/>
            <w:shd w:val="clear" w:color="auto" w:fill="DAE9F7" w:themeFill="text2" w:themeFillTint="1A"/>
          </w:tcPr>
          <w:p w:rsidR="00C97722" w:rsidP="00DB78EB" w14:paraId="07CB93C8" w14:textId="77777777">
            <w:pPr>
              <w:spacing w:line="276" w:lineRule="auto"/>
              <w:jc w:val="right"/>
            </w:pPr>
            <w:r>
              <w:t>1,8</w:t>
            </w:r>
          </w:p>
        </w:tc>
        <w:tc>
          <w:tcPr>
            <w:tcW w:w="2481" w:type="dxa"/>
            <w:shd w:val="clear" w:color="auto" w:fill="DAE9F7" w:themeFill="text2" w:themeFillTint="1A"/>
          </w:tcPr>
          <w:p w:rsidR="00C97722" w:rsidP="00DB78EB" w14:paraId="27F104BF" w14:textId="77777777">
            <w:pPr>
              <w:spacing w:line="276" w:lineRule="auto"/>
              <w:jc w:val="right"/>
            </w:pPr>
            <w:r>
              <w:t>5,5</w:t>
            </w:r>
          </w:p>
        </w:tc>
      </w:tr>
      <w:tr w:rsidTr="002603F6" w14:paraId="3CDC8BF6" w14:textId="77777777">
        <w:tblPrEx>
          <w:tblW w:w="8288" w:type="dxa"/>
          <w:tblInd w:w="0" w:type="dxa"/>
          <w:tblLook w:val="04A0"/>
        </w:tblPrEx>
        <w:trPr>
          <w:trHeight w:val="294"/>
        </w:trPr>
        <w:tc>
          <w:tcPr>
            <w:tcW w:w="642" w:type="dxa"/>
            <w:shd w:val="clear" w:color="auto" w:fill="DAE9F7" w:themeFill="text2" w:themeFillTint="1A"/>
          </w:tcPr>
          <w:p w:rsidR="00C97722" w:rsidP="009336D1" w14:paraId="68CB418F" w14:textId="77777777">
            <w:pPr>
              <w:spacing w:line="276" w:lineRule="auto"/>
            </w:pPr>
            <w:r>
              <w:t>2017</w:t>
            </w:r>
          </w:p>
        </w:tc>
        <w:tc>
          <w:tcPr>
            <w:tcW w:w="1621" w:type="dxa"/>
            <w:shd w:val="clear" w:color="auto" w:fill="DAE9F7" w:themeFill="text2" w:themeFillTint="1A"/>
          </w:tcPr>
          <w:p w:rsidR="00C97722" w:rsidP="00DB78EB" w14:paraId="589F0455" w14:textId="77777777">
            <w:pPr>
              <w:spacing w:line="276" w:lineRule="auto"/>
              <w:jc w:val="right"/>
            </w:pPr>
            <w:r>
              <w:t>1,4</w:t>
            </w:r>
          </w:p>
        </w:tc>
        <w:tc>
          <w:tcPr>
            <w:tcW w:w="1701" w:type="dxa"/>
            <w:shd w:val="clear" w:color="auto" w:fill="DAE9F7" w:themeFill="text2" w:themeFillTint="1A"/>
          </w:tcPr>
          <w:p w:rsidR="00C97722" w:rsidP="00DB78EB" w14:paraId="6776149B" w14:textId="77777777">
            <w:pPr>
              <w:spacing w:line="276" w:lineRule="auto"/>
              <w:jc w:val="right"/>
            </w:pPr>
            <w:r>
              <w:t>2</w:t>
            </w:r>
            <w:r w:rsidR="00130613">
              <w:t>,4</w:t>
            </w:r>
          </w:p>
        </w:tc>
        <w:tc>
          <w:tcPr>
            <w:tcW w:w="1843" w:type="dxa"/>
            <w:shd w:val="clear" w:color="auto" w:fill="DAE9F7" w:themeFill="text2" w:themeFillTint="1A"/>
          </w:tcPr>
          <w:p w:rsidR="00C97722" w:rsidP="00DB78EB" w14:paraId="38017572" w14:textId="77777777">
            <w:pPr>
              <w:spacing w:line="276" w:lineRule="auto"/>
              <w:jc w:val="right"/>
            </w:pPr>
            <w:r>
              <w:t>1,4</w:t>
            </w:r>
          </w:p>
        </w:tc>
        <w:tc>
          <w:tcPr>
            <w:tcW w:w="2481" w:type="dxa"/>
            <w:shd w:val="clear" w:color="auto" w:fill="DAE9F7" w:themeFill="text2" w:themeFillTint="1A"/>
          </w:tcPr>
          <w:p w:rsidR="00C97722" w:rsidP="00DB78EB" w14:paraId="2B0368E9" w14:textId="77777777">
            <w:pPr>
              <w:spacing w:line="276" w:lineRule="auto"/>
              <w:jc w:val="right"/>
            </w:pPr>
            <w:r>
              <w:t>8,1</w:t>
            </w:r>
          </w:p>
        </w:tc>
      </w:tr>
      <w:tr w:rsidTr="002603F6" w14:paraId="44F4DFAE" w14:textId="77777777">
        <w:tblPrEx>
          <w:tblW w:w="8288" w:type="dxa"/>
          <w:tblInd w:w="0" w:type="dxa"/>
          <w:tblLook w:val="04A0"/>
        </w:tblPrEx>
        <w:trPr>
          <w:trHeight w:val="294"/>
        </w:trPr>
        <w:tc>
          <w:tcPr>
            <w:tcW w:w="642" w:type="dxa"/>
            <w:shd w:val="clear" w:color="auto" w:fill="DAE9F7" w:themeFill="text2" w:themeFillTint="1A"/>
          </w:tcPr>
          <w:p w:rsidR="00C97722" w:rsidP="009336D1" w14:paraId="73F2239F" w14:textId="77777777">
            <w:pPr>
              <w:spacing w:line="276" w:lineRule="auto"/>
            </w:pPr>
            <w:r>
              <w:t>2018</w:t>
            </w:r>
          </w:p>
        </w:tc>
        <w:tc>
          <w:tcPr>
            <w:tcW w:w="1621" w:type="dxa"/>
            <w:shd w:val="clear" w:color="auto" w:fill="DAE9F7" w:themeFill="text2" w:themeFillTint="1A"/>
          </w:tcPr>
          <w:p w:rsidR="00C97722" w:rsidP="00DB78EB" w14:paraId="2B4D8100" w14:textId="77777777">
            <w:pPr>
              <w:spacing w:line="276" w:lineRule="auto"/>
              <w:jc w:val="right"/>
            </w:pPr>
            <w:r>
              <w:t>1,7</w:t>
            </w:r>
          </w:p>
        </w:tc>
        <w:tc>
          <w:tcPr>
            <w:tcW w:w="1701" w:type="dxa"/>
            <w:shd w:val="clear" w:color="auto" w:fill="DAE9F7" w:themeFill="text2" w:themeFillTint="1A"/>
          </w:tcPr>
          <w:p w:rsidR="00C97722" w:rsidP="00DB78EB" w14:paraId="575AA8C0" w14:textId="77777777">
            <w:pPr>
              <w:spacing w:line="276" w:lineRule="auto"/>
              <w:jc w:val="right"/>
            </w:pPr>
            <w:r>
              <w:t>2,7</w:t>
            </w:r>
          </w:p>
        </w:tc>
        <w:tc>
          <w:tcPr>
            <w:tcW w:w="1843" w:type="dxa"/>
            <w:shd w:val="clear" w:color="auto" w:fill="DAE9F7" w:themeFill="text2" w:themeFillTint="1A"/>
          </w:tcPr>
          <w:p w:rsidR="00C97722" w:rsidP="00DB78EB" w14:paraId="4C08C017" w14:textId="77777777">
            <w:pPr>
              <w:spacing w:line="276" w:lineRule="auto"/>
              <w:jc w:val="right"/>
            </w:pPr>
            <w:r>
              <w:t>2,0</w:t>
            </w:r>
          </w:p>
        </w:tc>
        <w:tc>
          <w:tcPr>
            <w:tcW w:w="2481" w:type="dxa"/>
            <w:shd w:val="clear" w:color="auto" w:fill="DAE9F7" w:themeFill="text2" w:themeFillTint="1A"/>
          </w:tcPr>
          <w:p w:rsidR="00C97722" w:rsidP="00DB78EB" w14:paraId="06BE133E" w14:textId="77777777">
            <w:pPr>
              <w:spacing w:line="276" w:lineRule="auto"/>
              <w:jc w:val="right"/>
            </w:pPr>
            <w:r>
              <w:t>9,2</w:t>
            </w:r>
          </w:p>
        </w:tc>
      </w:tr>
      <w:tr w:rsidTr="002603F6" w14:paraId="5743288F" w14:textId="77777777">
        <w:tblPrEx>
          <w:tblW w:w="8288" w:type="dxa"/>
          <w:tblInd w:w="0" w:type="dxa"/>
          <w:tblLook w:val="04A0"/>
        </w:tblPrEx>
        <w:trPr>
          <w:trHeight w:val="294"/>
        </w:trPr>
        <w:tc>
          <w:tcPr>
            <w:tcW w:w="642" w:type="dxa"/>
            <w:shd w:val="clear" w:color="auto" w:fill="DAE9F7" w:themeFill="text2" w:themeFillTint="1A"/>
          </w:tcPr>
          <w:p w:rsidR="00C97722" w:rsidP="009336D1" w14:paraId="0135EBDC" w14:textId="77777777">
            <w:pPr>
              <w:spacing w:line="276" w:lineRule="auto"/>
            </w:pPr>
            <w:r>
              <w:t>2019</w:t>
            </w:r>
          </w:p>
        </w:tc>
        <w:tc>
          <w:tcPr>
            <w:tcW w:w="1621" w:type="dxa"/>
            <w:shd w:val="clear" w:color="auto" w:fill="DAE9F7" w:themeFill="text2" w:themeFillTint="1A"/>
          </w:tcPr>
          <w:p w:rsidR="00C97722" w:rsidP="00DB78EB" w14:paraId="0CA5FBA4" w14:textId="77777777">
            <w:pPr>
              <w:spacing w:line="276" w:lineRule="auto"/>
              <w:jc w:val="right"/>
            </w:pPr>
            <w:r>
              <w:t>2,6</w:t>
            </w:r>
          </w:p>
        </w:tc>
        <w:tc>
          <w:tcPr>
            <w:tcW w:w="1701" w:type="dxa"/>
            <w:shd w:val="clear" w:color="auto" w:fill="DAE9F7" w:themeFill="text2" w:themeFillTint="1A"/>
          </w:tcPr>
          <w:p w:rsidR="00C97722" w:rsidP="00DB78EB" w14:paraId="56B37634" w14:textId="77777777">
            <w:pPr>
              <w:spacing w:line="276" w:lineRule="auto"/>
              <w:jc w:val="right"/>
            </w:pPr>
            <w:r>
              <w:t>3,6</w:t>
            </w:r>
          </w:p>
        </w:tc>
        <w:tc>
          <w:tcPr>
            <w:tcW w:w="1843" w:type="dxa"/>
            <w:shd w:val="clear" w:color="auto" w:fill="DAE9F7" w:themeFill="text2" w:themeFillTint="1A"/>
          </w:tcPr>
          <w:p w:rsidR="00C97722" w:rsidP="00DB78EB" w14:paraId="3DCA9400" w14:textId="77777777">
            <w:pPr>
              <w:spacing w:line="276" w:lineRule="auto"/>
              <w:jc w:val="right"/>
            </w:pPr>
            <w:r>
              <w:t>2,5</w:t>
            </w:r>
          </w:p>
        </w:tc>
        <w:tc>
          <w:tcPr>
            <w:tcW w:w="2481" w:type="dxa"/>
            <w:shd w:val="clear" w:color="auto" w:fill="DAE9F7" w:themeFill="text2" w:themeFillTint="1A"/>
          </w:tcPr>
          <w:p w:rsidR="00C97722" w:rsidP="00DB78EB" w14:paraId="1F9CA3C3" w14:textId="77777777">
            <w:pPr>
              <w:spacing w:line="276" w:lineRule="auto"/>
              <w:jc w:val="right"/>
            </w:pPr>
            <w:r>
              <w:t>7,0</w:t>
            </w:r>
          </w:p>
        </w:tc>
      </w:tr>
      <w:tr w:rsidTr="002603F6" w14:paraId="4CFCBD23" w14:textId="77777777">
        <w:tblPrEx>
          <w:tblW w:w="8288" w:type="dxa"/>
          <w:tblInd w:w="0" w:type="dxa"/>
          <w:tblLook w:val="04A0"/>
        </w:tblPrEx>
        <w:trPr>
          <w:trHeight w:val="294"/>
        </w:trPr>
        <w:tc>
          <w:tcPr>
            <w:tcW w:w="642" w:type="dxa"/>
            <w:shd w:val="clear" w:color="auto" w:fill="DAE9F7" w:themeFill="text2" w:themeFillTint="1A"/>
          </w:tcPr>
          <w:p w:rsidR="00C97722" w:rsidP="009336D1" w14:paraId="4677E30B" w14:textId="77777777">
            <w:pPr>
              <w:spacing w:line="276" w:lineRule="auto"/>
            </w:pPr>
            <w:r>
              <w:t>2020</w:t>
            </w:r>
          </w:p>
        </w:tc>
        <w:tc>
          <w:tcPr>
            <w:tcW w:w="1621" w:type="dxa"/>
            <w:shd w:val="clear" w:color="auto" w:fill="DAE9F7" w:themeFill="text2" w:themeFillTint="1A"/>
          </w:tcPr>
          <w:p w:rsidR="00C97722" w:rsidP="00DB78EB" w14:paraId="004E08D2" w14:textId="77777777">
            <w:pPr>
              <w:spacing w:line="276" w:lineRule="auto"/>
              <w:jc w:val="right"/>
            </w:pPr>
            <w:r>
              <w:t>1,3</w:t>
            </w:r>
          </w:p>
        </w:tc>
        <w:tc>
          <w:tcPr>
            <w:tcW w:w="1701" w:type="dxa"/>
            <w:shd w:val="clear" w:color="auto" w:fill="DAE9F7" w:themeFill="text2" w:themeFillTint="1A"/>
          </w:tcPr>
          <w:p w:rsidR="00C97722" w:rsidP="00DB78EB" w14:paraId="4CB52260" w14:textId="77777777">
            <w:pPr>
              <w:spacing w:line="276" w:lineRule="auto"/>
              <w:jc w:val="right"/>
            </w:pPr>
            <w:r>
              <w:t>2,3</w:t>
            </w:r>
          </w:p>
        </w:tc>
        <w:tc>
          <w:tcPr>
            <w:tcW w:w="1843" w:type="dxa"/>
            <w:shd w:val="clear" w:color="auto" w:fill="DAE9F7" w:themeFill="text2" w:themeFillTint="1A"/>
          </w:tcPr>
          <w:p w:rsidR="00C97722" w:rsidP="00DB78EB" w14:paraId="5BF49EA8" w14:textId="77777777">
            <w:pPr>
              <w:spacing w:line="276" w:lineRule="auto"/>
              <w:jc w:val="right"/>
            </w:pPr>
            <w:r>
              <w:t>2,9</w:t>
            </w:r>
          </w:p>
        </w:tc>
        <w:tc>
          <w:tcPr>
            <w:tcW w:w="2481" w:type="dxa"/>
            <w:shd w:val="clear" w:color="auto" w:fill="DAE9F7" w:themeFill="text2" w:themeFillTint="1A"/>
          </w:tcPr>
          <w:p w:rsidR="00C97722" w:rsidP="00DB78EB" w14:paraId="52777CD4" w14:textId="77777777">
            <w:pPr>
              <w:spacing w:line="276" w:lineRule="auto"/>
              <w:jc w:val="right"/>
            </w:pPr>
            <w:r>
              <w:t>7,9</w:t>
            </w:r>
          </w:p>
        </w:tc>
      </w:tr>
      <w:tr w:rsidTr="002603F6" w14:paraId="12E2AD32" w14:textId="77777777">
        <w:tblPrEx>
          <w:tblW w:w="8288" w:type="dxa"/>
          <w:tblInd w:w="0" w:type="dxa"/>
          <w:tblLook w:val="04A0"/>
        </w:tblPrEx>
        <w:trPr>
          <w:trHeight w:val="294"/>
        </w:trPr>
        <w:tc>
          <w:tcPr>
            <w:tcW w:w="642" w:type="dxa"/>
            <w:shd w:val="clear" w:color="auto" w:fill="DAE9F7" w:themeFill="text2" w:themeFillTint="1A"/>
          </w:tcPr>
          <w:p w:rsidR="00C97722" w:rsidP="009336D1" w14:paraId="16F0C5AE" w14:textId="77777777">
            <w:pPr>
              <w:spacing w:line="276" w:lineRule="auto"/>
            </w:pPr>
            <w:r>
              <w:t>2021</w:t>
            </w:r>
          </w:p>
        </w:tc>
        <w:tc>
          <w:tcPr>
            <w:tcW w:w="1621" w:type="dxa"/>
            <w:shd w:val="clear" w:color="auto" w:fill="DAE9F7" w:themeFill="text2" w:themeFillTint="1A"/>
          </w:tcPr>
          <w:p w:rsidR="00C97722" w:rsidP="00DB78EB" w14:paraId="2DDC4F25" w14:textId="77777777">
            <w:pPr>
              <w:spacing w:line="276" w:lineRule="auto"/>
              <w:jc w:val="right"/>
            </w:pPr>
            <w:r>
              <w:t>2,7</w:t>
            </w:r>
          </w:p>
        </w:tc>
        <w:tc>
          <w:tcPr>
            <w:tcW w:w="1701" w:type="dxa"/>
            <w:shd w:val="clear" w:color="auto" w:fill="DAE9F7" w:themeFill="text2" w:themeFillTint="1A"/>
          </w:tcPr>
          <w:p w:rsidR="00C97722" w:rsidP="00DB78EB" w14:paraId="77D51B59" w14:textId="77777777">
            <w:pPr>
              <w:spacing w:line="276" w:lineRule="auto"/>
              <w:jc w:val="right"/>
            </w:pPr>
            <w:r>
              <w:t>3,7</w:t>
            </w:r>
          </w:p>
        </w:tc>
        <w:tc>
          <w:tcPr>
            <w:tcW w:w="1843" w:type="dxa"/>
            <w:shd w:val="clear" w:color="auto" w:fill="DAE9F7" w:themeFill="text2" w:themeFillTint="1A"/>
          </w:tcPr>
          <w:p w:rsidR="00C97722" w:rsidP="00DB78EB" w14:paraId="45872E87" w14:textId="77777777">
            <w:pPr>
              <w:spacing w:line="276" w:lineRule="auto"/>
              <w:jc w:val="right"/>
            </w:pPr>
            <w:r>
              <w:t>2,1</w:t>
            </w:r>
          </w:p>
        </w:tc>
        <w:tc>
          <w:tcPr>
            <w:tcW w:w="2481" w:type="dxa"/>
            <w:shd w:val="clear" w:color="auto" w:fill="DAE9F7" w:themeFill="text2" w:themeFillTint="1A"/>
          </w:tcPr>
          <w:p w:rsidR="00C97722" w:rsidP="00DB78EB" w14:paraId="6E10BAFF" w14:textId="77777777">
            <w:pPr>
              <w:spacing w:line="276" w:lineRule="auto"/>
              <w:jc w:val="right"/>
            </w:pPr>
            <w:r>
              <w:t>15,1</w:t>
            </w:r>
          </w:p>
        </w:tc>
      </w:tr>
      <w:tr w:rsidTr="002603F6" w14:paraId="1ABDE223" w14:textId="77777777">
        <w:tblPrEx>
          <w:tblW w:w="8288" w:type="dxa"/>
          <w:tblInd w:w="0" w:type="dxa"/>
          <w:tblLook w:val="04A0"/>
        </w:tblPrEx>
        <w:trPr>
          <w:trHeight w:val="294"/>
        </w:trPr>
        <w:tc>
          <w:tcPr>
            <w:tcW w:w="642" w:type="dxa"/>
            <w:shd w:val="clear" w:color="auto" w:fill="DAE9F7" w:themeFill="text2" w:themeFillTint="1A"/>
          </w:tcPr>
          <w:p w:rsidR="00C97722" w:rsidP="009336D1" w14:paraId="1D1B01A7" w14:textId="77777777">
            <w:pPr>
              <w:spacing w:line="276" w:lineRule="auto"/>
            </w:pPr>
            <w:r>
              <w:t>2022</w:t>
            </w:r>
          </w:p>
        </w:tc>
        <w:tc>
          <w:tcPr>
            <w:tcW w:w="1621" w:type="dxa"/>
            <w:shd w:val="clear" w:color="auto" w:fill="DAE9F7" w:themeFill="text2" w:themeFillTint="1A"/>
          </w:tcPr>
          <w:p w:rsidR="00C97722" w:rsidP="00DB78EB" w14:paraId="301B16C5" w14:textId="77777777">
            <w:pPr>
              <w:spacing w:line="276" w:lineRule="auto"/>
              <w:jc w:val="right"/>
            </w:pPr>
            <w:r>
              <w:t>10,0</w:t>
            </w:r>
          </w:p>
        </w:tc>
        <w:tc>
          <w:tcPr>
            <w:tcW w:w="1701" w:type="dxa"/>
            <w:shd w:val="clear" w:color="auto" w:fill="DAE9F7" w:themeFill="text2" w:themeFillTint="1A"/>
          </w:tcPr>
          <w:p w:rsidR="00C97722" w:rsidP="00DB78EB" w14:paraId="1A4558C3" w14:textId="77777777">
            <w:pPr>
              <w:spacing w:line="276" w:lineRule="auto"/>
              <w:jc w:val="right"/>
            </w:pPr>
            <w:r>
              <w:t>11,0</w:t>
            </w:r>
          </w:p>
        </w:tc>
        <w:tc>
          <w:tcPr>
            <w:tcW w:w="1843" w:type="dxa"/>
            <w:shd w:val="clear" w:color="auto" w:fill="DAE9F7" w:themeFill="text2" w:themeFillTint="1A"/>
          </w:tcPr>
          <w:p w:rsidR="00C97722" w:rsidP="00DB78EB" w14:paraId="716AF878" w14:textId="77777777">
            <w:pPr>
              <w:spacing w:line="276" w:lineRule="auto"/>
              <w:jc w:val="right"/>
            </w:pPr>
            <w:r>
              <w:t>3,2</w:t>
            </w:r>
          </w:p>
        </w:tc>
        <w:tc>
          <w:tcPr>
            <w:tcW w:w="2481" w:type="dxa"/>
            <w:shd w:val="clear" w:color="auto" w:fill="DAE9F7" w:themeFill="text2" w:themeFillTint="1A"/>
          </w:tcPr>
          <w:p w:rsidR="00C97722" w:rsidP="00DB78EB" w14:paraId="2FCB064F" w14:textId="77777777">
            <w:pPr>
              <w:spacing w:line="276" w:lineRule="auto"/>
              <w:jc w:val="right"/>
            </w:pPr>
            <w:r>
              <w:t>13,3</w:t>
            </w:r>
          </w:p>
        </w:tc>
      </w:tr>
      <w:tr w:rsidTr="002603F6" w14:paraId="1ED93469" w14:textId="77777777">
        <w:tblPrEx>
          <w:tblW w:w="8288" w:type="dxa"/>
          <w:tblInd w:w="0" w:type="dxa"/>
          <w:tblLook w:val="04A0"/>
        </w:tblPrEx>
        <w:trPr>
          <w:trHeight w:val="294"/>
        </w:trPr>
        <w:tc>
          <w:tcPr>
            <w:tcW w:w="642" w:type="dxa"/>
            <w:shd w:val="clear" w:color="auto" w:fill="DAE9F7" w:themeFill="text2" w:themeFillTint="1A"/>
          </w:tcPr>
          <w:p w:rsidR="00C97722" w:rsidP="009336D1" w14:paraId="01991F9A" w14:textId="77777777">
            <w:pPr>
              <w:spacing w:line="276" w:lineRule="auto"/>
            </w:pPr>
            <w:r>
              <w:t>2023</w:t>
            </w:r>
          </w:p>
        </w:tc>
        <w:tc>
          <w:tcPr>
            <w:tcW w:w="1621" w:type="dxa"/>
            <w:shd w:val="clear" w:color="auto" w:fill="DAE9F7" w:themeFill="text2" w:themeFillTint="1A"/>
          </w:tcPr>
          <w:p w:rsidR="00C97722" w:rsidP="00DB78EB" w14:paraId="6A5E03FA" w14:textId="77777777">
            <w:pPr>
              <w:spacing w:line="276" w:lineRule="auto"/>
              <w:jc w:val="right"/>
            </w:pPr>
            <w:r>
              <w:t>3,8</w:t>
            </w:r>
          </w:p>
        </w:tc>
        <w:tc>
          <w:tcPr>
            <w:tcW w:w="1701" w:type="dxa"/>
            <w:shd w:val="clear" w:color="auto" w:fill="DAE9F7" w:themeFill="text2" w:themeFillTint="1A"/>
          </w:tcPr>
          <w:p w:rsidR="00C97722" w:rsidP="00DB78EB" w14:paraId="33CB6E08" w14:textId="77777777">
            <w:pPr>
              <w:spacing w:line="276" w:lineRule="auto"/>
              <w:jc w:val="right"/>
            </w:pPr>
            <w:r>
              <w:t>4,8</w:t>
            </w:r>
          </w:p>
        </w:tc>
        <w:tc>
          <w:tcPr>
            <w:tcW w:w="1843" w:type="dxa"/>
            <w:shd w:val="clear" w:color="auto" w:fill="DAE9F7" w:themeFill="text2" w:themeFillTint="1A"/>
          </w:tcPr>
          <w:p w:rsidR="00C97722" w:rsidP="00DB78EB" w14:paraId="1E48F08A" w14:textId="77777777">
            <w:pPr>
              <w:spacing w:line="276" w:lineRule="auto"/>
              <w:jc w:val="right"/>
            </w:pPr>
            <w:r>
              <w:t>6,1</w:t>
            </w:r>
          </w:p>
        </w:tc>
        <w:tc>
          <w:tcPr>
            <w:tcW w:w="2481" w:type="dxa"/>
            <w:shd w:val="clear" w:color="auto" w:fill="DAE9F7" w:themeFill="text2" w:themeFillTint="1A"/>
          </w:tcPr>
          <w:p w:rsidR="00C97722" w:rsidP="00DB78EB" w14:paraId="6F40AA7B" w14:textId="77777777">
            <w:pPr>
              <w:spacing w:line="276" w:lineRule="auto"/>
              <w:jc w:val="right"/>
            </w:pPr>
            <w:r>
              <w:t>-2,9</w:t>
            </w:r>
          </w:p>
        </w:tc>
      </w:tr>
      <w:tr w:rsidTr="002603F6" w14:paraId="1A4C0B7D" w14:textId="77777777">
        <w:tblPrEx>
          <w:tblW w:w="8288" w:type="dxa"/>
          <w:tblInd w:w="0" w:type="dxa"/>
          <w:tblLook w:val="04A0"/>
        </w:tblPrEx>
        <w:trPr>
          <w:trHeight w:val="294"/>
        </w:trPr>
        <w:tc>
          <w:tcPr>
            <w:tcW w:w="642" w:type="dxa"/>
            <w:shd w:val="clear" w:color="auto" w:fill="DAE9F7" w:themeFill="text2" w:themeFillTint="1A"/>
          </w:tcPr>
          <w:p w:rsidR="00C97722" w:rsidP="009336D1" w14:paraId="0DBC6036" w14:textId="77777777">
            <w:pPr>
              <w:spacing w:line="276" w:lineRule="auto"/>
            </w:pPr>
            <w:r>
              <w:t>2024</w:t>
            </w:r>
          </w:p>
        </w:tc>
        <w:tc>
          <w:tcPr>
            <w:tcW w:w="1621" w:type="dxa"/>
            <w:shd w:val="clear" w:color="auto" w:fill="DAE9F7" w:themeFill="text2" w:themeFillTint="1A"/>
          </w:tcPr>
          <w:p w:rsidR="00C97722" w:rsidP="00DB78EB" w14:paraId="0EC3B6B6" w14:textId="77777777">
            <w:pPr>
              <w:spacing w:line="276" w:lineRule="auto"/>
              <w:jc w:val="right"/>
            </w:pPr>
            <w:r>
              <w:t>3,3</w:t>
            </w:r>
          </w:p>
        </w:tc>
        <w:tc>
          <w:tcPr>
            <w:tcW w:w="1701" w:type="dxa"/>
            <w:shd w:val="clear" w:color="auto" w:fill="DAE9F7" w:themeFill="text2" w:themeFillTint="1A"/>
          </w:tcPr>
          <w:p w:rsidR="00C97722" w:rsidP="00DB78EB" w14:paraId="05451559" w14:textId="77777777">
            <w:pPr>
              <w:spacing w:line="276" w:lineRule="auto"/>
              <w:jc w:val="right"/>
            </w:pPr>
            <w:r>
              <w:t>4,3</w:t>
            </w:r>
          </w:p>
        </w:tc>
        <w:tc>
          <w:tcPr>
            <w:tcW w:w="1843" w:type="dxa"/>
            <w:shd w:val="clear" w:color="auto" w:fill="DAE9F7" w:themeFill="text2" w:themeFillTint="1A"/>
          </w:tcPr>
          <w:p w:rsidR="00C97722" w:rsidP="00DB78EB" w14:paraId="4650B7C5" w14:textId="77777777">
            <w:pPr>
              <w:spacing w:line="276" w:lineRule="auto"/>
              <w:jc w:val="right"/>
            </w:pPr>
            <w:r>
              <w:t>6,5</w:t>
            </w:r>
          </w:p>
        </w:tc>
        <w:tc>
          <w:tcPr>
            <w:tcW w:w="2481" w:type="dxa"/>
            <w:shd w:val="clear" w:color="auto" w:fill="DAE9F7" w:themeFill="text2" w:themeFillTint="1A"/>
          </w:tcPr>
          <w:p w:rsidR="00C97722" w:rsidP="00DB78EB" w14:paraId="21A6E280" w14:textId="77777777">
            <w:pPr>
              <w:spacing w:line="276" w:lineRule="auto"/>
              <w:jc w:val="right"/>
            </w:pPr>
            <w:r>
              <w:t>8,7</w:t>
            </w:r>
          </w:p>
        </w:tc>
      </w:tr>
      <w:tr w:rsidTr="00811821" w14:paraId="20A323B6" w14:textId="77777777">
        <w:tblPrEx>
          <w:tblW w:w="8288" w:type="dxa"/>
          <w:tblInd w:w="0" w:type="dxa"/>
          <w:tblLook w:val="04A0"/>
        </w:tblPrEx>
        <w:trPr>
          <w:trHeight w:val="294"/>
        </w:trPr>
        <w:tc>
          <w:tcPr>
            <w:tcW w:w="642" w:type="dxa"/>
            <w:shd w:val="clear" w:color="auto" w:fill="EBF3FB"/>
          </w:tcPr>
          <w:p w:rsidR="00C97722" w:rsidP="009336D1" w14:paraId="72617CB8" w14:textId="77777777">
            <w:pPr>
              <w:spacing w:line="276" w:lineRule="auto"/>
            </w:pPr>
            <w:r>
              <w:t>Totaal (2010-2024)</w:t>
            </w:r>
          </w:p>
        </w:tc>
        <w:tc>
          <w:tcPr>
            <w:tcW w:w="1621" w:type="dxa"/>
            <w:shd w:val="clear" w:color="auto" w:fill="EBF3FB"/>
          </w:tcPr>
          <w:p w:rsidR="00C97722" w:rsidP="00DB78EB" w14:paraId="20FA9588" w14:textId="77777777">
            <w:pPr>
              <w:spacing w:line="276" w:lineRule="auto"/>
              <w:jc w:val="right"/>
            </w:pPr>
            <w:r>
              <w:t>39,5</w:t>
            </w:r>
          </w:p>
        </w:tc>
        <w:tc>
          <w:tcPr>
            <w:tcW w:w="1701" w:type="dxa"/>
            <w:shd w:val="clear" w:color="auto" w:fill="EBF3FB"/>
          </w:tcPr>
          <w:p w:rsidR="00C97722" w:rsidP="00DB78EB" w14:paraId="48475175" w14:textId="77777777">
            <w:pPr>
              <w:spacing w:line="276" w:lineRule="auto"/>
              <w:jc w:val="right"/>
            </w:pPr>
            <w:r>
              <w:t>58,2</w:t>
            </w:r>
          </w:p>
        </w:tc>
        <w:tc>
          <w:tcPr>
            <w:tcW w:w="1843" w:type="dxa"/>
            <w:shd w:val="clear" w:color="auto" w:fill="EBF3FB"/>
          </w:tcPr>
          <w:p w:rsidR="00C97722" w:rsidP="00DB78EB" w14:paraId="730CC12E" w14:textId="77777777">
            <w:pPr>
              <w:spacing w:line="276" w:lineRule="auto"/>
              <w:jc w:val="right"/>
            </w:pPr>
            <w:r>
              <w:t>33,5</w:t>
            </w:r>
          </w:p>
        </w:tc>
        <w:tc>
          <w:tcPr>
            <w:tcW w:w="2481" w:type="dxa"/>
            <w:shd w:val="clear" w:color="auto" w:fill="EBF3FB"/>
          </w:tcPr>
          <w:p w:rsidR="00C97722" w:rsidP="00DB78EB" w14:paraId="4B5BED15" w14:textId="77777777">
            <w:pPr>
              <w:spacing w:line="276" w:lineRule="auto"/>
              <w:jc w:val="right"/>
            </w:pPr>
            <w:r>
              <w:t>60,0</w:t>
            </w:r>
          </w:p>
        </w:tc>
      </w:tr>
    </w:tbl>
    <w:p w:rsidR="005A794C" w:rsidP="009336D1" w14:paraId="2D9DB1DE" w14:textId="77777777">
      <w:pPr>
        <w:spacing w:line="276" w:lineRule="auto"/>
      </w:pPr>
    </w:p>
    <w:p w:rsidRPr="00B91BF3" w:rsidR="00F4760F" w:rsidP="002D05F2" w14:paraId="15BD66B2" w14:textId="77777777">
      <w:pPr>
        <w:spacing w:line="240" w:lineRule="auto"/>
        <w:rPr>
          <w:i/>
        </w:rPr>
      </w:pPr>
      <w:r w:rsidRPr="00B91BF3">
        <w:rPr>
          <w:i/>
          <w:iCs/>
        </w:rPr>
        <w:t xml:space="preserve">Tabel </w:t>
      </w:r>
      <w:r w:rsidR="007D5AA0">
        <w:rPr>
          <w:i/>
          <w:iCs/>
        </w:rPr>
        <w:t>2</w:t>
      </w:r>
      <w:r w:rsidRPr="00B91BF3">
        <w:rPr>
          <w:i/>
          <w:iCs/>
        </w:rPr>
        <w:t xml:space="preserve">: </w:t>
      </w:r>
      <w:r w:rsidR="00B91BF3">
        <w:rPr>
          <w:i/>
          <w:iCs/>
        </w:rPr>
        <w:t>effecten van alternatieve indexatiemethoden WWS</w:t>
      </w:r>
      <w:r w:rsidR="00130613">
        <w:rPr>
          <w:i/>
          <w:iCs/>
        </w:rPr>
        <w:t xml:space="preserve"> op huuropbrengsten</w:t>
      </w:r>
    </w:p>
    <w:tbl>
      <w:tblPr>
        <w:tblStyle w:val="TableGrid"/>
        <w:tblW w:w="8297" w:type="dxa"/>
        <w:tblInd w:w="0" w:type="dxa"/>
        <w:tblLayout w:type="fixed"/>
        <w:tblLook w:val="04A0"/>
      </w:tblPr>
      <w:tblGrid>
        <w:gridCol w:w="1048"/>
        <w:gridCol w:w="1666"/>
        <w:gridCol w:w="1804"/>
        <w:gridCol w:w="1804"/>
        <w:gridCol w:w="1975"/>
      </w:tblGrid>
      <w:tr w:rsidTr="002603F6" w14:paraId="61690D91" w14:textId="77777777">
        <w:tblPrEx>
          <w:tblW w:w="8297" w:type="dxa"/>
          <w:tblInd w:w="0" w:type="dxa"/>
          <w:tblLayout w:type="fixed"/>
          <w:tblLook w:val="04A0"/>
        </w:tblPrEx>
        <w:trPr>
          <w:trHeight w:val="473"/>
        </w:trPr>
        <w:tc>
          <w:tcPr>
            <w:tcW w:w="1048" w:type="dxa"/>
            <w:shd w:val="clear" w:color="auto" w:fill="D9D9D9" w:themeFill="background1" w:themeFillShade="D9"/>
            <w:noWrap/>
            <w:hideMark/>
          </w:tcPr>
          <w:p w:rsidRPr="00B84307" w:rsidR="002603F6" w:rsidP="002C445A" w14:paraId="1E19745C" w14:textId="77777777">
            <w:pPr>
              <w:spacing w:line="240" w:lineRule="auto"/>
            </w:pPr>
          </w:p>
        </w:tc>
        <w:tc>
          <w:tcPr>
            <w:tcW w:w="1666" w:type="dxa"/>
            <w:shd w:val="clear" w:color="auto" w:fill="D9D9D9" w:themeFill="background1" w:themeFillShade="D9"/>
          </w:tcPr>
          <w:p w:rsidR="002603F6" w:rsidP="002C445A" w14:paraId="5191C204" w14:textId="77777777">
            <w:pPr>
              <w:spacing w:line="240" w:lineRule="auto"/>
            </w:pPr>
            <w:r>
              <w:t xml:space="preserve">Maximale huurprijsgrens in </w:t>
            </w:r>
            <w:r w:rsidRPr="00130613">
              <w:rPr>
                <w:b/>
                <w:bCs/>
              </w:rPr>
              <w:t>2024</w:t>
            </w:r>
            <w:r>
              <w:rPr>
                <w:rStyle w:val="FootnoteReference"/>
              </w:rPr>
              <w:footnoteReference w:id="25"/>
            </w:r>
          </w:p>
        </w:tc>
        <w:tc>
          <w:tcPr>
            <w:tcW w:w="1804" w:type="dxa"/>
            <w:shd w:val="clear" w:color="auto" w:fill="D9D9D9" w:themeFill="background1" w:themeFillShade="D9"/>
          </w:tcPr>
          <w:p w:rsidR="002603F6" w:rsidP="002C445A" w14:paraId="5FCCF010" w14:textId="77777777">
            <w:pPr>
              <w:spacing w:line="240" w:lineRule="auto"/>
            </w:pPr>
            <w:r>
              <w:t xml:space="preserve">Verschil huur per maand in </w:t>
            </w:r>
            <w:r w:rsidRPr="00130613">
              <w:rPr>
                <w:b/>
                <w:bCs/>
              </w:rPr>
              <w:t>2024</w:t>
            </w:r>
            <w:r>
              <w:t xml:space="preserve">, </w:t>
            </w:r>
            <w:r>
              <w:t>tov</w:t>
            </w:r>
            <w:r>
              <w:t>. CPI + 0%</w:t>
            </w:r>
          </w:p>
        </w:tc>
        <w:tc>
          <w:tcPr>
            <w:tcW w:w="1804" w:type="dxa"/>
            <w:shd w:val="clear" w:color="auto" w:fill="D9D9D9" w:themeFill="background1" w:themeFillShade="D9"/>
          </w:tcPr>
          <w:p w:rsidR="002603F6" w:rsidP="002C445A" w14:paraId="54228322" w14:textId="77777777">
            <w:pPr>
              <w:spacing w:line="240" w:lineRule="auto"/>
            </w:pPr>
            <w:r>
              <w:t xml:space="preserve">Verschil huur per jaar in </w:t>
            </w:r>
            <w:r w:rsidRPr="00130613">
              <w:rPr>
                <w:b/>
                <w:bCs/>
              </w:rPr>
              <w:t>2024</w:t>
            </w:r>
            <w:r>
              <w:t xml:space="preserve">, </w:t>
            </w:r>
            <w:r>
              <w:t>tov</w:t>
            </w:r>
            <w:r>
              <w:t>. CPI + 0%</w:t>
            </w:r>
          </w:p>
        </w:tc>
        <w:tc>
          <w:tcPr>
            <w:tcW w:w="1975" w:type="dxa"/>
            <w:shd w:val="clear" w:color="auto" w:fill="D9D9D9" w:themeFill="background1" w:themeFillShade="D9"/>
          </w:tcPr>
          <w:p w:rsidR="002603F6" w:rsidP="002C445A" w14:paraId="4B0D89B7" w14:textId="77777777">
            <w:pPr>
              <w:spacing w:line="240" w:lineRule="auto"/>
            </w:pPr>
            <w:r>
              <w:t xml:space="preserve">Totaal verschil huur (2010 t/m 2024), </w:t>
            </w:r>
            <w:r>
              <w:t>tov</w:t>
            </w:r>
            <w:r>
              <w:t>. CPI + 0%</w:t>
            </w:r>
          </w:p>
        </w:tc>
      </w:tr>
      <w:tr w:rsidTr="002603F6" w14:paraId="2E5047E3" w14:textId="77777777">
        <w:tblPrEx>
          <w:tblW w:w="8297" w:type="dxa"/>
          <w:tblInd w:w="0" w:type="dxa"/>
          <w:tblLayout w:type="fixed"/>
          <w:tblLook w:val="04A0"/>
        </w:tblPrEx>
        <w:trPr>
          <w:trHeight w:val="473"/>
        </w:trPr>
        <w:tc>
          <w:tcPr>
            <w:tcW w:w="1048" w:type="dxa"/>
            <w:shd w:val="clear" w:color="auto" w:fill="DAE9F7" w:themeFill="text2" w:themeFillTint="1A"/>
            <w:noWrap/>
            <w:hideMark/>
          </w:tcPr>
          <w:p w:rsidRPr="00B84307" w:rsidR="002603F6" w:rsidP="002C445A" w14:paraId="163A5696" w14:textId="77777777">
            <w:pPr>
              <w:spacing w:line="240" w:lineRule="auto"/>
            </w:pPr>
            <w:r w:rsidRPr="00B84307">
              <w:t>CPI</w:t>
            </w:r>
            <w:r>
              <w:t xml:space="preserve"> + 0%</w:t>
            </w:r>
          </w:p>
        </w:tc>
        <w:tc>
          <w:tcPr>
            <w:tcW w:w="1666" w:type="dxa"/>
            <w:shd w:val="clear" w:color="auto" w:fill="DAE9F7" w:themeFill="text2" w:themeFillTint="1A"/>
          </w:tcPr>
          <w:p w:rsidR="002603F6" w:rsidP="002C445A" w14:paraId="571862FA" w14:textId="77777777">
            <w:pPr>
              <w:spacing w:line="240" w:lineRule="auto"/>
              <w:jc w:val="right"/>
            </w:pPr>
            <w:r>
              <w:t>€ 697,-</w:t>
            </w:r>
          </w:p>
        </w:tc>
        <w:tc>
          <w:tcPr>
            <w:tcW w:w="1804" w:type="dxa"/>
            <w:shd w:val="clear" w:color="auto" w:fill="DAE9F7" w:themeFill="text2" w:themeFillTint="1A"/>
          </w:tcPr>
          <w:p w:rsidR="002603F6" w:rsidP="002C445A" w14:paraId="5D99EA49" w14:textId="77777777">
            <w:pPr>
              <w:spacing w:line="240" w:lineRule="auto"/>
            </w:pPr>
            <w:r>
              <w:t>n.v.t.</w:t>
            </w:r>
          </w:p>
        </w:tc>
        <w:tc>
          <w:tcPr>
            <w:tcW w:w="1804" w:type="dxa"/>
            <w:shd w:val="clear" w:color="auto" w:fill="DAE9F7" w:themeFill="text2" w:themeFillTint="1A"/>
          </w:tcPr>
          <w:p w:rsidR="002603F6" w:rsidP="002C445A" w14:paraId="74BDC7B6" w14:textId="77777777">
            <w:pPr>
              <w:spacing w:line="240" w:lineRule="auto"/>
            </w:pPr>
            <w:r>
              <w:t>n.v.t.</w:t>
            </w:r>
          </w:p>
        </w:tc>
        <w:tc>
          <w:tcPr>
            <w:tcW w:w="1975" w:type="dxa"/>
            <w:shd w:val="clear" w:color="auto" w:fill="DAE9F7" w:themeFill="text2" w:themeFillTint="1A"/>
          </w:tcPr>
          <w:p w:rsidR="002603F6" w:rsidP="002C445A" w14:paraId="2FA37F1D" w14:textId="77777777">
            <w:pPr>
              <w:spacing w:line="240" w:lineRule="auto"/>
            </w:pPr>
            <w:r>
              <w:t>n.v.t.</w:t>
            </w:r>
          </w:p>
        </w:tc>
      </w:tr>
      <w:tr w:rsidTr="002603F6" w14:paraId="475242F8" w14:textId="77777777">
        <w:tblPrEx>
          <w:tblW w:w="8297" w:type="dxa"/>
          <w:tblInd w:w="0" w:type="dxa"/>
          <w:tblLayout w:type="fixed"/>
          <w:tblLook w:val="04A0"/>
        </w:tblPrEx>
        <w:trPr>
          <w:trHeight w:val="473"/>
        </w:trPr>
        <w:tc>
          <w:tcPr>
            <w:tcW w:w="1048" w:type="dxa"/>
            <w:shd w:val="clear" w:color="auto" w:fill="DAE9F7" w:themeFill="text2" w:themeFillTint="1A"/>
            <w:noWrap/>
            <w:hideMark/>
          </w:tcPr>
          <w:p w:rsidRPr="00B84307" w:rsidR="002603F6" w:rsidP="002C445A" w14:paraId="58E2ACD3" w14:textId="77777777">
            <w:pPr>
              <w:spacing w:line="240" w:lineRule="auto"/>
            </w:pPr>
            <w:r w:rsidRPr="00B84307">
              <w:t>CPI</w:t>
            </w:r>
            <w:r>
              <w:t xml:space="preserve"> + 1%</w:t>
            </w:r>
          </w:p>
        </w:tc>
        <w:tc>
          <w:tcPr>
            <w:tcW w:w="1666" w:type="dxa"/>
            <w:shd w:val="clear" w:color="auto" w:fill="DAE9F7" w:themeFill="text2" w:themeFillTint="1A"/>
          </w:tcPr>
          <w:p w:rsidR="002603F6" w:rsidP="002C445A" w14:paraId="0B0D00EF" w14:textId="77777777">
            <w:pPr>
              <w:spacing w:line="240" w:lineRule="auto"/>
              <w:jc w:val="right"/>
            </w:pPr>
            <w:r>
              <w:t>€ 791,-</w:t>
            </w:r>
          </w:p>
        </w:tc>
        <w:tc>
          <w:tcPr>
            <w:tcW w:w="1804" w:type="dxa"/>
            <w:shd w:val="clear" w:color="auto" w:fill="DAE9F7" w:themeFill="text2" w:themeFillTint="1A"/>
          </w:tcPr>
          <w:p w:rsidR="002603F6" w:rsidP="002C445A" w14:paraId="0CE981FB" w14:textId="77777777">
            <w:pPr>
              <w:spacing w:line="240" w:lineRule="auto"/>
              <w:jc w:val="right"/>
            </w:pPr>
            <w:r>
              <w:t>€ 94,-</w:t>
            </w:r>
          </w:p>
        </w:tc>
        <w:tc>
          <w:tcPr>
            <w:tcW w:w="1804" w:type="dxa"/>
            <w:shd w:val="clear" w:color="auto" w:fill="DAE9F7" w:themeFill="text2" w:themeFillTint="1A"/>
          </w:tcPr>
          <w:p w:rsidR="002603F6" w:rsidP="002C445A" w14:paraId="752C33A7" w14:textId="77777777">
            <w:pPr>
              <w:spacing w:line="240" w:lineRule="auto"/>
              <w:jc w:val="right"/>
            </w:pPr>
            <w:r>
              <w:t xml:space="preserve">€ </w:t>
            </w:r>
            <w:r>
              <w:t>1.122,-</w:t>
            </w:r>
          </w:p>
        </w:tc>
        <w:tc>
          <w:tcPr>
            <w:tcW w:w="1975" w:type="dxa"/>
            <w:shd w:val="clear" w:color="auto" w:fill="DAE9F7" w:themeFill="text2" w:themeFillTint="1A"/>
          </w:tcPr>
          <w:p w:rsidR="002603F6" w:rsidP="002C445A" w14:paraId="3BC673B9" w14:textId="77777777">
            <w:pPr>
              <w:spacing w:line="240" w:lineRule="auto"/>
              <w:jc w:val="right"/>
            </w:pPr>
            <w:r>
              <w:t xml:space="preserve">€ </w:t>
            </w:r>
            <w:r>
              <w:t>7.071,-</w:t>
            </w:r>
          </w:p>
        </w:tc>
      </w:tr>
      <w:tr w:rsidTr="002603F6" w14:paraId="4F4C63FE" w14:textId="77777777">
        <w:tblPrEx>
          <w:tblW w:w="8297" w:type="dxa"/>
          <w:tblInd w:w="0" w:type="dxa"/>
          <w:tblLayout w:type="fixed"/>
          <w:tblLook w:val="04A0"/>
        </w:tblPrEx>
        <w:trPr>
          <w:trHeight w:val="473"/>
        </w:trPr>
        <w:tc>
          <w:tcPr>
            <w:tcW w:w="1048" w:type="dxa"/>
            <w:shd w:val="clear" w:color="auto" w:fill="DAE9F7" w:themeFill="text2" w:themeFillTint="1A"/>
            <w:noWrap/>
            <w:hideMark/>
          </w:tcPr>
          <w:p w:rsidRPr="00B84307" w:rsidR="002603F6" w:rsidP="002C445A" w14:paraId="39DFF7DD" w14:textId="77777777">
            <w:pPr>
              <w:spacing w:line="240" w:lineRule="auto"/>
            </w:pPr>
            <w:r>
              <w:t>CAO-loonontwikkeling</w:t>
            </w:r>
          </w:p>
        </w:tc>
        <w:tc>
          <w:tcPr>
            <w:tcW w:w="1666" w:type="dxa"/>
            <w:shd w:val="clear" w:color="auto" w:fill="DAE9F7" w:themeFill="text2" w:themeFillTint="1A"/>
          </w:tcPr>
          <w:p w:rsidR="002603F6" w:rsidP="002C445A" w14:paraId="6034B5F8" w14:textId="77777777">
            <w:pPr>
              <w:spacing w:line="240" w:lineRule="auto"/>
              <w:jc w:val="right"/>
            </w:pPr>
            <w:r>
              <w:t>€ 668,-</w:t>
            </w:r>
          </w:p>
        </w:tc>
        <w:tc>
          <w:tcPr>
            <w:tcW w:w="1804" w:type="dxa"/>
            <w:shd w:val="clear" w:color="auto" w:fill="DAE9F7" w:themeFill="text2" w:themeFillTint="1A"/>
          </w:tcPr>
          <w:p w:rsidR="002603F6" w:rsidP="002C445A" w14:paraId="6135DF61" w14:textId="77777777">
            <w:pPr>
              <w:spacing w:line="240" w:lineRule="auto"/>
              <w:jc w:val="right"/>
            </w:pPr>
            <w:r>
              <w:t>€ - 29,-</w:t>
            </w:r>
          </w:p>
        </w:tc>
        <w:tc>
          <w:tcPr>
            <w:tcW w:w="1804" w:type="dxa"/>
            <w:shd w:val="clear" w:color="auto" w:fill="DAE9F7" w:themeFill="text2" w:themeFillTint="1A"/>
          </w:tcPr>
          <w:p w:rsidR="002603F6" w:rsidP="002C445A" w14:paraId="6AC788D7" w14:textId="77777777">
            <w:pPr>
              <w:spacing w:line="240" w:lineRule="auto"/>
              <w:jc w:val="right"/>
            </w:pPr>
            <w:r>
              <w:t>€ - 348,-</w:t>
            </w:r>
          </w:p>
        </w:tc>
        <w:tc>
          <w:tcPr>
            <w:tcW w:w="1975" w:type="dxa"/>
            <w:shd w:val="clear" w:color="auto" w:fill="DAE9F7" w:themeFill="text2" w:themeFillTint="1A"/>
          </w:tcPr>
          <w:p w:rsidR="002603F6" w:rsidP="002C445A" w14:paraId="03D9A2EF" w14:textId="77777777">
            <w:pPr>
              <w:spacing w:line="240" w:lineRule="auto"/>
              <w:jc w:val="right"/>
            </w:pPr>
            <w:r>
              <w:t>€ -2.052,-</w:t>
            </w:r>
          </w:p>
        </w:tc>
      </w:tr>
      <w:tr w:rsidTr="002603F6" w14:paraId="5B10D981" w14:textId="77777777">
        <w:tblPrEx>
          <w:tblW w:w="8297" w:type="dxa"/>
          <w:tblInd w:w="0" w:type="dxa"/>
          <w:tblLayout w:type="fixed"/>
          <w:tblLook w:val="04A0"/>
        </w:tblPrEx>
        <w:trPr>
          <w:trHeight w:val="473"/>
        </w:trPr>
        <w:tc>
          <w:tcPr>
            <w:tcW w:w="1048" w:type="dxa"/>
            <w:shd w:val="clear" w:color="auto" w:fill="DAE9F7" w:themeFill="text2" w:themeFillTint="1A"/>
            <w:noWrap/>
            <w:hideMark/>
          </w:tcPr>
          <w:p w:rsidRPr="00B84307" w:rsidR="002603F6" w:rsidP="002C445A" w14:paraId="40A4F7D1" w14:textId="77777777">
            <w:pPr>
              <w:spacing w:line="240" w:lineRule="auto"/>
            </w:pPr>
            <w:r>
              <w:t>Prijsontwikkeling koopwoningen</w:t>
            </w:r>
          </w:p>
        </w:tc>
        <w:tc>
          <w:tcPr>
            <w:tcW w:w="1666" w:type="dxa"/>
            <w:shd w:val="clear" w:color="auto" w:fill="DAE9F7" w:themeFill="text2" w:themeFillTint="1A"/>
          </w:tcPr>
          <w:p w:rsidR="002603F6" w:rsidP="002C445A" w14:paraId="13C3E006" w14:textId="77777777">
            <w:pPr>
              <w:spacing w:line="240" w:lineRule="auto"/>
              <w:jc w:val="right"/>
            </w:pPr>
            <w:r>
              <w:t>€ 800,-</w:t>
            </w:r>
          </w:p>
        </w:tc>
        <w:tc>
          <w:tcPr>
            <w:tcW w:w="1804" w:type="dxa"/>
            <w:shd w:val="clear" w:color="auto" w:fill="DAE9F7" w:themeFill="text2" w:themeFillTint="1A"/>
          </w:tcPr>
          <w:p w:rsidR="002603F6" w:rsidP="002C445A" w14:paraId="5C760A83" w14:textId="77777777">
            <w:pPr>
              <w:spacing w:line="240" w:lineRule="auto"/>
              <w:jc w:val="right"/>
            </w:pPr>
            <w:r>
              <w:t>€ 103,-</w:t>
            </w:r>
          </w:p>
        </w:tc>
        <w:tc>
          <w:tcPr>
            <w:tcW w:w="1804" w:type="dxa"/>
            <w:shd w:val="clear" w:color="auto" w:fill="DAE9F7" w:themeFill="text2" w:themeFillTint="1A"/>
          </w:tcPr>
          <w:p w:rsidR="002603F6" w:rsidP="002C445A" w14:paraId="377E369B" w14:textId="77777777">
            <w:pPr>
              <w:spacing w:line="240" w:lineRule="auto"/>
              <w:jc w:val="right"/>
            </w:pPr>
            <w:r>
              <w:t xml:space="preserve">€ </w:t>
            </w:r>
            <w:r>
              <w:t>1.236,-</w:t>
            </w:r>
            <w:r>
              <w:t xml:space="preserve"> </w:t>
            </w:r>
          </w:p>
        </w:tc>
        <w:tc>
          <w:tcPr>
            <w:tcW w:w="1975" w:type="dxa"/>
            <w:shd w:val="clear" w:color="auto" w:fill="DAE9F7" w:themeFill="text2" w:themeFillTint="1A"/>
          </w:tcPr>
          <w:p w:rsidR="002603F6" w:rsidP="002C445A" w14:paraId="0001AB2F" w14:textId="77777777">
            <w:pPr>
              <w:spacing w:line="240" w:lineRule="auto"/>
              <w:jc w:val="right"/>
            </w:pPr>
            <w:r>
              <w:t>€ -3.255,-</w:t>
            </w:r>
          </w:p>
        </w:tc>
      </w:tr>
    </w:tbl>
    <w:p w:rsidR="00F4760F" w:rsidP="009336D1" w14:paraId="307502E1" w14:textId="77777777">
      <w:pPr>
        <w:spacing w:line="276" w:lineRule="auto"/>
      </w:pPr>
    </w:p>
    <w:p w:rsidR="00F4760F" w:rsidP="009336D1" w14:paraId="13FC515A" w14:textId="77777777">
      <w:pPr>
        <w:spacing w:line="276" w:lineRule="auto"/>
      </w:pPr>
      <w:r>
        <w:t xml:space="preserve">Bovenstaande tabel </w:t>
      </w:r>
      <w:r w:rsidR="00B91BF3">
        <w:t>is een fictieve weergave</w:t>
      </w:r>
      <w:r w:rsidR="00AB0435">
        <w:t xml:space="preserve"> van de stijging van maximale huurprijsgrenzen</w:t>
      </w:r>
      <w:r w:rsidR="00B91BF3">
        <w:t>, als sinds 2010 onafgebroken een bepaalde indexatiesystematiek zou zijn toegepast. In hoeverre een huurprijs daadwerkelijk hoger wordt en de huuropbrengsten daadwerkelijk van elkaar verschillen, is onder meer bepaald door de keuze van de verhuurder de maximaal toegestane huurprijs te vragen of niet, tussentijdse wijzigingen aan het WWS, het samenspel met de maximale jaarlijkse huurverhoging</w:t>
      </w:r>
      <w:r>
        <w:rPr>
          <w:rStyle w:val="FootnoteReference"/>
        </w:rPr>
        <w:footnoteReference w:id="26"/>
      </w:r>
      <w:r w:rsidR="00B91BF3">
        <w:t>, bewonerswissels in deze periode en eventuele woningverbeteringen tussendoor. Bovenstaande tabel schetst het effect van een alternatieve indexatiesystematiek, waarbij geldt dat eenzelfde ontwikkeling in de toekomst allerminst zeke</w:t>
      </w:r>
      <w:r w:rsidR="003A340A">
        <w:t>r is.</w:t>
      </w:r>
    </w:p>
    <w:p w:rsidR="008510D7" w:rsidP="009336D1" w14:paraId="51C9947B" w14:textId="77777777">
      <w:pPr>
        <w:spacing w:line="276" w:lineRule="auto"/>
      </w:pPr>
    </w:p>
    <w:p w:rsidRPr="008515D7" w:rsidR="008515D7" w:rsidP="00C02217" w14:paraId="3D5201A9" w14:textId="77777777">
      <w:pPr>
        <w:spacing w:line="276" w:lineRule="auto"/>
        <w:rPr>
          <w:i/>
          <w:iCs/>
        </w:rPr>
      </w:pPr>
      <w:r>
        <w:rPr>
          <w:i/>
          <w:iCs/>
        </w:rPr>
        <w:t xml:space="preserve">Op basis van </w:t>
      </w:r>
      <w:r w:rsidRPr="008515D7">
        <w:rPr>
          <w:i/>
          <w:iCs/>
        </w:rPr>
        <w:t>CPI + 1%</w:t>
      </w:r>
    </w:p>
    <w:p w:rsidRPr="003175E6" w:rsidR="00C02217" w:rsidP="00C02217" w14:paraId="0E16751B" w14:textId="77777777">
      <w:pPr>
        <w:spacing w:line="276" w:lineRule="auto"/>
        <w:rPr>
          <w:b/>
          <w:i/>
        </w:rPr>
      </w:pPr>
      <w:r w:rsidRPr="003F4E77">
        <w:t xml:space="preserve">Ten aanzien van </w:t>
      </w:r>
      <w:r w:rsidRPr="003F4E77">
        <w:t xml:space="preserve">het </w:t>
      </w:r>
      <w:r w:rsidRPr="003F4E77">
        <w:t xml:space="preserve">voorstel van IVBN, </w:t>
      </w:r>
      <w:r w:rsidRPr="003F4E77">
        <w:t>CPI + 1</w:t>
      </w:r>
      <w:r w:rsidRPr="003F4E77">
        <w:t>%,</w:t>
      </w:r>
      <w:r>
        <w:t xml:space="preserve"> laat </w:t>
      </w:r>
      <w:r w:rsidR="003A340A">
        <w:t>tabel 2</w:t>
      </w:r>
      <w:r w:rsidRPr="003F4E77">
        <w:t xml:space="preserve"> </w:t>
      </w:r>
      <w:r>
        <w:t xml:space="preserve">zien hoe een exponentieel effect zich uitmeet over </w:t>
      </w:r>
      <w:r w:rsidR="003A340A">
        <w:t>de genoemde</w:t>
      </w:r>
      <w:r>
        <w:t xml:space="preserve"> periode van 14 jaar. </w:t>
      </w:r>
      <w:r w:rsidR="00357DDA">
        <w:t>H</w:t>
      </w:r>
      <w:r>
        <w:t xml:space="preserve">et extra procent </w:t>
      </w:r>
      <w:r w:rsidR="00357DDA">
        <w:t xml:space="preserve">resulteert </w:t>
      </w:r>
      <w:r w:rsidR="003A340A">
        <w:t>in die periode</w:t>
      </w:r>
      <w:r>
        <w:t xml:space="preserve"> in een maximale huurprijsgrens die 18,7 procentpunt hoger ligt dan wanneer CPI + 0% w</w:t>
      </w:r>
      <w:r>
        <w:t>as</w:t>
      </w:r>
      <w:r>
        <w:t xml:space="preserve"> aangehouden. </w:t>
      </w:r>
      <w:r w:rsidR="00227F8E">
        <w:t xml:space="preserve">Op basis van CPI + 0% zou </w:t>
      </w:r>
      <w:r>
        <w:t>een huurprijsgrens die in 2010 € 500</w:t>
      </w:r>
      <w:r w:rsidR="00227F8E">
        <w:t>,-</w:t>
      </w:r>
      <w:r>
        <w:t xml:space="preserve"> betrof, zonder verbeteringen aan de woning </w:t>
      </w:r>
      <w:r w:rsidR="00227F8E">
        <w:t>of</w:t>
      </w:r>
      <w:r>
        <w:t xml:space="preserve"> wijzigingen in het WWS in 2024 op € 697</w:t>
      </w:r>
      <w:r w:rsidR="00227F8E">
        <w:t>,-</w:t>
      </w:r>
      <w:r>
        <w:t xml:space="preserve"> liggen</w:t>
      </w:r>
      <w:r w:rsidR="00227F8E">
        <w:t>.</w:t>
      </w:r>
      <w:r>
        <w:t xml:space="preserve"> Met CPI + 1% zou de</w:t>
      </w:r>
      <w:r w:rsidR="00227F8E">
        <w:t>zelfde</w:t>
      </w:r>
      <w:r>
        <w:t xml:space="preserve"> huurprijsgrens </w:t>
      </w:r>
      <w:r w:rsidR="00227F8E">
        <w:t xml:space="preserve">in 2024 op </w:t>
      </w:r>
      <w:r>
        <w:t>€ 791</w:t>
      </w:r>
      <w:r w:rsidR="00227F8E">
        <w:t xml:space="preserve"> liggen</w:t>
      </w:r>
      <w:r>
        <w:t xml:space="preserve">. </w:t>
      </w:r>
      <w:r w:rsidR="002D05F2">
        <w:t>Op jaarbasis zou dat in</w:t>
      </w:r>
      <w:r>
        <w:t xml:space="preserve"> 2024 neerkomen op een verschil in </w:t>
      </w:r>
      <w:r w:rsidR="002D05F2">
        <w:t xml:space="preserve">totale </w:t>
      </w:r>
      <w:r>
        <w:t>huuropbrengst van € 1.122. Over de periode 2010-2024 zou dit een verschil in huuropbrengst zijn van € 7.071.</w:t>
      </w:r>
      <w:r w:rsidR="00C73CED">
        <w:t xml:space="preserve"> </w:t>
      </w:r>
      <w:r w:rsidR="00227F8E">
        <w:t xml:space="preserve">De </w:t>
      </w:r>
      <w:r w:rsidR="00C73CED">
        <w:t xml:space="preserve">betaalbaarheid </w:t>
      </w:r>
      <w:r w:rsidR="00A23538">
        <w:t>v</w:t>
      </w:r>
      <w:r w:rsidR="00C73CED">
        <w:t>oor huurders</w:t>
      </w:r>
      <w:r w:rsidR="00227F8E">
        <w:t xml:space="preserve"> zou</w:t>
      </w:r>
      <w:r w:rsidR="00A86B86">
        <w:t>,</w:t>
      </w:r>
      <w:r w:rsidR="00227F8E">
        <w:t xml:space="preserve"> ten opzichte van de huidige indexatiemethodiek</w:t>
      </w:r>
      <w:r>
        <w:rPr>
          <w:rStyle w:val="FootnoteReference"/>
        </w:rPr>
        <w:footnoteReference w:id="27"/>
      </w:r>
      <w:r w:rsidR="00C73CED">
        <w:t>, zowel in het laag- als middensegment</w:t>
      </w:r>
      <w:r w:rsidR="00227F8E">
        <w:t xml:space="preserve"> zijn verslechterd.</w:t>
      </w:r>
      <w:r w:rsidRPr="00A161C5" w:rsidR="001E03F3">
        <w:rPr>
          <w:b/>
          <w:bCs/>
          <w:i/>
          <w:iCs/>
        </w:rPr>
        <w:t xml:space="preserve"> </w:t>
      </w:r>
    </w:p>
    <w:p w:rsidRPr="008515D7" w:rsidR="005D746F" w:rsidP="005D746F" w14:paraId="0E9755F1" w14:textId="77777777">
      <w:pPr>
        <w:spacing w:line="276" w:lineRule="auto"/>
        <w:rPr>
          <w:i/>
          <w:iCs/>
        </w:rPr>
      </w:pPr>
      <w:r w:rsidRPr="008515D7">
        <w:rPr>
          <w:i/>
          <w:iCs/>
        </w:rPr>
        <w:t>Op basis van gemiddelde CAO-loonstijging</w:t>
      </w:r>
    </w:p>
    <w:p w:rsidR="008515D7" w:rsidP="005D746F" w14:paraId="5EC8BCD1" w14:textId="77777777">
      <w:pPr>
        <w:spacing w:line="276" w:lineRule="auto"/>
      </w:pPr>
      <w:r>
        <w:t>Als de gemiddelde CAO-loonstijging zou zijn aangehouden, zou de maximale huurprijsgrens in 2024 33,5% hoger liggen</w:t>
      </w:r>
      <w:r w:rsidR="00EB62CA">
        <w:t xml:space="preserve"> dan in 2010</w:t>
      </w:r>
      <w:r>
        <w:t xml:space="preserve">. Dit komt omdat tot de significante toename van de gemiddelde CAO-loonstijging in de afgelopen paar jaren het percentage structureel achterloopt op de CPI-ontwikkeling. Dit resulteert in een huurprijsgrens die uiteindelijk lager uitkomt dan wanneer de huidige indexatiesystematiek zou zijn aangehouden. Het niveau van de huurprijsgrens zou in 2024 ongeveer </w:t>
      </w:r>
      <w:r w:rsidR="00B32616">
        <w:t xml:space="preserve">€ </w:t>
      </w:r>
      <w:r>
        <w:t>29</w:t>
      </w:r>
      <w:r w:rsidR="00EB62CA">
        <w:t>,-</w:t>
      </w:r>
      <w:r>
        <w:t xml:space="preserve"> per maand uitmaken</w:t>
      </w:r>
      <w:r w:rsidR="00B32616">
        <w:t xml:space="preserve"> met een aanvangshuur van € 500</w:t>
      </w:r>
      <w:r w:rsidR="00EB62CA">
        <w:t>,-</w:t>
      </w:r>
      <w:r w:rsidR="00B32616">
        <w:t xml:space="preserve"> in 2010</w:t>
      </w:r>
      <w:r>
        <w:t xml:space="preserve">. Over de periode 2010 tot en met 2024 zouden de totale huuropbrengsten ongeveer € </w:t>
      </w:r>
      <w:r>
        <w:t>2.052</w:t>
      </w:r>
      <w:r w:rsidR="00EB62CA">
        <w:t>,-</w:t>
      </w:r>
      <w:r>
        <w:t xml:space="preserve"> euro lager uitvallen.</w:t>
      </w:r>
    </w:p>
    <w:p w:rsidR="005D746F" w:rsidP="005D746F" w14:paraId="56007597" w14:textId="77777777">
      <w:pPr>
        <w:spacing w:line="276" w:lineRule="auto"/>
      </w:pPr>
    </w:p>
    <w:p w:rsidRPr="003F4E77" w:rsidR="005D746F" w:rsidP="005D746F" w14:paraId="6AAC0FA0" w14:textId="77777777">
      <w:pPr>
        <w:spacing w:line="276" w:lineRule="auto"/>
        <w:rPr>
          <w:i/>
        </w:rPr>
      </w:pPr>
      <w:r w:rsidRPr="003F4E77">
        <w:rPr>
          <w:i/>
        </w:rPr>
        <w:t xml:space="preserve">Op basis van </w:t>
      </w:r>
      <w:r w:rsidRPr="003F4E77" w:rsidR="008515D7">
        <w:rPr>
          <w:i/>
        </w:rPr>
        <w:t>prijsontwikkeling bestaande koopwoningen</w:t>
      </w:r>
    </w:p>
    <w:p w:rsidR="001D28B9" w:rsidP="009336D1" w14:paraId="65E04AEF" w14:textId="77777777">
      <w:pPr>
        <w:spacing w:line="276" w:lineRule="auto"/>
      </w:pPr>
      <w:r>
        <w:t xml:space="preserve">Als sinds 2010 uit was gegaan van de prijsontwikkeling van bestaande koopwoningen, zou de maximale huurprijsgrens in 2024 ongeveer 60% hoger liggen dan in 2010. Dit is een significant verschil </w:t>
      </w:r>
      <w:r w:rsidR="00B32616">
        <w:t>met de 39,5% van de huidige indexatiesystematiek. Een huurprijs van € 500</w:t>
      </w:r>
      <w:r w:rsidR="00920592">
        <w:t>,-</w:t>
      </w:r>
      <w:r w:rsidR="00B32616">
        <w:t xml:space="preserve"> in 2010 zou daarmee in 2024 op € 800</w:t>
      </w:r>
      <w:r w:rsidR="00920592">
        <w:t>,-</w:t>
      </w:r>
      <w:r w:rsidR="00B32616">
        <w:t xml:space="preserve"> komen te liggen. Toch zou de totale huuropbrengst van over deze periode ruim </w:t>
      </w:r>
      <w:r w:rsidR="00920592">
        <w:t xml:space="preserve">€ </w:t>
      </w:r>
      <w:r w:rsidR="00B32616">
        <w:t>3.200</w:t>
      </w:r>
      <w:r w:rsidR="00920592">
        <w:t>,-</w:t>
      </w:r>
      <w:r w:rsidR="00B32616">
        <w:t xml:space="preserve"> lager uitvallen. Dit is te verklaren omdat tot 2015 de prijsontwikkeling van bestaande koopwoningen zwak positief of zelfs negatief was. Pas sinds 2017 en vooral in 2021 en 2022 is deze prijsontwikkeling zeer positief</w:t>
      </w:r>
      <w:r w:rsidR="00C85B03">
        <w:t xml:space="preserve"> (beide jaren </w:t>
      </w:r>
      <w:r w:rsidR="00C85B03">
        <w:t>circa</w:t>
      </w:r>
      <w:r w:rsidR="00C85B03">
        <w:t xml:space="preserve"> 15%)</w:t>
      </w:r>
      <w:r w:rsidR="00B32616">
        <w:t xml:space="preserve">. Dit is niet genoeg </w:t>
      </w:r>
      <w:r w:rsidR="00C85B03">
        <w:t xml:space="preserve">om de lagere huuropbrengsten in de eerste jaren te compenseren. </w:t>
      </w:r>
      <w:r w:rsidR="00081C45">
        <w:t xml:space="preserve">Daar komt bij dat de jaarlijkse huurverhoging </w:t>
      </w:r>
      <w:r w:rsidR="00081C45">
        <w:t>tevens</w:t>
      </w:r>
      <w:r w:rsidR="00081C45">
        <w:t xml:space="preserve"> een beperkende factor kan spelen</w:t>
      </w:r>
      <w:r w:rsidR="001716B7">
        <w:t xml:space="preserve"> bij lopende contracten</w:t>
      </w:r>
      <w:r w:rsidR="00081C45">
        <w:t>. Bij een volatiel percentage bestaat daardoor kans dat de volledige indexatie van de huurprijsgrens niet verrekend kan worden in de feitelijke huurprijs.</w:t>
      </w:r>
      <w:r>
        <w:rPr>
          <w:rStyle w:val="FootnoteReference"/>
        </w:rPr>
        <w:footnoteReference w:id="28"/>
      </w:r>
      <w:r w:rsidR="00081C45">
        <w:t xml:space="preserve"> Tegelijkertijd zal de feitelijke huur wel verlaagd moeten worden </w:t>
      </w:r>
      <w:r w:rsidR="00081C45">
        <w:t>indien</w:t>
      </w:r>
      <w:r w:rsidR="00081C45">
        <w:t xml:space="preserve"> die door een daling van de prijsontwikkeling van bestaande koopwoningen boven de geldende maximale huurprijsgrens komt te liggen</w:t>
      </w:r>
      <w:r>
        <w:rPr>
          <w:rStyle w:val="FootnoteReference"/>
        </w:rPr>
        <w:footnoteReference w:id="29"/>
      </w:r>
      <w:r w:rsidR="00081C45">
        <w:t xml:space="preserve">. </w:t>
      </w:r>
      <w:r w:rsidR="00C85B03">
        <w:t xml:space="preserve">De prijsontwikkeling van bestaande koopwoningen </w:t>
      </w:r>
      <w:r w:rsidR="00081C45">
        <w:t>is</w:t>
      </w:r>
      <w:r w:rsidR="00C85B03">
        <w:t xml:space="preserve"> volatieler dan de andere twee alternatieven (CPI en CAO-ontwikkeling).</w:t>
      </w:r>
      <w:r w:rsidR="00AC3328">
        <w:t xml:space="preserve"> </w:t>
      </w:r>
    </w:p>
    <w:p w:rsidR="008D2EF5" w:rsidP="009336D1" w14:paraId="68A79C8C" w14:textId="77777777">
      <w:pPr>
        <w:spacing w:line="276" w:lineRule="auto"/>
      </w:pPr>
    </w:p>
    <w:p w:rsidRPr="00D668DF" w:rsidR="008D2EF5" w:rsidP="009336D1" w14:paraId="012D8C04" w14:textId="77777777">
      <w:pPr>
        <w:spacing w:line="276" w:lineRule="auto"/>
        <w:rPr>
          <w:u w:val="single"/>
        </w:rPr>
      </w:pPr>
      <w:r w:rsidRPr="00D668DF">
        <w:rPr>
          <w:u w:val="single"/>
        </w:rPr>
        <w:t>Conclusie</w:t>
      </w:r>
    </w:p>
    <w:p w:rsidR="00F4760F" w:rsidP="009336D1" w14:paraId="4B61312C" w14:textId="77777777">
      <w:pPr>
        <w:spacing w:line="276" w:lineRule="auto"/>
      </w:pPr>
      <w:r>
        <w:t xml:space="preserve">De </w:t>
      </w:r>
      <w:r w:rsidR="008D2EF5">
        <w:t xml:space="preserve">huidige </w:t>
      </w:r>
      <w:r>
        <w:t xml:space="preserve">jaarlijkse indexatie </w:t>
      </w:r>
      <w:r w:rsidR="002C424B">
        <w:t xml:space="preserve">op basis van inflatie </w:t>
      </w:r>
      <w:r>
        <w:t xml:space="preserve">is bedoeld om tegemoet te komen aan de toegenomen jaarlijkse kosten van de verhuurder. </w:t>
      </w:r>
      <w:r w:rsidR="002C424B">
        <w:t>Ik heb verschillende alternatieve indexatiemethoden geschetst. D</w:t>
      </w:r>
      <w:r w:rsidR="008B6479">
        <w:t xml:space="preserve">e beschreven opties </w:t>
      </w:r>
      <w:r w:rsidR="002C424B">
        <w:t xml:space="preserve">zouden ten opzichte van de huidige indexatie voor </w:t>
      </w:r>
      <w:r w:rsidR="008B6479">
        <w:t xml:space="preserve">een </w:t>
      </w:r>
      <w:r w:rsidR="0082681C">
        <w:t>hogere huurprijsgrens en eventueel voor hogere huuropbrengsten kunnen zorgen</w:t>
      </w:r>
      <w:r w:rsidR="008B6479">
        <w:t xml:space="preserve"> </w:t>
      </w:r>
      <w:r w:rsidR="0082681C">
        <w:t>bij</w:t>
      </w:r>
      <w:r w:rsidR="008B6479">
        <w:t xml:space="preserve"> gereguleerde huurwoningen</w:t>
      </w:r>
      <w:r w:rsidR="0082681C">
        <w:t xml:space="preserve">. Een hoger </w:t>
      </w:r>
      <w:r>
        <w:t>indexatiepercentage ten opzichte van de huidige methodiek</w:t>
      </w:r>
      <w:r w:rsidR="0082681C">
        <w:t xml:space="preserve"> betekent </w:t>
      </w:r>
      <w:r w:rsidR="008B6479">
        <w:t xml:space="preserve">een verslechtering </w:t>
      </w:r>
      <w:r w:rsidR="002C424B">
        <w:t>van</w:t>
      </w:r>
      <w:r w:rsidR="008B6479">
        <w:t xml:space="preserve"> </w:t>
      </w:r>
      <w:r w:rsidR="002C424B">
        <w:t xml:space="preserve">de </w:t>
      </w:r>
      <w:r w:rsidR="008B6479">
        <w:t>betaalbaarheid</w:t>
      </w:r>
      <w:r w:rsidR="002C424B">
        <w:t xml:space="preserve"> voor huurders</w:t>
      </w:r>
      <w:r w:rsidR="008B6479">
        <w:t xml:space="preserve">. </w:t>
      </w:r>
    </w:p>
    <w:p w:rsidR="00F4760F" w:rsidP="009336D1" w14:paraId="6AA835E8" w14:textId="77777777">
      <w:pPr>
        <w:spacing w:line="276" w:lineRule="auto"/>
      </w:pPr>
    </w:p>
    <w:p w:rsidR="00A249D0" w:rsidP="009336D1" w14:paraId="5228F12D" w14:textId="77777777">
      <w:pPr>
        <w:spacing w:line="276" w:lineRule="auto"/>
      </w:pPr>
      <w:r>
        <w:t>Daarbij is d</w:t>
      </w:r>
      <w:r w:rsidR="00357DDA">
        <w:t>e beslissing om te investeren in nieuwbouw of om een huurwoning aan te houden van legio factoren afhankelijk, niet enkel de indexatie van de WWS-</w:t>
      </w:r>
      <w:r w:rsidR="00357DDA">
        <w:t xml:space="preserve">tabel. </w:t>
      </w:r>
      <w:r>
        <w:t>Ook geldt dat</w:t>
      </w:r>
      <w:r w:rsidR="00E65000">
        <w:t>,</w:t>
      </w:r>
      <w:r>
        <w:t xml:space="preserve"> hoewel</w:t>
      </w:r>
      <w:r w:rsidR="0002443F">
        <w:t xml:space="preserve"> met e</w:t>
      </w:r>
      <w:r w:rsidR="00357DDA">
        <w:t>en hoger indexatiepercentage investering</w:t>
      </w:r>
      <w:r w:rsidR="0002443F">
        <w:t xml:space="preserve">sbereidheid </w:t>
      </w:r>
      <w:r>
        <w:t xml:space="preserve">verbeterd </w:t>
      </w:r>
      <w:r w:rsidR="0002443F">
        <w:t>kan worden</w:t>
      </w:r>
      <w:r>
        <w:t>,</w:t>
      </w:r>
      <w:r w:rsidR="0002443F">
        <w:t xml:space="preserve"> lastig objectief vast te stellen </w:t>
      </w:r>
      <w:r>
        <w:t xml:space="preserve">is </w:t>
      </w:r>
      <w:r w:rsidR="0002443F">
        <w:t>wanneer deze voldoende verbeterd is</w:t>
      </w:r>
      <w:r w:rsidR="0082681C">
        <w:t xml:space="preserve"> of welke koppeling daadwerkelijk zorgt voor een hogere huuropbrengst over tijd</w:t>
      </w:r>
      <w:r w:rsidR="0002443F">
        <w:t>.</w:t>
      </w:r>
      <w:r w:rsidR="005029A6">
        <w:t xml:space="preserve"> Doordat</w:t>
      </w:r>
      <w:r w:rsidR="008D3A0E">
        <w:t xml:space="preserve"> de </w:t>
      </w:r>
      <w:r w:rsidR="005029A6">
        <w:t>huidige</w:t>
      </w:r>
      <w:r w:rsidR="00E34EFB">
        <w:t xml:space="preserve"> indexatiesystematiek </w:t>
      </w:r>
      <w:r w:rsidR="00334616">
        <w:t xml:space="preserve">gegrond </w:t>
      </w:r>
      <w:r w:rsidR="005029A6">
        <w:t xml:space="preserve">is </w:t>
      </w:r>
      <w:r w:rsidR="00334616">
        <w:t>in een objectief feit</w:t>
      </w:r>
      <w:r w:rsidR="005029A6">
        <w:t>,</w:t>
      </w:r>
      <w:r w:rsidR="002D6D1D">
        <w:t xml:space="preserve"> de </w:t>
      </w:r>
      <w:r w:rsidR="005E4C43">
        <w:t xml:space="preserve">jaarlijkse </w:t>
      </w:r>
      <w:r w:rsidR="002D6D1D">
        <w:t>stijging van kosten voor verhuurders</w:t>
      </w:r>
      <w:r w:rsidR="005029A6">
        <w:t>, hebben</w:t>
      </w:r>
      <w:r w:rsidR="000C6446">
        <w:t xml:space="preserve"> huurders en verhuurders </w:t>
      </w:r>
      <w:r w:rsidR="00EA3F14">
        <w:t xml:space="preserve">langjarig </w:t>
      </w:r>
      <w:r w:rsidR="000C6446">
        <w:t xml:space="preserve">zekerheid </w:t>
      </w:r>
      <w:r w:rsidR="005029A6">
        <w:t>over de stijging van huurprijzen.</w:t>
      </w:r>
      <w:r w:rsidR="00334616">
        <w:t xml:space="preserve"> </w:t>
      </w:r>
      <w:r w:rsidR="000C6446">
        <w:t>Dit versterkt</w:t>
      </w:r>
      <w:r w:rsidR="00334616">
        <w:t xml:space="preserve"> het vertrouwen binnen de huursector en </w:t>
      </w:r>
      <w:r w:rsidR="005029A6">
        <w:t xml:space="preserve">stimuleert </w:t>
      </w:r>
      <w:r w:rsidR="00334616">
        <w:t xml:space="preserve">daarmee </w:t>
      </w:r>
      <w:r w:rsidR="000C6446">
        <w:t xml:space="preserve">langdurige </w:t>
      </w:r>
      <w:r w:rsidR="00334616">
        <w:t>investeringsbereidheid.</w:t>
      </w:r>
    </w:p>
    <w:p w:rsidR="00F95A89" w:rsidP="009336D1" w14:paraId="07B93AC5" w14:textId="77777777">
      <w:pPr>
        <w:spacing w:line="276" w:lineRule="auto"/>
      </w:pPr>
    </w:p>
    <w:p w:rsidR="00F4760F" w:rsidP="00772BD2" w14:paraId="68104EDD" w14:textId="77777777">
      <w:pPr>
        <w:spacing w:line="276" w:lineRule="auto"/>
      </w:pPr>
      <w:r>
        <w:t xml:space="preserve">Binnen de huidige </w:t>
      </w:r>
      <w:r>
        <w:t>kostengedreven</w:t>
      </w:r>
      <w:r>
        <w:t xml:space="preserve"> systematiek is het niet logisch het inflatiepercentage met een </w:t>
      </w:r>
      <w:r w:rsidR="00E65000">
        <w:t xml:space="preserve">relatief </w:t>
      </w:r>
      <w:r>
        <w:t>willekeurige 1% te verhogen. Inflatie (CPI)</w:t>
      </w:r>
      <w:r w:rsidR="00F22085">
        <w:t xml:space="preserve"> </w:t>
      </w:r>
      <w:r>
        <w:t xml:space="preserve">geldt als een goede maatstaf voor de toegenomen jaarlijkse </w:t>
      </w:r>
      <w:r w:rsidRPr="0041361E">
        <w:t>kosten</w:t>
      </w:r>
      <w:r>
        <w:t xml:space="preserve"> van verhuurders.</w:t>
      </w:r>
      <w:r w:rsidR="00772BD2">
        <w:t xml:space="preserve"> </w:t>
      </w:r>
      <w:r w:rsidR="0041361E">
        <w:t xml:space="preserve">Een ophoging van dit percentage heeft bovendien effecten op de betaalbaarheid van huren </w:t>
      </w:r>
      <w:r w:rsidR="00953718">
        <w:t>als gevolg</w:t>
      </w:r>
      <w:r w:rsidR="0041361E">
        <w:t xml:space="preserve">. </w:t>
      </w:r>
      <w:r w:rsidRPr="00772BD2" w:rsidR="00772BD2">
        <w:t>Een alternatieve methodiek zoals de</w:t>
      </w:r>
      <w:r w:rsidR="00772BD2">
        <w:t xml:space="preserve"> prijsontwikkeling van koopwoningen</w:t>
      </w:r>
      <w:r w:rsidRPr="00772BD2" w:rsidR="00772BD2">
        <w:t xml:space="preserve"> houdt onvoldoende rekening met de gevolgen voor huurders</w:t>
      </w:r>
      <w:r w:rsidR="00A3718D">
        <w:t xml:space="preserve"> en kan door volatiliteit ongewenste neveneffecten hebben.</w:t>
      </w:r>
      <w:r w:rsidRPr="00772BD2" w:rsidR="00772BD2">
        <w:t xml:space="preserve"> </w:t>
      </w:r>
      <w:r w:rsidR="00A3718D">
        <w:t>De</w:t>
      </w:r>
      <w:r w:rsidRPr="00772BD2" w:rsidR="00A3718D">
        <w:t xml:space="preserve"> </w:t>
      </w:r>
      <w:r w:rsidR="00772BD2">
        <w:t>CAO-loonstijging</w:t>
      </w:r>
      <w:r w:rsidRPr="00772BD2" w:rsidR="00772BD2">
        <w:t xml:space="preserve"> </w:t>
      </w:r>
      <w:r w:rsidR="00A3718D">
        <w:t xml:space="preserve">is </w:t>
      </w:r>
      <w:r w:rsidR="002C424B">
        <w:t xml:space="preserve">als grondslag </w:t>
      </w:r>
      <w:r w:rsidRPr="00772BD2" w:rsidR="00772BD2">
        <w:t>niet relevant voor de stijging in investeringskosten</w:t>
      </w:r>
      <w:r w:rsidR="00A3718D">
        <w:t xml:space="preserve"> en onzeker is of daarmee investeringsbereidheid wordt gestimuleerd</w:t>
      </w:r>
      <w:r w:rsidRPr="00772BD2" w:rsidR="00772BD2">
        <w:t>.</w:t>
      </w:r>
    </w:p>
    <w:p w:rsidR="00F4760F" w:rsidP="00772BD2" w14:paraId="54AE5012" w14:textId="77777777">
      <w:pPr>
        <w:spacing w:line="276" w:lineRule="auto"/>
      </w:pPr>
    </w:p>
    <w:p w:rsidR="001A22A1" w:rsidP="009336D1" w14:paraId="3E42AFEF" w14:textId="77777777">
      <w:pPr>
        <w:spacing w:line="276" w:lineRule="auto"/>
      </w:pPr>
      <w:r>
        <w:t>De indexatie</w:t>
      </w:r>
      <w:r w:rsidR="002C424B">
        <w:t>methode</w:t>
      </w:r>
      <w:r>
        <w:t xml:space="preserve"> van het WWS is actief besproken en gewogen in het kader van de totstandkoming van de </w:t>
      </w:r>
      <w:r w:rsidR="00C40098">
        <w:t>Wbh</w:t>
      </w:r>
      <w:r>
        <w:t xml:space="preserve">. Daarbij is overwogen dat met de verdiencapaciteit van verhuurders rekening wordt gehouden in het WWS, nu dit jaarlijks met inflatie wordt geïndexeerd. Tijdens de evaluatie van de </w:t>
      </w:r>
      <w:r>
        <w:t>Wbh</w:t>
      </w:r>
      <w:r>
        <w:t xml:space="preserve"> in 2027 wordt in den brede bezien of het WWS</w:t>
      </w:r>
      <w:r w:rsidR="00C640CD">
        <w:t>, inclusief indexatiemethodiek,</w:t>
      </w:r>
      <w:r>
        <w:t xml:space="preserve"> voldoende investeringsbereidheid genereert. </w:t>
      </w:r>
      <w:r w:rsidR="00154A35">
        <w:t>Daarbij bekijk ik ook alternatieve beleidsopties binnen de huurprijsregulering</w:t>
      </w:r>
      <w:r w:rsidR="00834E75">
        <w:t xml:space="preserve"> en andere factoren</w:t>
      </w:r>
      <w:r w:rsidR="00154A35">
        <w:t xml:space="preserve"> die een impact op de investeringsbereidheid kunnen hebben.</w:t>
      </w:r>
    </w:p>
    <w:p w:rsidR="008510D7" w:rsidP="009336D1" w14:paraId="1F644529" w14:textId="77777777">
      <w:pPr>
        <w:spacing w:line="276" w:lineRule="auto"/>
      </w:pPr>
    </w:p>
    <w:p w:rsidRPr="00463ABC" w:rsidR="00687800" w:rsidP="009336D1" w14:paraId="64BDE77F" w14:textId="77777777">
      <w:pPr>
        <w:spacing w:line="276" w:lineRule="auto"/>
        <w:rPr>
          <w:b/>
          <w:bCs/>
        </w:rPr>
      </w:pPr>
      <w:r>
        <w:rPr>
          <w:b/>
          <w:bCs/>
        </w:rPr>
        <w:t>Evaluatie n</w:t>
      </w:r>
      <w:r w:rsidRPr="00463ABC">
        <w:rPr>
          <w:b/>
          <w:bCs/>
        </w:rPr>
        <w:t>ieuwbouwopslag in het WWS</w:t>
      </w:r>
    </w:p>
    <w:p w:rsidR="00787922" w:rsidP="009336D1" w14:paraId="6466D66A" w14:textId="77777777">
      <w:pPr>
        <w:spacing w:line="276" w:lineRule="auto"/>
      </w:pPr>
      <w:r>
        <w:t xml:space="preserve">Met de invoering van de </w:t>
      </w:r>
      <w:r>
        <w:t>Wbh</w:t>
      </w:r>
      <w:r>
        <w:t xml:space="preserve"> en onderliggende regelgeving op 1 juli 2024 zijn maximale huurprijzen komen te gelden in het </w:t>
      </w:r>
      <w:r>
        <w:t>middenhuursegment</w:t>
      </w:r>
      <w:r>
        <w:t xml:space="preserve">. Om ervoor te zorgen dat de nieuwbouw in een tijd van woningtekort gestimuleerd zou blijven, is gelijktijdig in het WWS </w:t>
      </w:r>
      <w:r w:rsidR="00E345F0">
        <w:t xml:space="preserve">de </w:t>
      </w:r>
      <w:r w:rsidR="00687800">
        <w:t>nieuwbouwopslag</w:t>
      </w:r>
      <w:r>
        <w:t xml:space="preserve"> ingevoerd.</w:t>
      </w:r>
      <w:r w:rsidR="00687800">
        <w:t xml:space="preserve"> De nieuwbouwopslag geldt voor </w:t>
      </w:r>
      <w:r w:rsidR="003154CC">
        <w:t>midden</w:t>
      </w:r>
      <w:r w:rsidR="00687800">
        <w:t xml:space="preserve">huurwoningen waarvan </w:t>
      </w:r>
      <w:r w:rsidR="003154CC">
        <w:t xml:space="preserve">de </w:t>
      </w:r>
      <w:r w:rsidR="00687800">
        <w:t>oplevering na 1 juli 2024 is en de start bouw voor 1 januari 2028 is aangevangen. De nieuwbouwopslag betreft een maximale huurprijsopslag van 10%</w:t>
      </w:r>
      <w:r w:rsidR="00E345F0">
        <w:t xml:space="preserve"> die twintig jaar geldig is.</w:t>
      </w:r>
    </w:p>
    <w:p w:rsidR="00787922" w:rsidP="009336D1" w14:paraId="583C9432" w14:textId="77777777">
      <w:pPr>
        <w:spacing w:line="276" w:lineRule="auto"/>
      </w:pPr>
    </w:p>
    <w:p w:rsidR="00FE2340" w:rsidP="009336D1" w14:paraId="270E2D63" w14:textId="77777777">
      <w:pPr>
        <w:spacing w:line="276" w:lineRule="auto"/>
      </w:pPr>
      <w:r>
        <w:t>Conform</w:t>
      </w:r>
      <w:r>
        <w:t xml:space="preserve"> het amendement </w:t>
      </w:r>
      <w:r>
        <w:t>Flach</w:t>
      </w:r>
      <w:r>
        <w:rPr>
          <w:rStyle w:val="FootnoteReference"/>
        </w:rPr>
        <w:footnoteReference w:id="30"/>
      </w:r>
      <w:r>
        <w:t xml:space="preserve"> moet uiterlijk op 1 juli 2027 een verslag aan uw Kamer verzonden zijn waarbij ingegaan wordt op de noodzaak van een eventuele </w:t>
      </w:r>
      <w:r w:rsidRPr="00747BB2">
        <w:t>voortzetting van de nieuwbouwopslag na 1 januari 2028, om de bouw van nieuwe middenhuurwoningen op gang te houden. In het kader van</w:t>
      </w:r>
      <w:r w:rsidRPr="00747BB2" w:rsidR="009A7138">
        <w:t xml:space="preserve"> de invoeringstoets van de </w:t>
      </w:r>
      <w:r w:rsidRPr="00747BB2" w:rsidR="009A7138">
        <w:t>Wbh</w:t>
      </w:r>
      <w:r w:rsidRPr="00747BB2" w:rsidR="009A7138">
        <w:t xml:space="preserve"> </w:t>
      </w:r>
      <w:r w:rsidRPr="00747BB2" w:rsidR="00EA2DAB">
        <w:t xml:space="preserve">(zie Bijlage </w:t>
      </w:r>
      <w:r w:rsidRPr="00747BB2">
        <w:t>I</w:t>
      </w:r>
      <w:r w:rsidRPr="00747BB2" w:rsidR="00EA2DAB">
        <w:t xml:space="preserve">) </w:t>
      </w:r>
      <w:r w:rsidRPr="00747BB2">
        <w:t>is op dit punt door</w:t>
      </w:r>
      <w:r w:rsidRPr="00747BB2" w:rsidR="009A7138">
        <w:t xml:space="preserve"> verhuurders aan</w:t>
      </w:r>
      <w:r w:rsidRPr="00747BB2">
        <w:t>gegeven</w:t>
      </w:r>
      <w:r w:rsidRPr="00747BB2" w:rsidR="009A7138">
        <w:t xml:space="preserve"> dat de deadline van </w:t>
      </w:r>
      <w:r w:rsidRPr="00747BB2">
        <w:t xml:space="preserve">1 januari </w:t>
      </w:r>
      <w:r w:rsidRPr="00747BB2" w:rsidR="009A7138">
        <w:t xml:space="preserve">2028 een belangrijk knelpunt vormt. Door lange doorlooptijden bij </w:t>
      </w:r>
      <w:r w:rsidRPr="00747BB2">
        <w:t>procedures bij</w:t>
      </w:r>
      <w:r w:rsidRPr="00747BB2" w:rsidR="009A7138">
        <w:t xml:space="preserve"> de rechtbank</w:t>
      </w:r>
      <w:r w:rsidRPr="009A7138" w:rsidR="009A7138">
        <w:t xml:space="preserve"> en de Raad van State kunnen ontwikkelaars niet garanderen dat de bouw </w:t>
      </w:r>
      <w:r>
        <w:t xml:space="preserve">van nieuwe woningen </w:t>
      </w:r>
      <w:r w:rsidRPr="009A7138" w:rsidR="009A7138">
        <w:t xml:space="preserve">vóór 1 januari 2028 van start gaat. </w:t>
      </w:r>
      <w:r w:rsidRPr="009A7138" w:rsidR="009A7138">
        <w:t>Dit zorgt bij investeerders voor onzekerheid over het kunnen toepassen van de nieuwbouwopslag</w:t>
      </w:r>
      <w:r>
        <w:t xml:space="preserve"> bij nieuwbouwplannen</w:t>
      </w:r>
      <w:r w:rsidRPr="009A7138" w:rsidR="009A7138">
        <w:t xml:space="preserve">. Een vertraging kan directe gevolgen hebben voor de financiële onderbouwing van projecten, aangezien de </w:t>
      </w:r>
      <w:r>
        <w:t xml:space="preserve">mogelijkheid de </w:t>
      </w:r>
      <w:r w:rsidRPr="009A7138" w:rsidR="009A7138">
        <w:t xml:space="preserve">nieuwbouwopslag </w:t>
      </w:r>
      <w:r>
        <w:t xml:space="preserve">toe te passen </w:t>
      </w:r>
      <w:r w:rsidRPr="009A7138" w:rsidR="009A7138">
        <w:t xml:space="preserve">onderdeel </w:t>
      </w:r>
      <w:r>
        <w:t xml:space="preserve">uitmaakt </w:t>
      </w:r>
      <w:r w:rsidRPr="009A7138" w:rsidR="009A7138">
        <w:t xml:space="preserve">van de </w:t>
      </w:r>
      <w:r w:rsidR="009A7138">
        <w:t>business case</w:t>
      </w:r>
      <w:r w:rsidRPr="009A7138" w:rsidR="009A7138">
        <w:t xml:space="preserve">. Volgens </w:t>
      </w:r>
      <w:r>
        <w:t>verhuurders</w:t>
      </w:r>
      <w:r w:rsidRPr="009A7138" w:rsidR="009A7138">
        <w:t xml:space="preserve"> </w:t>
      </w:r>
      <w:r>
        <w:t>kan</w:t>
      </w:r>
      <w:r w:rsidRPr="009A7138" w:rsidR="009A7138">
        <w:t xml:space="preserve"> deze onzekerheid er</w:t>
      </w:r>
      <w:r>
        <w:t>toe leiden dat</w:t>
      </w:r>
      <w:r w:rsidRPr="009A7138" w:rsidR="009A7138">
        <w:t xml:space="preserve"> </w:t>
      </w:r>
      <w:r>
        <w:t xml:space="preserve">projecten </w:t>
      </w:r>
      <w:r w:rsidRPr="009A7138" w:rsidR="009A7138">
        <w:t>in sommige gevallen niet meer worden opgestart. De urgentie van dit vraagstuk neemt verder toe naarmate 2028 dichterbij komt.</w:t>
      </w:r>
      <w:r>
        <w:t xml:space="preserve"> </w:t>
      </w:r>
    </w:p>
    <w:p w:rsidR="00FE2340" w:rsidP="009336D1" w14:paraId="65F00608" w14:textId="77777777">
      <w:pPr>
        <w:spacing w:line="276" w:lineRule="auto"/>
      </w:pPr>
    </w:p>
    <w:p w:rsidR="00687800" w:rsidP="009336D1" w14:paraId="44243D4B" w14:textId="77777777">
      <w:pPr>
        <w:spacing w:line="276" w:lineRule="auto"/>
      </w:pPr>
      <w:r>
        <w:t>E</w:t>
      </w:r>
      <w:r w:rsidR="00E345F0">
        <w:t xml:space="preserve">en eventuele verlenging </w:t>
      </w:r>
      <w:r>
        <w:t xml:space="preserve">van de nieuwbouwopslag na 1 januari 2028 vereist </w:t>
      </w:r>
      <w:r w:rsidR="00E345F0">
        <w:t xml:space="preserve">wijziging van het </w:t>
      </w:r>
      <w:r w:rsidR="00E345F0">
        <w:t>Bhw</w:t>
      </w:r>
      <w:r>
        <w:rPr>
          <w:rStyle w:val="FootnoteReference"/>
        </w:rPr>
        <w:footnoteReference w:id="31"/>
      </w:r>
      <w:r>
        <w:t>.</w:t>
      </w:r>
      <w:r w:rsidR="00E345F0">
        <w:t xml:space="preserve"> </w:t>
      </w:r>
      <w:r>
        <w:t xml:space="preserve">Daarom </w:t>
      </w:r>
      <w:r w:rsidR="00E345F0">
        <w:t xml:space="preserve">moet </w:t>
      </w:r>
      <w:r>
        <w:t xml:space="preserve">– </w:t>
      </w:r>
      <w:r>
        <w:t>indien</w:t>
      </w:r>
      <w:r>
        <w:t xml:space="preserve"> daartoe noodzaak bestaat -</w:t>
      </w:r>
      <w:r w:rsidR="00E345F0">
        <w:t xml:space="preserve"> conform de oproep van het lid Rietkerk</w:t>
      </w:r>
      <w:r w:rsidR="00801D26">
        <w:t xml:space="preserve"> (CDA)</w:t>
      </w:r>
      <w:r>
        <w:rPr>
          <w:rStyle w:val="FootnoteReference"/>
        </w:rPr>
        <w:footnoteReference w:id="32"/>
      </w:r>
      <w:r w:rsidR="00E336A3">
        <w:t xml:space="preserve"> tijdig een traject gestart worden om tot aanpassing van de regelgeving te komen. </w:t>
      </w:r>
      <w:r w:rsidR="001162D1">
        <w:t>Daarom wordt u</w:t>
      </w:r>
      <w:r w:rsidR="00E336A3">
        <w:t xml:space="preserve"> per 1 januari 2027 </w:t>
      </w:r>
      <w:r w:rsidR="001162D1">
        <w:t>geïnformeerd</w:t>
      </w:r>
      <w:r w:rsidR="00E336A3">
        <w:t xml:space="preserve"> over de toekomst van de nieuwbouwopslag in het WWS. </w:t>
      </w:r>
      <w:r w:rsidR="000E1990">
        <w:t>Daarbij zal gekeken worden naar het dan geldende woningtekort en de ontwikkelingen binnen</w:t>
      </w:r>
      <w:r w:rsidR="00E336A3">
        <w:t xml:space="preserve"> de voorraad </w:t>
      </w:r>
      <w:r w:rsidR="000E1990">
        <w:t>aan</w:t>
      </w:r>
      <w:r w:rsidR="00E336A3">
        <w:t xml:space="preserve"> huurwoningen zoals </w:t>
      </w:r>
      <w:r w:rsidR="000E1990">
        <w:t>die halfjaarlijks aan uw Kamer worden medegedeeld.</w:t>
      </w:r>
    </w:p>
    <w:p w:rsidR="00463ABC" w:rsidP="009336D1" w14:paraId="3D503EA9" w14:textId="77777777">
      <w:pPr>
        <w:spacing w:line="276" w:lineRule="auto"/>
        <w:rPr>
          <w:b/>
          <w:bCs/>
        </w:rPr>
      </w:pPr>
    </w:p>
    <w:p w:rsidRPr="001723F8" w:rsidR="00836F61" w:rsidP="009336D1" w14:paraId="4A80C01F" w14:textId="77777777">
      <w:pPr>
        <w:spacing w:line="276" w:lineRule="auto"/>
      </w:pPr>
      <w:r>
        <w:rPr>
          <w:b/>
          <w:bCs/>
        </w:rPr>
        <w:t>Vervolg</w:t>
      </w:r>
    </w:p>
    <w:p w:rsidR="00C63A7E" w:rsidP="009336D1" w14:paraId="48574039" w14:textId="77777777">
      <w:pPr>
        <w:spacing w:line="276" w:lineRule="auto"/>
      </w:pPr>
      <w:r>
        <w:t xml:space="preserve">Ik blijf de ontwikkelingen op de huurmarkt nauwlettend volgen, met specifieke aandacht voor de effecten van de </w:t>
      </w:r>
      <w:r>
        <w:t>Wbh</w:t>
      </w:r>
      <w:r>
        <w:t xml:space="preserve"> op verhuurders. In het voorjaar van 2026 zal ik uw Kamer opnieuw informeren, dan met de monitoringscijfers over de tweede helft van 2025</w:t>
      </w:r>
      <w:r w:rsidR="00431092">
        <w:t xml:space="preserve"> en eventuele aanvullende onderzoeken en cijfers</w:t>
      </w:r>
      <w:r>
        <w:t xml:space="preserve">. </w:t>
      </w:r>
      <w:r w:rsidRPr="00C63A7E">
        <w:t xml:space="preserve">Naast het monitoren van de data blijf ik in gesprek met </w:t>
      </w:r>
      <w:r>
        <w:t>investeerders</w:t>
      </w:r>
      <w:r w:rsidRPr="00C63A7E">
        <w:t>, inclusief particuliere verhuurders, om een actueel en volledig beeld van de marktontwikkelingen te behouden.</w:t>
      </w:r>
      <w:r>
        <w:t xml:space="preserve"> </w:t>
      </w:r>
      <w:r w:rsidRPr="00C63A7E">
        <w:t xml:space="preserve">Tot de formele evaluatie van de </w:t>
      </w:r>
      <w:r w:rsidRPr="00C63A7E">
        <w:t>Wbh</w:t>
      </w:r>
      <w:r w:rsidRPr="00C63A7E">
        <w:t xml:space="preserve"> in 2027 zal ik deze lijnen blijven volgen en de vinger aan de pols houden.</w:t>
      </w:r>
      <w:r>
        <w:t xml:space="preserve"> </w:t>
      </w:r>
      <w:bookmarkStart w:name="_Hlk213252009" w:id="7"/>
      <w:r w:rsidR="00431092">
        <w:t xml:space="preserve">Tegelijkertijd zal ik waar nodig de signalen uit de invoeringstoets van de </w:t>
      </w:r>
      <w:r w:rsidR="00431092">
        <w:t>Wbh</w:t>
      </w:r>
      <w:r w:rsidR="00431092">
        <w:t xml:space="preserve"> tussentijds al nader onderzoeken, om te zorgen voor een optimale uitvoering en doorwerking van de wet.</w:t>
      </w:r>
      <w:bookmarkEnd w:id="7"/>
    </w:p>
    <w:p w:rsidR="00C63A7E" w:rsidP="009336D1" w14:paraId="5647B82D" w14:textId="77777777">
      <w:pPr>
        <w:spacing w:line="276" w:lineRule="auto"/>
      </w:pPr>
    </w:p>
    <w:p w:rsidR="00C63A7E" w:rsidP="009336D1" w14:paraId="18717EA7" w14:textId="77777777">
      <w:pPr>
        <w:spacing w:line="276" w:lineRule="auto"/>
      </w:pPr>
      <w:r w:rsidRPr="00C63A7E">
        <w:t xml:space="preserve">Voor de vervolgstappen van het </w:t>
      </w:r>
      <w:r w:rsidR="00717DC8">
        <w:t>ontwerpb</w:t>
      </w:r>
      <w:r w:rsidRPr="00C63A7E" w:rsidR="00717DC8">
        <w:t>esluit</w:t>
      </w:r>
      <w:r w:rsidRPr="00C63A7E">
        <w:t xml:space="preserve"> aanpassingen regelgeving verhuurders wacht ik het gesprek met uw Kamer af. Ik wil hierbij nogmaals het belang </w:t>
      </w:r>
      <w:r w:rsidRPr="00C63A7E">
        <w:t>onderstrepen</w:t>
      </w:r>
      <w:r w:rsidRPr="00C63A7E">
        <w:t xml:space="preserve"> van een gezonde (midden)huurmarkt, waarin voldoende ruimte is voor verhuurders om woningen te verhuren en voor huurders om een betaalbare woning te vinden.</w:t>
      </w:r>
    </w:p>
    <w:p w:rsidR="00C63A7E" w:rsidP="009336D1" w14:paraId="55147A26" w14:textId="77777777">
      <w:pPr>
        <w:spacing w:line="276" w:lineRule="auto"/>
      </w:pPr>
    </w:p>
    <w:p w:rsidR="003672A8" w:rsidP="00C63A7E" w14:paraId="0D9EE776" w14:textId="77777777">
      <w:pPr>
        <w:spacing w:line="240" w:lineRule="auto"/>
      </w:pPr>
      <w:r>
        <w:t>Hoogachtend,</w:t>
      </w:r>
    </w:p>
    <w:p w:rsidR="003672A8" w:rsidP="009336D1" w14:paraId="242263AC" w14:textId="77777777">
      <w:pPr>
        <w:spacing w:line="276" w:lineRule="auto"/>
      </w:pPr>
    </w:p>
    <w:p w:rsidR="003672A8" w:rsidP="009336D1" w14:paraId="5656941A" w14:textId="77777777">
      <w:pPr>
        <w:spacing w:line="276" w:lineRule="auto"/>
      </w:pPr>
      <w:r>
        <w:t>De Minister van Volkshuisvesting en Ruimtelijke Ordening</w:t>
      </w:r>
      <w:r>
        <w:rPr>
          <w:i/>
        </w:rPr>
        <w:t>,</w:t>
      </w:r>
    </w:p>
    <w:p w:rsidR="003672A8" w:rsidP="009336D1" w14:paraId="527C8262" w14:textId="77777777">
      <w:pPr>
        <w:spacing w:line="276" w:lineRule="auto"/>
      </w:pPr>
    </w:p>
    <w:p w:rsidR="003672A8" w:rsidP="009336D1" w14:paraId="0DA2DABF" w14:textId="77777777">
      <w:pPr>
        <w:spacing w:line="276" w:lineRule="auto"/>
      </w:pPr>
    </w:p>
    <w:p w:rsidR="003672A8" w:rsidP="009336D1" w14:paraId="3BAE8F81" w14:textId="77777777">
      <w:pPr>
        <w:spacing w:line="276" w:lineRule="auto"/>
      </w:pPr>
    </w:p>
    <w:p w:rsidR="003B0EB2" w:rsidP="009336D1" w14:paraId="32C41198" w14:textId="77777777">
      <w:pPr>
        <w:spacing w:line="276" w:lineRule="auto"/>
      </w:pPr>
    </w:p>
    <w:p w:rsidR="002C445A" w:rsidP="009336D1" w14:paraId="26E3C3DF" w14:textId="77777777">
      <w:pPr>
        <w:spacing w:line="276" w:lineRule="auto"/>
      </w:pPr>
    </w:p>
    <w:p w:rsidR="003672A8" w:rsidP="009336D1" w14:paraId="0ADDF8B7" w14:textId="77777777">
      <w:pPr>
        <w:spacing w:line="276" w:lineRule="auto"/>
      </w:pPr>
      <w:r>
        <w:t>M.C.G. Keijzer</w:t>
      </w:r>
    </w:p>
    <w:sectPr>
      <w:headerReference w:type="default" r:id="rId14"/>
      <w:footerReference w:type="default" r:id="rId15"/>
      <w:headerReference w:type="first" r:id="rId16"/>
      <w:pgSz w:w="11905" w:h="16837"/>
      <w:pgMar w:top="3764" w:right="2777" w:bottom="1076" w:left="1587" w:header="0" w:footer="0" w:gutter="0"/>
      <w:cols w:space="708"/>
      <w:titlePg/>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Aptos">
    <w:charset w:val="00"/>
    <w:family w:val="swiss"/>
    <w:pitch w:val="variable"/>
    <w:sig w:usb0="20000287" w:usb1="00000003" w:usb2="00000000" w:usb3="00000000" w:csb0="0000019F" w:csb1="00000000"/>
  </w:font>
  <w:font w:name="DejaVu Sans">
    <w:altName w:val="Arial"/>
    <w:charset w:val="00"/>
    <w:family w:val="swiss"/>
    <w:pitch w:val="variable"/>
    <w:sig w:usb0="E7000EFF" w:usb1="5200FDFF" w:usb2="0A042021" w:usb3="00000000" w:csb0="000001BF" w:csb1="00000000"/>
  </w:font>
  <w:font w:name="Lohit Hindi">
    <w:altName w:val="Times New Roman"/>
    <w:charset w:val="00"/>
    <w:family w:val="auto"/>
    <w:pitch w:val="default"/>
  </w:font>
  <w:font w:name="KIX Barcode">
    <w:panose1 w:val="020B7200000000000000"/>
    <w:charset w:val="00"/>
    <w:family w:val="swiss"/>
    <w:pitch w:val="variable"/>
    <w:sig w:usb0="8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3672A8" w14:paraId="014806FA" w14:textId="77777777">
    <w:pPr>
      <w:spacing w:after="1077" w:line="14" w:lineRule="exac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0A2F64" w14:paraId="393CB4B2" w14:textId="77777777">
      <w:pPr>
        <w:spacing w:line="240" w:lineRule="auto"/>
      </w:pPr>
      <w:r>
        <w:separator/>
      </w:r>
    </w:p>
  </w:footnote>
  <w:footnote w:type="continuationSeparator" w:id="1">
    <w:p w:rsidR="000A2F64" w14:paraId="64A24063" w14:textId="77777777">
      <w:pPr>
        <w:spacing w:line="240" w:lineRule="auto"/>
      </w:pPr>
      <w:r>
        <w:continuationSeparator/>
      </w:r>
    </w:p>
  </w:footnote>
  <w:footnote w:type="continuationNotice" w:id="2">
    <w:p w:rsidR="000A2F64" w14:paraId="1E1D54E5" w14:textId="77777777">
      <w:pPr>
        <w:spacing w:line="240" w:lineRule="auto"/>
      </w:pPr>
    </w:p>
  </w:footnote>
  <w:footnote w:id="3">
    <w:p w:rsidR="0059667E" w:rsidRPr="005D0390" w:rsidP="002A43E7" w14:paraId="495CF90B" w14:textId="77777777">
      <w:pPr>
        <w:spacing w:line="240" w:lineRule="auto"/>
        <w:rPr>
          <w:color w:val="FF0000"/>
        </w:rPr>
      </w:pPr>
      <w:r>
        <w:rPr>
          <w:rStyle w:val="FootnoteReference"/>
        </w:rPr>
        <w:footnoteRef/>
      </w:r>
      <w:r>
        <w:t xml:space="preserve"> </w:t>
      </w:r>
      <w:r w:rsidRPr="00376C63">
        <w:rPr>
          <w:sz w:val="16"/>
          <w:szCs w:val="16"/>
        </w:rPr>
        <w:t>Conform</w:t>
      </w:r>
      <w:r w:rsidRPr="00376C63">
        <w:rPr>
          <w:sz w:val="16"/>
          <w:szCs w:val="16"/>
        </w:rPr>
        <w:t xml:space="preserve"> mijn toezegging </w:t>
      </w:r>
      <w:r w:rsidRPr="00376C63" w:rsidR="00B80E1B">
        <w:rPr>
          <w:sz w:val="16"/>
          <w:szCs w:val="16"/>
        </w:rPr>
        <w:t>aan de Eerste</w:t>
      </w:r>
      <w:r w:rsidRPr="00376C63">
        <w:rPr>
          <w:sz w:val="16"/>
          <w:szCs w:val="16"/>
        </w:rPr>
        <w:t xml:space="preserve"> </w:t>
      </w:r>
      <w:r w:rsidRPr="00376C63" w:rsidR="0033758C">
        <w:rPr>
          <w:sz w:val="16"/>
          <w:szCs w:val="16"/>
        </w:rPr>
        <w:t xml:space="preserve">en Tweede </w:t>
      </w:r>
      <w:r w:rsidRPr="00376C63">
        <w:rPr>
          <w:sz w:val="16"/>
          <w:szCs w:val="16"/>
        </w:rPr>
        <w:t>Kamer</w:t>
      </w:r>
      <w:r w:rsidRPr="00376C63" w:rsidR="001020D3">
        <w:rPr>
          <w:sz w:val="16"/>
          <w:szCs w:val="16"/>
        </w:rPr>
        <w:t xml:space="preserve"> </w:t>
      </w:r>
      <w:bookmarkStart w:id="0" w:name="_Hlk212116700"/>
      <w:r w:rsidRPr="00376C63" w:rsidR="001020D3">
        <w:rPr>
          <w:sz w:val="16"/>
          <w:szCs w:val="16"/>
        </w:rPr>
        <w:t>om</w:t>
      </w:r>
      <w:r w:rsidRPr="00376C63">
        <w:rPr>
          <w:sz w:val="16"/>
          <w:szCs w:val="16"/>
        </w:rPr>
        <w:t xml:space="preserve"> </w:t>
      </w:r>
      <w:r w:rsidRPr="00376C63" w:rsidR="0033758C">
        <w:rPr>
          <w:sz w:val="16"/>
          <w:szCs w:val="16"/>
        </w:rPr>
        <w:t>halfjaarlijks te informeren over de ontwikkelingen in de huursector</w:t>
      </w:r>
      <w:bookmarkEnd w:id="0"/>
      <w:r w:rsidRPr="00376C63" w:rsidR="005A1F88">
        <w:rPr>
          <w:sz w:val="16"/>
          <w:szCs w:val="16"/>
        </w:rPr>
        <w:t xml:space="preserve"> </w:t>
      </w:r>
      <w:r w:rsidRPr="00376C63" w:rsidR="0033758C">
        <w:rPr>
          <w:sz w:val="16"/>
          <w:szCs w:val="16"/>
        </w:rPr>
        <w:t>(</w:t>
      </w:r>
      <w:r w:rsidRPr="00376C63" w:rsidR="005A1F88">
        <w:rPr>
          <w:sz w:val="16"/>
          <w:szCs w:val="16"/>
        </w:rPr>
        <w:t>Handelingen I 2023-2024, nr. 36 – item 8, p. 10</w:t>
      </w:r>
      <w:r w:rsidRPr="00376C63" w:rsidR="00A752F2">
        <w:rPr>
          <w:sz w:val="16"/>
          <w:szCs w:val="16"/>
        </w:rPr>
        <w:t>)</w:t>
      </w:r>
      <w:r w:rsidRPr="00376C63" w:rsidR="0033758C">
        <w:rPr>
          <w:sz w:val="16"/>
          <w:szCs w:val="16"/>
        </w:rPr>
        <w:t xml:space="preserve"> (Kamerstuk II 2024/25</w:t>
      </w:r>
      <w:r w:rsidRPr="00376C63" w:rsidR="0033758C">
        <w:rPr>
          <w:color w:val="auto"/>
          <w:sz w:val="16"/>
          <w:szCs w:val="16"/>
        </w:rPr>
        <w:t>, </w:t>
      </w:r>
      <w:hyperlink r:id="rId1" w:tooltip="link naar publicatie kst-36496-73" w:history="1">
        <w:r w:rsidRPr="00376C63" w:rsidR="0033758C">
          <w:rPr>
            <w:rStyle w:val="Hyperlink"/>
            <w:color w:val="auto"/>
            <w:sz w:val="16"/>
            <w:szCs w:val="16"/>
            <w:u w:val="none"/>
          </w:rPr>
          <w:t>36 496, nr. 73</w:t>
        </w:r>
      </w:hyperlink>
      <w:r w:rsidRPr="00376C63" w:rsidR="0033758C">
        <w:rPr>
          <w:color w:val="auto"/>
          <w:sz w:val="16"/>
          <w:szCs w:val="16"/>
        </w:rPr>
        <w:t>)</w:t>
      </w:r>
      <w:r w:rsidRPr="00376C63" w:rsidR="00376C63">
        <w:rPr>
          <w:color w:val="auto"/>
          <w:sz w:val="16"/>
          <w:szCs w:val="16"/>
        </w:rPr>
        <w:t>.</w:t>
      </w:r>
    </w:p>
  </w:footnote>
  <w:footnote w:id="4">
    <w:p w:rsidR="00DE3838" w:rsidRPr="00A70DCE" w14:paraId="0ECAF6C9" w14:textId="77777777">
      <w:pPr>
        <w:pStyle w:val="FootnoteText"/>
        <w:rPr>
          <w:sz w:val="18"/>
          <w:szCs w:val="18"/>
        </w:rPr>
      </w:pPr>
      <w:r w:rsidRPr="00A70DCE">
        <w:rPr>
          <w:rStyle w:val="FootnoteReference"/>
          <w:sz w:val="18"/>
          <w:szCs w:val="18"/>
        </w:rPr>
        <w:footnoteRef/>
      </w:r>
      <w:r w:rsidRPr="00A70DCE">
        <w:rPr>
          <w:sz w:val="18"/>
          <w:szCs w:val="18"/>
        </w:rPr>
        <w:t xml:space="preserve"> </w:t>
      </w:r>
      <w:r w:rsidRPr="00376C63" w:rsidR="00B80E1B">
        <w:rPr>
          <w:sz w:val="16"/>
          <w:szCs w:val="16"/>
        </w:rPr>
        <w:t>Kamerstukken II, 2025/26, 36800 IX, nr. 14</w:t>
      </w:r>
      <w:r w:rsidRPr="00376C63" w:rsidR="00376C63">
        <w:rPr>
          <w:sz w:val="16"/>
          <w:szCs w:val="16"/>
        </w:rPr>
        <w:t>.</w:t>
      </w:r>
    </w:p>
  </w:footnote>
  <w:footnote w:id="5">
    <w:p w:rsidR="00954EBB" w:rsidRPr="00A70DCE" w:rsidP="00954EBB" w14:paraId="1B6A440E" w14:textId="77777777">
      <w:pPr>
        <w:pStyle w:val="FootnoteText"/>
        <w:rPr>
          <w:sz w:val="18"/>
          <w:szCs w:val="18"/>
        </w:rPr>
      </w:pPr>
      <w:r w:rsidRPr="00A70DCE">
        <w:rPr>
          <w:rStyle w:val="FootnoteReference"/>
          <w:sz w:val="18"/>
          <w:szCs w:val="18"/>
        </w:rPr>
        <w:footnoteRef/>
      </w:r>
      <w:r w:rsidRPr="00A70DCE">
        <w:rPr>
          <w:sz w:val="18"/>
          <w:szCs w:val="18"/>
        </w:rPr>
        <w:t xml:space="preserve"> </w:t>
      </w:r>
      <w:r w:rsidRPr="0043394E" w:rsidR="0043394E">
        <w:rPr>
          <w:sz w:val="18"/>
          <w:szCs w:val="18"/>
        </w:rPr>
        <w:t>K</w:t>
      </w:r>
      <w:r w:rsidRPr="00376C63" w:rsidR="0043394E">
        <w:rPr>
          <w:sz w:val="16"/>
          <w:szCs w:val="16"/>
        </w:rPr>
        <w:t>amerstukken II,</w:t>
      </w:r>
      <w:r w:rsidR="00376C63">
        <w:rPr>
          <w:sz w:val="16"/>
          <w:szCs w:val="16"/>
        </w:rPr>
        <w:t xml:space="preserve"> 2024/25,</w:t>
      </w:r>
      <w:r w:rsidRPr="00376C63" w:rsidR="0043394E">
        <w:rPr>
          <w:sz w:val="16"/>
          <w:szCs w:val="16"/>
        </w:rPr>
        <w:t xml:space="preserve"> 36 496, nr. 64</w:t>
      </w:r>
      <w:r w:rsidRPr="00376C63" w:rsidR="00376C63">
        <w:rPr>
          <w:sz w:val="16"/>
          <w:szCs w:val="16"/>
        </w:rPr>
        <w:t>.</w:t>
      </w:r>
    </w:p>
  </w:footnote>
  <w:footnote w:id="6">
    <w:p w:rsidR="00DE3838" w:rsidRPr="00A70DCE" w14:paraId="56C1880E" w14:textId="77777777">
      <w:pPr>
        <w:pStyle w:val="FootnoteText"/>
        <w:rPr>
          <w:sz w:val="18"/>
          <w:szCs w:val="18"/>
        </w:rPr>
      </w:pPr>
      <w:r w:rsidRPr="00A70DCE">
        <w:rPr>
          <w:rStyle w:val="FootnoteReference"/>
          <w:sz w:val="18"/>
          <w:szCs w:val="18"/>
        </w:rPr>
        <w:footnoteRef/>
      </w:r>
      <w:r w:rsidRPr="00A70DCE">
        <w:rPr>
          <w:sz w:val="18"/>
          <w:szCs w:val="18"/>
        </w:rPr>
        <w:t xml:space="preserve"> </w:t>
      </w:r>
      <w:bookmarkStart w:id="2" w:name="_Hlk212107695"/>
      <w:r w:rsidRPr="00376C63" w:rsidR="007B295D">
        <w:rPr>
          <w:sz w:val="16"/>
          <w:szCs w:val="16"/>
        </w:rPr>
        <w:t>Handelingen I</w:t>
      </w:r>
      <w:r w:rsidR="00BE0991">
        <w:rPr>
          <w:sz w:val="16"/>
          <w:szCs w:val="16"/>
        </w:rPr>
        <w:t xml:space="preserve">, </w:t>
      </w:r>
      <w:r w:rsidRPr="00376C63" w:rsidR="007B295D">
        <w:rPr>
          <w:sz w:val="16"/>
          <w:szCs w:val="16"/>
        </w:rPr>
        <w:t>2023</w:t>
      </w:r>
      <w:r w:rsidR="00376C63">
        <w:rPr>
          <w:sz w:val="16"/>
          <w:szCs w:val="16"/>
        </w:rPr>
        <w:t>/</w:t>
      </w:r>
      <w:r w:rsidRPr="00376C63" w:rsidR="007B295D">
        <w:rPr>
          <w:sz w:val="16"/>
          <w:szCs w:val="16"/>
        </w:rPr>
        <w:t>24, nr. 36 – item 8, p. 33</w:t>
      </w:r>
      <w:bookmarkEnd w:id="2"/>
      <w:r w:rsidRPr="00376C63" w:rsidR="007B295D">
        <w:rPr>
          <w:sz w:val="16"/>
          <w:szCs w:val="16"/>
        </w:rPr>
        <w:t>.</w:t>
      </w:r>
    </w:p>
  </w:footnote>
  <w:footnote w:id="7">
    <w:p w:rsidR="0059667E" w14:paraId="598D590D" w14:textId="77777777">
      <w:pPr>
        <w:pStyle w:val="FootnoteText"/>
      </w:pPr>
      <w:r w:rsidRPr="00A70DCE">
        <w:rPr>
          <w:rStyle w:val="FootnoteReference"/>
          <w:sz w:val="18"/>
          <w:szCs w:val="18"/>
        </w:rPr>
        <w:footnoteRef/>
      </w:r>
      <w:r w:rsidRPr="00A70DCE">
        <w:rPr>
          <w:sz w:val="18"/>
          <w:szCs w:val="18"/>
        </w:rPr>
        <w:t xml:space="preserve"> </w:t>
      </w:r>
      <w:r w:rsidRPr="00376C63" w:rsidR="0046706B">
        <w:rPr>
          <w:sz w:val="16"/>
          <w:szCs w:val="16"/>
        </w:rPr>
        <w:t xml:space="preserve">Kamerstukken II, </w:t>
      </w:r>
      <w:r w:rsidRPr="00376C63" w:rsidR="00376C63">
        <w:rPr>
          <w:sz w:val="16"/>
          <w:szCs w:val="16"/>
        </w:rPr>
        <w:t xml:space="preserve">2024/25, </w:t>
      </w:r>
      <w:r w:rsidRPr="00376C63" w:rsidR="0046706B">
        <w:rPr>
          <w:sz w:val="16"/>
          <w:szCs w:val="16"/>
        </w:rPr>
        <w:t>36 496, nr. 74</w:t>
      </w:r>
      <w:r w:rsidRPr="00376C63" w:rsidR="00376C63">
        <w:rPr>
          <w:sz w:val="16"/>
          <w:szCs w:val="16"/>
        </w:rPr>
        <w:t>.</w:t>
      </w:r>
    </w:p>
  </w:footnote>
  <w:footnote w:id="8">
    <w:p w:rsidR="0002223E" w:rsidRPr="000D2A8C" w14:paraId="1E9E2B01" w14:textId="77777777">
      <w:pPr>
        <w:pStyle w:val="FootnoteText"/>
        <w:rPr>
          <w:sz w:val="16"/>
          <w:szCs w:val="16"/>
        </w:rPr>
      </w:pPr>
      <w:r>
        <w:rPr>
          <w:rStyle w:val="FootnoteReference"/>
        </w:rPr>
        <w:footnoteRef/>
      </w:r>
      <w:r>
        <w:t xml:space="preserve"> </w:t>
      </w:r>
      <w:r>
        <w:rPr>
          <w:sz w:val="16"/>
          <w:szCs w:val="16"/>
        </w:rPr>
        <w:t>Dit becijferde NRC op basis van data van huurplatform Rent.nl</w:t>
      </w:r>
      <w:r w:rsidR="00DA4E8B">
        <w:rPr>
          <w:sz w:val="16"/>
          <w:szCs w:val="16"/>
        </w:rPr>
        <w:t xml:space="preserve"> (</w:t>
      </w:r>
      <w:r w:rsidR="004801D2">
        <w:rPr>
          <w:sz w:val="16"/>
          <w:szCs w:val="16"/>
        </w:rPr>
        <w:t>‘</w:t>
      </w:r>
      <w:r w:rsidRPr="00DA4E8B" w:rsidR="00DA4E8B">
        <w:rPr>
          <w:sz w:val="16"/>
          <w:szCs w:val="16"/>
        </w:rPr>
        <w:t>Aanbod studentenkamers in vrije sector daalt met tientallen procenten</w:t>
      </w:r>
      <w:r w:rsidR="004801D2">
        <w:rPr>
          <w:sz w:val="16"/>
          <w:szCs w:val="16"/>
        </w:rPr>
        <w:t>’</w:t>
      </w:r>
      <w:r w:rsidR="00DA4E8B">
        <w:rPr>
          <w:sz w:val="16"/>
          <w:szCs w:val="16"/>
        </w:rPr>
        <w:t>, NRC, 2 november 2025).</w:t>
      </w:r>
    </w:p>
  </w:footnote>
  <w:footnote w:id="9">
    <w:p w:rsidR="00DA4E8B" w14:paraId="34E492B1" w14:textId="77777777">
      <w:pPr>
        <w:pStyle w:val="FootnoteText"/>
      </w:pPr>
      <w:r>
        <w:rPr>
          <w:rStyle w:val="FootnoteReference"/>
        </w:rPr>
        <w:footnoteRef/>
      </w:r>
      <w:r>
        <w:t xml:space="preserve"> </w:t>
      </w:r>
      <w:r w:rsidRPr="000D2A8C">
        <w:rPr>
          <w:sz w:val="16"/>
          <w:szCs w:val="16"/>
        </w:rPr>
        <w:t>Pararius</w:t>
      </w:r>
      <w:r w:rsidRPr="000D2A8C">
        <w:rPr>
          <w:sz w:val="16"/>
          <w:szCs w:val="16"/>
        </w:rPr>
        <w:t xml:space="preserve"> Huurmonitor Q3 2025.</w:t>
      </w:r>
    </w:p>
  </w:footnote>
  <w:footnote w:id="10">
    <w:p w:rsidR="007C1795" w14:paraId="3FDC5529" w14:textId="77777777">
      <w:pPr>
        <w:pStyle w:val="FootnoteText"/>
      </w:pPr>
      <w:r w:rsidRPr="000D2A8C">
        <w:rPr>
          <w:rStyle w:val="FootnoteReference"/>
          <w:sz w:val="16"/>
          <w:szCs w:val="16"/>
        </w:rPr>
        <w:footnoteRef/>
      </w:r>
      <w:r w:rsidRPr="000D2A8C">
        <w:rPr>
          <w:sz w:val="16"/>
          <w:szCs w:val="16"/>
        </w:rPr>
        <w:t xml:space="preserve"> </w:t>
      </w:r>
      <w:r w:rsidR="00A906E8">
        <w:rPr>
          <w:sz w:val="16"/>
          <w:szCs w:val="16"/>
        </w:rPr>
        <w:t xml:space="preserve">ABF Research heeft in opdracht van </w:t>
      </w:r>
      <w:r w:rsidR="00A906E8">
        <w:rPr>
          <w:sz w:val="16"/>
          <w:szCs w:val="16"/>
        </w:rPr>
        <w:t>Kences</w:t>
      </w:r>
      <w:r w:rsidR="00A906E8">
        <w:rPr>
          <w:sz w:val="16"/>
          <w:szCs w:val="16"/>
        </w:rPr>
        <w:t xml:space="preserve">, de vereniging voor sociale </w:t>
      </w:r>
      <w:r w:rsidR="00A906E8">
        <w:rPr>
          <w:sz w:val="16"/>
          <w:szCs w:val="16"/>
        </w:rPr>
        <w:t>studentenhuisvesters</w:t>
      </w:r>
      <w:r w:rsidR="00A906E8">
        <w:rPr>
          <w:sz w:val="16"/>
          <w:szCs w:val="16"/>
        </w:rPr>
        <w:t xml:space="preserve">, en het Ministerie van Volkshuisvesting en Ruimtelijke Ordening een analyse uitgevoerd naar de verkopen door particuliere verhuurders van studentenwoningen: </w:t>
      </w:r>
      <w:r w:rsidR="000846A1">
        <w:rPr>
          <w:sz w:val="16"/>
          <w:szCs w:val="16"/>
        </w:rPr>
        <w:t>‘</w:t>
      </w:r>
      <w:hyperlink r:id="rId2" w:history="1">
        <w:r w:rsidRPr="000D2A8C">
          <w:rPr>
            <w:rStyle w:val="Hyperlink"/>
            <w:sz w:val="16"/>
            <w:szCs w:val="16"/>
          </w:rPr>
          <w:t>Steeds minder studentenkamers in de grote steden</w:t>
        </w:r>
        <w:r w:rsidR="000846A1">
          <w:rPr>
            <w:rStyle w:val="Hyperlink"/>
            <w:sz w:val="16"/>
            <w:szCs w:val="16"/>
          </w:rPr>
          <w:t>’,</w:t>
        </w:r>
        <w:r w:rsidRPr="000D2A8C">
          <w:rPr>
            <w:rStyle w:val="Hyperlink"/>
            <w:sz w:val="16"/>
            <w:szCs w:val="16"/>
          </w:rPr>
          <w:t xml:space="preserve"> </w:t>
        </w:r>
        <w:r w:rsidRPr="000D2A8C">
          <w:rPr>
            <w:rStyle w:val="Hyperlink"/>
            <w:sz w:val="16"/>
            <w:szCs w:val="16"/>
          </w:rPr>
          <w:t>Kences</w:t>
        </w:r>
      </w:hyperlink>
      <w:r>
        <w:rPr>
          <w:sz w:val="16"/>
          <w:szCs w:val="16"/>
        </w:rPr>
        <w:t>, 3 november 2025.</w:t>
      </w:r>
    </w:p>
  </w:footnote>
  <w:footnote w:id="11">
    <w:p w:rsidR="00DB752E" w:rsidRPr="00A220B3" w:rsidP="00DB752E" w14:paraId="02BBDCF7" w14:textId="77777777">
      <w:pPr>
        <w:pStyle w:val="FootnoteText"/>
        <w:rPr>
          <w:sz w:val="16"/>
          <w:szCs w:val="16"/>
        </w:rPr>
      </w:pPr>
      <w:r>
        <w:rPr>
          <w:rStyle w:val="FootnoteReference"/>
        </w:rPr>
        <w:footnoteRef/>
      </w:r>
      <w:r>
        <w:t xml:space="preserve"> </w:t>
      </w:r>
      <w:r w:rsidRPr="00A220B3">
        <w:rPr>
          <w:sz w:val="16"/>
          <w:szCs w:val="16"/>
        </w:rPr>
        <w:t>Dit betreft wijzigingen aan het Besluit</w:t>
      </w:r>
      <w:r w:rsidRPr="00A220B3" w:rsidR="00D14A31">
        <w:rPr>
          <w:sz w:val="16"/>
          <w:szCs w:val="16"/>
        </w:rPr>
        <w:t xml:space="preserve"> </w:t>
      </w:r>
      <w:r w:rsidRPr="00A220B3">
        <w:rPr>
          <w:sz w:val="16"/>
          <w:szCs w:val="16"/>
        </w:rPr>
        <w:t>huurprijzen woonruimte</w:t>
      </w:r>
      <w:r w:rsidR="00A05C90">
        <w:rPr>
          <w:sz w:val="16"/>
          <w:szCs w:val="16"/>
        </w:rPr>
        <w:t>, het Besluit kwaliteit leefomgeving</w:t>
      </w:r>
      <w:r w:rsidRPr="00A220B3">
        <w:rPr>
          <w:sz w:val="16"/>
          <w:szCs w:val="16"/>
        </w:rPr>
        <w:t xml:space="preserve"> en het Besluit specifieke groepen tijdelijke huurovereenkomst</w:t>
      </w:r>
      <w:r w:rsidRPr="00A220B3" w:rsidR="00425631">
        <w:rPr>
          <w:sz w:val="16"/>
          <w:szCs w:val="16"/>
        </w:rPr>
        <w:t xml:space="preserve"> (Kamerstukken II,</w:t>
      </w:r>
      <w:r w:rsidRPr="00A220B3" w:rsidR="00A220B3">
        <w:rPr>
          <w:sz w:val="16"/>
          <w:szCs w:val="16"/>
        </w:rPr>
        <w:t xml:space="preserve"> 2025/26, 27 926, nr. 402).</w:t>
      </w:r>
    </w:p>
  </w:footnote>
  <w:footnote w:id="12">
    <w:p w:rsidR="005A1F88" w14:paraId="7C18A5C0" w14:textId="77777777">
      <w:pPr>
        <w:pStyle w:val="FootnoteText"/>
      </w:pPr>
      <w:r>
        <w:rPr>
          <w:rStyle w:val="FootnoteReference"/>
        </w:rPr>
        <w:footnoteRef/>
      </w:r>
      <w:r>
        <w:t xml:space="preserve"> </w:t>
      </w:r>
      <w:r w:rsidRPr="00425631">
        <w:rPr>
          <w:sz w:val="16"/>
          <w:szCs w:val="16"/>
        </w:rPr>
        <w:t>Kamerstukken II, 2025/26, 27926, nr. 403</w:t>
      </w:r>
      <w:r w:rsidRPr="00425631" w:rsidR="00425631">
        <w:rPr>
          <w:sz w:val="16"/>
          <w:szCs w:val="16"/>
        </w:rPr>
        <w:t>.</w:t>
      </w:r>
    </w:p>
  </w:footnote>
  <w:footnote w:id="13">
    <w:p w:rsidR="00D17ECD" w14:paraId="589BB588" w14:textId="77777777">
      <w:pPr>
        <w:pStyle w:val="FootnoteText"/>
      </w:pPr>
      <w:r>
        <w:rPr>
          <w:rStyle w:val="FootnoteReference"/>
        </w:rPr>
        <w:footnoteRef/>
      </w:r>
      <w:r>
        <w:t xml:space="preserve"> </w:t>
      </w:r>
      <w:r w:rsidRPr="00425631">
        <w:rPr>
          <w:sz w:val="16"/>
          <w:szCs w:val="16"/>
        </w:rPr>
        <w:t>Artikel 7:271, lid 9 Burgerlijk Wetboek.</w:t>
      </w:r>
    </w:p>
  </w:footnote>
  <w:footnote w:id="14">
    <w:p w:rsidR="4E38BDC3" w:rsidRPr="00DC19D6" w:rsidP="00182460" w14:paraId="688FF9D8" w14:textId="77777777">
      <w:pPr>
        <w:spacing w:line="240" w:lineRule="auto"/>
        <w:rPr>
          <w:rFonts w:eastAsia="Verdana" w:cs="Verdana"/>
          <w:sz w:val="16"/>
          <w:szCs w:val="16"/>
        </w:rPr>
      </w:pPr>
      <w:r w:rsidRPr="4E38BDC3">
        <w:rPr>
          <w:rStyle w:val="FootnoteReference"/>
        </w:rPr>
        <w:footnoteRef/>
      </w:r>
      <w:r w:rsidRPr="4E38BDC3">
        <w:rPr>
          <w:sz w:val="16"/>
          <w:szCs w:val="16"/>
        </w:rPr>
        <w:t xml:space="preserve"> </w:t>
      </w:r>
      <w:r w:rsidRPr="4E38BDC3">
        <w:rPr>
          <w:rFonts w:eastAsia="Verdana" w:cs="Verdana"/>
          <w:sz w:val="16"/>
          <w:szCs w:val="16"/>
        </w:rPr>
        <w:t xml:space="preserve">CBS: Krimp private huursector in 2024 door minder verhuur door particulieren, </w:t>
      </w:r>
      <w:hyperlink r:id="rId3">
        <w:r w:rsidRPr="4E38BDC3">
          <w:rPr>
            <w:rStyle w:val="Hyperlink"/>
            <w:rFonts w:eastAsia="Verdana" w:cs="Verdana"/>
            <w:sz w:val="16"/>
            <w:szCs w:val="16"/>
          </w:rPr>
          <w:t>https://www.cbs.nl/nl-nl/nieuws/2025/41/krimp-private-huursector-in-2024-door-minder-verhuur-door-particulieren</w:t>
        </w:r>
      </w:hyperlink>
      <w:r w:rsidRPr="4E38BDC3">
        <w:rPr>
          <w:rFonts w:eastAsia="Verdana" w:cs="Verdana"/>
          <w:sz w:val="16"/>
          <w:szCs w:val="16"/>
        </w:rPr>
        <w:t>.</w:t>
      </w:r>
    </w:p>
  </w:footnote>
  <w:footnote w:id="15">
    <w:p w:rsidR="580B6C96" w:rsidP="00182460" w14:paraId="7670D2B2" w14:textId="77777777">
      <w:pPr>
        <w:spacing w:line="240" w:lineRule="auto"/>
      </w:pPr>
      <w:r w:rsidRPr="580B6C96">
        <w:rPr>
          <w:rStyle w:val="FootnoteReference"/>
        </w:rPr>
        <w:footnoteRef/>
      </w:r>
      <w:r>
        <w:t xml:space="preserve"> </w:t>
      </w:r>
      <w:r w:rsidRPr="00ED1E8B" w:rsidR="00D23B81">
        <w:rPr>
          <w:sz w:val="16"/>
          <w:szCs w:val="16"/>
        </w:rPr>
        <w:t xml:space="preserve">In opdracht van VRO hebben Korevaar en Van Dijk (Instituut voor Publieke Economie) onderzoek gedaan naar het WWS en de private huurmarkt. </w:t>
      </w:r>
      <w:r w:rsidRPr="00D23B81" w:rsidR="00D23B81">
        <w:rPr>
          <w:sz w:val="16"/>
          <w:szCs w:val="16"/>
        </w:rPr>
        <w:t>Het Kadaster heeft o</w:t>
      </w:r>
      <w:r w:rsidRPr="00ED1E8B" w:rsidR="00D23B81">
        <w:rPr>
          <w:sz w:val="16"/>
          <w:szCs w:val="16"/>
        </w:rPr>
        <w:t xml:space="preserve">p basis van hun modelcoëfficiënten en </w:t>
      </w:r>
      <w:r w:rsidRPr="00D23B81" w:rsidR="00D23B81">
        <w:rPr>
          <w:sz w:val="16"/>
          <w:szCs w:val="16"/>
        </w:rPr>
        <w:t xml:space="preserve">de eigen </w:t>
      </w:r>
      <w:r w:rsidRPr="00ED1E8B" w:rsidR="00D23B81">
        <w:rPr>
          <w:sz w:val="16"/>
          <w:szCs w:val="16"/>
        </w:rPr>
        <w:t>woningkenmerken een schatting gemaakt van de WWS-huur in 2025 per woning. Dit betreft een indicatie; de waarden wijken iets af tussen corporaties en private beleggers en zijn waarschijnlijk licht onderschat.</w:t>
      </w:r>
    </w:p>
  </w:footnote>
  <w:footnote w:id="16">
    <w:p w:rsidR="4E38BDC3" w:rsidP="002C7FD7" w14:paraId="614FE0D6" w14:textId="77777777">
      <w:pPr>
        <w:spacing w:line="240" w:lineRule="auto"/>
      </w:pPr>
      <w:r w:rsidRPr="4E38BDC3">
        <w:rPr>
          <w:rStyle w:val="FootnoteReference"/>
        </w:rPr>
        <w:footnoteRef/>
      </w:r>
      <w:r>
        <w:t xml:space="preserve"> </w:t>
      </w:r>
      <w:r w:rsidRPr="4E38BDC3">
        <w:rPr>
          <w:rFonts w:eastAsia="Verdana" w:cs="Verdana"/>
          <w:sz w:val="16"/>
          <w:szCs w:val="16"/>
        </w:rPr>
        <w:t>Sinds 2023 verkopen zowel bedrijfsmatige als particuliere investeerders meer woningen aan eigenaar-bewoners dan ze van hen kopen.</w:t>
      </w:r>
    </w:p>
  </w:footnote>
  <w:footnote w:id="17">
    <w:p w:rsidR="00C00919" w:rsidP="00311386" w14:paraId="50715A6B" w14:textId="77777777">
      <w:pPr>
        <w:spacing w:line="240" w:lineRule="auto"/>
      </w:pPr>
      <w:r w:rsidRPr="1A14BD07">
        <w:rPr>
          <w:rStyle w:val="FootnoteReference"/>
        </w:rPr>
        <w:footnoteRef/>
      </w:r>
      <w:r>
        <w:t xml:space="preserve"> </w:t>
      </w:r>
      <w:r w:rsidRPr="00630085">
        <w:rPr>
          <w:sz w:val="16"/>
          <w:szCs w:val="16"/>
        </w:rPr>
        <w:t xml:space="preserve">Toezegging aan het lid Rietkerk (CDA) over het uitvoeren van een invoeringstoets één jaar na inwerkingtreding van de </w:t>
      </w:r>
      <w:r w:rsidRPr="00630085">
        <w:rPr>
          <w:sz w:val="16"/>
          <w:szCs w:val="16"/>
        </w:rPr>
        <w:t>Wbh</w:t>
      </w:r>
      <w:r w:rsidR="000C1412">
        <w:rPr>
          <w:sz w:val="16"/>
          <w:szCs w:val="16"/>
        </w:rPr>
        <w:t xml:space="preserve"> (</w:t>
      </w:r>
      <w:r w:rsidRPr="00376C63" w:rsidR="000C1412">
        <w:rPr>
          <w:sz w:val="16"/>
          <w:szCs w:val="16"/>
        </w:rPr>
        <w:t>Handelingen I</w:t>
      </w:r>
      <w:r w:rsidR="000C1412">
        <w:rPr>
          <w:sz w:val="16"/>
          <w:szCs w:val="16"/>
        </w:rPr>
        <w:t xml:space="preserve">, </w:t>
      </w:r>
      <w:r w:rsidRPr="00376C63" w:rsidR="000C1412">
        <w:rPr>
          <w:sz w:val="16"/>
          <w:szCs w:val="16"/>
        </w:rPr>
        <w:t>2023</w:t>
      </w:r>
      <w:r w:rsidR="000C1412">
        <w:rPr>
          <w:sz w:val="16"/>
          <w:szCs w:val="16"/>
        </w:rPr>
        <w:t>/</w:t>
      </w:r>
      <w:r w:rsidRPr="00376C63" w:rsidR="000C1412">
        <w:rPr>
          <w:sz w:val="16"/>
          <w:szCs w:val="16"/>
        </w:rPr>
        <w:t>24, nr. 36 – item 8, p. 33</w:t>
      </w:r>
      <w:r w:rsidR="000C1412">
        <w:rPr>
          <w:sz w:val="16"/>
          <w:szCs w:val="16"/>
        </w:rPr>
        <w:t>).</w:t>
      </w:r>
    </w:p>
  </w:footnote>
  <w:footnote w:id="18">
    <w:p w:rsidR="005D4D5E" w14:paraId="27A68B32" w14:textId="77777777">
      <w:pPr>
        <w:pStyle w:val="FootnoteText"/>
      </w:pPr>
      <w:r w:rsidRPr="002725BD">
        <w:rPr>
          <w:rStyle w:val="FootnoteReference"/>
          <w:sz w:val="16"/>
          <w:szCs w:val="16"/>
        </w:rPr>
        <w:footnoteRef/>
      </w:r>
      <w:r>
        <w:t xml:space="preserve"> </w:t>
      </w:r>
      <w:r w:rsidRPr="00C03D07">
        <w:rPr>
          <w:sz w:val="16"/>
          <w:szCs w:val="16"/>
        </w:rPr>
        <w:t>Kamerstukken II, 36 496, nr. 64.</w:t>
      </w:r>
    </w:p>
  </w:footnote>
  <w:footnote w:id="19">
    <w:p w:rsidR="00D83DB9" w:rsidRPr="00D83DB9" w:rsidP="00747BB2" w14:paraId="3B36CC37" w14:textId="77777777">
      <w:pPr>
        <w:pStyle w:val="FootnoteText"/>
        <w:rPr>
          <w:sz w:val="16"/>
          <w:szCs w:val="16"/>
        </w:rPr>
      </w:pPr>
      <w:r w:rsidRPr="00DB648A">
        <w:rPr>
          <w:rStyle w:val="FootnoteReference"/>
          <w:sz w:val="16"/>
          <w:szCs w:val="16"/>
        </w:rPr>
        <w:footnoteRef/>
      </w:r>
      <w:r w:rsidRPr="00DB648A">
        <w:rPr>
          <w:sz w:val="16"/>
          <w:szCs w:val="16"/>
        </w:rPr>
        <w:t xml:space="preserve"> </w:t>
      </w:r>
      <w:r w:rsidR="00F25E3C">
        <w:rPr>
          <w:sz w:val="16"/>
          <w:szCs w:val="16"/>
        </w:rPr>
        <w:t xml:space="preserve">Op basis van het </w:t>
      </w:r>
      <w:r w:rsidR="005B5177">
        <w:rPr>
          <w:sz w:val="16"/>
          <w:szCs w:val="16"/>
        </w:rPr>
        <w:t xml:space="preserve">huidige </w:t>
      </w:r>
      <w:r w:rsidR="00F25E3C">
        <w:rPr>
          <w:sz w:val="16"/>
          <w:szCs w:val="16"/>
        </w:rPr>
        <w:t>WWS geld</w:t>
      </w:r>
      <w:r w:rsidR="00C63B16">
        <w:rPr>
          <w:sz w:val="16"/>
          <w:szCs w:val="16"/>
        </w:rPr>
        <w:t>t</w:t>
      </w:r>
      <w:r w:rsidR="0015551D">
        <w:rPr>
          <w:sz w:val="16"/>
          <w:szCs w:val="16"/>
        </w:rPr>
        <w:t xml:space="preserve"> een prijsopslag </w:t>
      </w:r>
      <w:r w:rsidR="005B5177">
        <w:rPr>
          <w:sz w:val="16"/>
          <w:szCs w:val="16"/>
        </w:rPr>
        <w:t xml:space="preserve">bij nieuwbouw en voor monumenten en beschermde </w:t>
      </w:r>
      <w:r w:rsidR="005729D8">
        <w:rPr>
          <w:sz w:val="16"/>
          <w:szCs w:val="16"/>
        </w:rPr>
        <w:t>dorps- en stadsgezichten.</w:t>
      </w:r>
    </w:p>
  </w:footnote>
  <w:footnote w:id="20">
    <w:p w:rsidR="00AC00FB" w14:paraId="404525A9" w14:textId="77777777">
      <w:pPr>
        <w:pStyle w:val="FootnoteText"/>
      </w:pPr>
      <w:r w:rsidRPr="00AC00FB">
        <w:rPr>
          <w:rStyle w:val="FootnoteReference"/>
          <w:sz w:val="16"/>
          <w:szCs w:val="16"/>
        </w:rPr>
        <w:footnoteRef/>
      </w:r>
      <w:r w:rsidRPr="00AC00FB">
        <w:rPr>
          <w:sz w:val="16"/>
          <w:szCs w:val="16"/>
        </w:rPr>
        <w:t xml:space="preserve"> Jaarmutatie CPI, </w:t>
      </w:r>
      <w:hyperlink r:id="rId4" w:anchor="/CBS/nl/dataset/70936ned/table" w:history="1">
        <w:r w:rsidRPr="00AC00FB">
          <w:rPr>
            <w:rStyle w:val="Hyperlink"/>
            <w:sz w:val="16"/>
            <w:szCs w:val="16"/>
          </w:rPr>
          <w:t>StatLine</w:t>
        </w:r>
        <w:r w:rsidRPr="00AC00FB">
          <w:rPr>
            <w:rStyle w:val="Hyperlink"/>
            <w:sz w:val="16"/>
            <w:szCs w:val="16"/>
          </w:rPr>
          <w:t xml:space="preserve"> - Jaarmutatie consumentenprijsindex; vanaf 1963</w:t>
        </w:r>
      </w:hyperlink>
    </w:p>
  </w:footnote>
  <w:footnote w:id="21">
    <w:p w:rsidR="005C1A03" w:rsidP="005C1A03" w14:paraId="37C28968" w14:textId="77777777">
      <w:pPr>
        <w:pStyle w:val="FootnoteText"/>
      </w:pPr>
      <w:r w:rsidRPr="00DB648A">
        <w:rPr>
          <w:rStyle w:val="FootnoteReference"/>
          <w:sz w:val="16"/>
          <w:szCs w:val="16"/>
        </w:rPr>
        <w:footnoteRef/>
      </w:r>
      <w:r w:rsidRPr="00DB648A">
        <w:rPr>
          <w:sz w:val="16"/>
          <w:szCs w:val="16"/>
        </w:rPr>
        <w:t xml:space="preserve"> </w:t>
      </w:r>
      <w:r>
        <w:rPr>
          <w:sz w:val="16"/>
          <w:szCs w:val="16"/>
        </w:rPr>
        <w:t>Kamerstukken II, 2025/26, 27 926, nr. 405</w:t>
      </w:r>
    </w:p>
  </w:footnote>
  <w:footnote w:id="22">
    <w:p w:rsidR="0094721B" w:rsidP="0094721B" w14:paraId="3D1E196C" w14:textId="77777777">
      <w:pPr>
        <w:pStyle w:val="FootnoteText"/>
      </w:pPr>
      <w:r w:rsidRPr="006336A7">
        <w:rPr>
          <w:rStyle w:val="FootnoteReference"/>
          <w:sz w:val="16"/>
          <w:szCs w:val="16"/>
        </w:rPr>
        <w:footnoteRef/>
      </w:r>
      <w:r w:rsidRPr="006336A7">
        <w:rPr>
          <w:sz w:val="16"/>
          <w:szCs w:val="16"/>
        </w:rPr>
        <w:t xml:space="preserve"> Zoals beschreven in de openbare consultatiereactie van IVBN op het ontwerpbesluit aanpassingen regelgeving verhuur, 25 augustus 2025.</w:t>
      </w:r>
    </w:p>
  </w:footnote>
  <w:footnote w:id="23">
    <w:p w:rsidR="008606CD" w14:paraId="46C21861" w14:textId="77777777">
      <w:pPr>
        <w:pStyle w:val="FootnoteText"/>
      </w:pPr>
      <w:r w:rsidRPr="008606CD">
        <w:rPr>
          <w:rStyle w:val="FootnoteReference"/>
          <w:sz w:val="16"/>
          <w:szCs w:val="16"/>
        </w:rPr>
        <w:footnoteRef/>
      </w:r>
      <w:r w:rsidRPr="008606CD">
        <w:rPr>
          <w:sz w:val="16"/>
          <w:szCs w:val="16"/>
        </w:rPr>
        <w:t xml:space="preserve"> Prijsindex bestaande koopwoningen, ontwikkelingen per jaar</w:t>
      </w:r>
      <w:r w:rsidR="00AC00FB">
        <w:rPr>
          <w:sz w:val="16"/>
          <w:szCs w:val="16"/>
        </w:rPr>
        <w:t>.</w:t>
      </w:r>
      <w:r w:rsidRPr="008606CD">
        <w:rPr>
          <w:sz w:val="16"/>
          <w:szCs w:val="16"/>
        </w:rPr>
        <w:t xml:space="preserve"> </w:t>
      </w:r>
      <w:hyperlink r:id="rId4" w:anchor="/CBS/nl/dataset/85773NED/table?ts=1762868335865" w:history="1">
        <w:r w:rsidRPr="008606CD">
          <w:rPr>
            <w:rStyle w:val="Hyperlink"/>
            <w:sz w:val="16"/>
            <w:szCs w:val="16"/>
          </w:rPr>
          <w:t>StatLine</w:t>
        </w:r>
        <w:r w:rsidRPr="008606CD">
          <w:rPr>
            <w:rStyle w:val="Hyperlink"/>
            <w:sz w:val="16"/>
            <w:szCs w:val="16"/>
          </w:rPr>
          <w:t xml:space="preserve"> - Bestaande koopwoningen; verkoopprijzen prijsindex 2020=100</w:t>
        </w:r>
      </w:hyperlink>
    </w:p>
  </w:footnote>
  <w:footnote w:id="24">
    <w:p w:rsidR="00FE01D8" w14:paraId="1F2E1A68" w14:textId="77777777">
      <w:pPr>
        <w:pStyle w:val="FootnoteText"/>
      </w:pPr>
      <w:r w:rsidRPr="00F4760F">
        <w:rPr>
          <w:rStyle w:val="FootnoteReference"/>
          <w:sz w:val="16"/>
          <w:szCs w:val="16"/>
        </w:rPr>
        <w:footnoteRef/>
      </w:r>
      <w:r w:rsidRPr="00F4760F">
        <w:rPr>
          <w:sz w:val="16"/>
          <w:szCs w:val="16"/>
        </w:rPr>
        <w:t xml:space="preserve"> </w:t>
      </w:r>
      <w:r w:rsidRPr="00F4760F">
        <w:rPr>
          <w:sz w:val="16"/>
          <w:szCs w:val="16"/>
        </w:rPr>
        <w:t>CAO-lonen</w:t>
      </w:r>
      <w:r w:rsidRPr="00F4760F">
        <w:rPr>
          <w:sz w:val="16"/>
          <w:szCs w:val="16"/>
        </w:rPr>
        <w:t xml:space="preserve"> per uur inclusief bijzondere beloningen volgens het CBS</w:t>
      </w:r>
      <w:r w:rsidR="00F4760F">
        <w:rPr>
          <w:sz w:val="16"/>
          <w:szCs w:val="16"/>
        </w:rPr>
        <w:t>:</w:t>
      </w:r>
      <w:r>
        <w:rPr>
          <w:sz w:val="16"/>
          <w:szCs w:val="16"/>
        </w:rPr>
        <w:t xml:space="preserve"> </w:t>
      </w:r>
      <w:hyperlink r:id="rId4" w:anchor="/CBS/nl/dataset/85663NED/table?ts=1705483872742" w:history="1">
        <w:r w:rsidRPr="00F4760F">
          <w:rPr>
            <w:rStyle w:val="Hyperlink"/>
            <w:sz w:val="16"/>
            <w:szCs w:val="16"/>
          </w:rPr>
          <w:t>StatLine</w:t>
        </w:r>
        <w:r w:rsidRPr="00F4760F">
          <w:rPr>
            <w:rStyle w:val="Hyperlink"/>
            <w:sz w:val="16"/>
            <w:szCs w:val="16"/>
          </w:rPr>
          <w:t xml:space="preserve"> - Cao-lonen, contractuele loonkosten en arbeidsduur; indexcijfers (2020=100)</w:t>
        </w:r>
      </w:hyperlink>
    </w:p>
  </w:footnote>
  <w:footnote w:id="25">
    <w:p w:rsidR="002603F6" w:rsidRPr="00227F8E" w14:paraId="46B7C11A" w14:textId="77777777">
      <w:pPr>
        <w:pStyle w:val="FootnoteText"/>
        <w:rPr>
          <w:sz w:val="16"/>
          <w:szCs w:val="16"/>
        </w:rPr>
      </w:pPr>
      <w:r w:rsidRPr="00227F8E">
        <w:rPr>
          <w:rStyle w:val="FootnoteReference"/>
          <w:sz w:val="16"/>
          <w:szCs w:val="16"/>
        </w:rPr>
        <w:footnoteRef/>
      </w:r>
      <w:r w:rsidRPr="00227F8E">
        <w:rPr>
          <w:sz w:val="16"/>
          <w:szCs w:val="16"/>
        </w:rPr>
        <w:t xml:space="preserve"> Uitgaande van een huurprijs van € 500,- in 2010.</w:t>
      </w:r>
    </w:p>
  </w:footnote>
  <w:footnote w:id="26">
    <w:p w:rsidR="00B91BF3" w:rsidRPr="000358F6" w:rsidP="00B91BF3" w14:paraId="1277DA90" w14:textId="77777777">
      <w:pPr>
        <w:pStyle w:val="FootnoteText"/>
        <w:rPr>
          <w:sz w:val="16"/>
          <w:szCs w:val="16"/>
        </w:rPr>
      </w:pPr>
      <w:r w:rsidRPr="00227F8E">
        <w:rPr>
          <w:rStyle w:val="FootnoteReference"/>
          <w:sz w:val="16"/>
          <w:szCs w:val="16"/>
        </w:rPr>
        <w:footnoteRef/>
      </w:r>
      <w:r>
        <w:t xml:space="preserve"> </w:t>
      </w:r>
      <w:r w:rsidRPr="000358F6">
        <w:rPr>
          <w:sz w:val="16"/>
          <w:szCs w:val="16"/>
        </w:rPr>
        <w:t xml:space="preserve">In veel gevallen betekent het percentage van de maximale jaarlijkse huurverhoging dat kan worden ingelopen op de maximale huurprijsgrens, </w:t>
      </w:r>
      <w:r w:rsidRPr="000358F6">
        <w:rPr>
          <w:sz w:val="16"/>
          <w:szCs w:val="16"/>
        </w:rPr>
        <w:t>indien</w:t>
      </w:r>
      <w:r w:rsidRPr="000358F6">
        <w:rPr>
          <w:sz w:val="16"/>
          <w:szCs w:val="16"/>
        </w:rPr>
        <w:t xml:space="preserve"> de feitelijke huur lager ligt dan die grens. Dit is wenselijk zodat verhuurders kunnen inlopen op de maximale huurprijsgrens bij lopende contracten met een lagere feitelijke huur, of als deze wordt verruimd, bijvoorbeeld bij veranderend beleid of woningverbetering. De maximale jaarlijkse huurverhoging is historisch gezien vaker aan verandering onderhevig. De percentages zijn vaker bijgesteld of soms zelfs bevroren.</w:t>
      </w:r>
    </w:p>
  </w:footnote>
  <w:footnote w:id="27">
    <w:p w:rsidR="001E03F3" w:rsidRPr="00227F8E" w:rsidP="001E03F3" w14:paraId="1B08912B" w14:textId="77777777">
      <w:pPr>
        <w:pStyle w:val="FootnoteText"/>
        <w:rPr>
          <w:sz w:val="16"/>
          <w:szCs w:val="16"/>
        </w:rPr>
      </w:pPr>
      <w:r w:rsidRPr="00227F8E">
        <w:rPr>
          <w:rStyle w:val="FootnoteReference"/>
          <w:sz w:val="16"/>
          <w:szCs w:val="16"/>
        </w:rPr>
        <w:footnoteRef/>
      </w:r>
      <w:r w:rsidRPr="00227F8E">
        <w:rPr>
          <w:sz w:val="16"/>
          <w:szCs w:val="16"/>
        </w:rPr>
        <w:t xml:space="preserve"> </w:t>
      </w:r>
      <w:r>
        <w:rPr>
          <w:sz w:val="16"/>
          <w:szCs w:val="16"/>
        </w:rPr>
        <w:t xml:space="preserve">Hoe de betaalbaarheid van huren voor huurders zich ontwikkelt is ook afhankelijk </w:t>
      </w:r>
      <w:r w:rsidRPr="00227F8E">
        <w:rPr>
          <w:sz w:val="16"/>
          <w:szCs w:val="16"/>
        </w:rPr>
        <w:t>van de loonontwikkeling over dezelfde periode.</w:t>
      </w:r>
    </w:p>
  </w:footnote>
  <w:footnote w:id="28">
    <w:p w:rsidR="00081C45" w:rsidP="00081C45" w14:paraId="32B5E3B5" w14:textId="77777777">
      <w:pPr>
        <w:pStyle w:val="FootnoteText"/>
      </w:pPr>
      <w:r w:rsidRPr="002A0E51">
        <w:rPr>
          <w:rStyle w:val="FootnoteReference"/>
          <w:sz w:val="16"/>
          <w:szCs w:val="16"/>
        </w:rPr>
        <w:footnoteRef/>
      </w:r>
      <w:r w:rsidRPr="002A0E51">
        <w:rPr>
          <w:sz w:val="16"/>
          <w:szCs w:val="16"/>
        </w:rPr>
        <w:t xml:space="preserve"> </w:t>
      </w:r>
      <w:r w:rsidRPr="007D5BBE">
        <w:rPr>
          <w:sz w:val="16"/>
          <w:szCs w:val="16"/>
        </w:rPr>
        <w:t>Dit effect is niet in tabel 2 weergegeven.</w:t>
      </w:r>
      <w:r w:rsidR="004A5F2E">
        <w:rPr>
          <w:sz w:val="16"/>
          <w:szCs w:val="16"/>
        </w:rPr>
        <w:t xml:space="preserve"> In tabel 1 valt bijvoorbeeld te zien dat de prijsontwikkeling van bestaande koopwoningen in 2021 dermate hoog uitviel (15,1%) vergeleken met CPI (2,7%) en de CAO-loonontwikkeling (2,1%), dat deze niet volledig verrekend zou kunnen worden.</w:t>
      </w:r>
    </w:p>
  </w:footnote>
  <w:footnote w:id="29">
    <w:p w:rsidR="004A5F2E" w:rsidRPr="004A5F2E" w14:paraId="06ED5C5E" w14:textId="77777777">
      <w:pPr>
        <w:pStyle w:val="FootnoteText"/>
        <w:rPr>
          <w:sz w:val="16"/>
          <w:szCs w:val="16"/>
        </w:rPr>
      </w:pPr>
      <w:r w:rsidRPr="004A5F2E">
        <w:rPr>
          <w:rStyle w:val="FootnoteReference"/>
          <w:sz w:val="16"/>
          <w:szCs w:val="16"/>
        </w:rPr>
        <w:footnoteRef/>
      </w:r>
      <w:r>
        <w:rPr>
          <w:sz w:val="16"/>
          <w:szCs w:val="16"/>
        </w:rPr>
        <w:t xml:space="preserve"> Zie bijvoorbeeld tabel 1, jaren 2012 en 2013, waar de </w:t>
      </w:r>
      <w:r w:rsidR="00510804">
        <w:rPr>
          <w:sz w:val="16"/>
          <w:szCs w:val="16"/>
        </w:rPr>
        <w:t xml:space="preserve">negatieve prijsontwikkeling van bestaande koopwoningen (-6,3% in </w:t>
      </w:r>
      <w:r w:rsidR="006C4EB4">
        <w:rPr>
          <w:sz w:val="16"/>
          <w:szCs w:val="16"/>
        </w:rPr>
        <w:t>beide</w:t>
      </w:r>
      <w:r w:rsidR="00510804">
        <w:rPr>
          <w:sz w:val="16"/>
          <w:szCs w:val="16"/>
        </w:rPr>
        <w:t xml:space="preserve"> ja</w:t>
      </w:r>
      <w:r w:rsidR="006C4EB4">
        <w:rPr>
          <w:sz w:val="16"/>
          <w:szCs w:val="16"/>
        </w:rPr>
        <w:t>ren</w:t>
      </w:r>
      <w:r w:rsidR="00510804">
        <w:rPr>
          <w:sz w:val="16"/>
          <w:szCs w:val="16"/>
        </w:rPr>
        <w:t xml:space="preserve">) ervoor </w:t>
      </w:r>
      <w:r w:rsidR="00C23CB8">
        <w:rPr>
          <w:sz w:val="16"/>
          <w:szCs w:val="16"/>
        </w:rPr>
        <w:t>kan zorgen</w:t>
      </w:r>
      <w:r w:rsidR="00510804">
        <w:rPr>
          <w:sz w:val="16"/>
          <w:szCs w:val="16"/>
        </w:rPr>
        <w:t xml:space="preserve"> dat de huurprijs moet dalen, ongeacht stijgende kosten voor verhuurders (2,5% in </w:t>
      </w:r>
      <w:r w:rsidR="006C4EB4">
        <w:rPr>
          <w:sz w:val="16"/>
          <w:szCs w:val="16"/>
        </w:rPr>
        <w:t>beide jaren</w:t>
      </w:r>
      <w:r w:rsidR="00510804">
        <w:rPr>
          <w:sz w:val="16"/>
          <w:szCs w:val="16"/>
        </w:rPr>
        <w:t>).</w:t>
      </w:r>
    </w:p>
  </w:footnote>
  <w:footnote w:id="30">
    <w:p w:rsidR="00787922" w:rsidP="00787922" w14:paraId="5AFD2BCF" w14:textId="77777777">
      <w:pPr>
        <w:pStyle w:val="FootnoteText"/>
      </w:pPr>
      <w:r w:rsidRPr="009A089A">
        <w:rPr>
          <w:rStyle w:val="FootnoteReference"/>
        </w:rPr>
        <w:footnoteRef/>
      </w:r>
      <w:r w:rsidRPr="009A089A">
        <w:t xml:space="preserve"> </w:t>
      </w:r>
      <w:r w:rsidRPr="009A089A">
        <w:rPr>
          <w:sz w:val="16"/>
          <w:szCs w:val="16"/>
        </w:rPr>
        <w:t>Kamerstukken</w:t>
      </w:r>
      <w:r w:rsidRPr="009A089A" w:rsidR="009A089A">
        <w:rPr>
          <w:sz w:val="16"/>
          <w:szCs w:val="16"/>
        </w:rPr>
        <w:t xml:space="preserve"> II, 36496, nr. 48.</w:t>
      </w:r>
    </w:p>
  </w:footnote>
  <w:footnote w:id="31">
    <w:p w:rsidR="006E565F" w:rsidRPr="006E565F" w14:paraId="3D867DBD" w14:textId="77777777">
      <w:pPr>
        <w:pStyle w:val="FootnoteText"/>
      </w:pPr>
      <w:r>
        <w:rPr>
          <w:rStyle w:val="FootnoteReference"/>
        </w:rPr>
        <w:footnoteRef/>
      </w:r>
      <w:r w:rsidRPr="006E565F">
        <w:t xml:space="preserve"> </w:t>
      </w:r>
      <w:r w:rsidRPr="0098503A">
        <w:rPr>
          <w:sz w:val="16"/>
          <w:szCs w:val="16"/>
        </w:rPr>
        <w:t xml:space="preserve">Een eventuele wijziging zal ook bij wijze van voorhang aan beide Kamers worden voorgelegd, </w:t>
      </w:r>
      <w:r w:rsidRPr="0098503A">
        <w:rPr>
          <w:sz w:val="16"/>
          <w:szCs w:val="16"/>
        </w:rPr>
        <w:t>conform</w:t>
      </w:r>
      <w:r w:rsidRPr="0098503A">
        <w:rPr>
          <w:sz w:val="16"/>
          <w:szCs w:val="16"/>
        </w:rPr>
        <w:t xml:space="preserve"> art. 46 van de Uitvoeringswet huurprijzen woonruimte.</w:t>
      </w:r>
    </w:p>
  </w:footnote>
  <w:footnote w:id="32">
    <w:p w:rsidR="00E345F0" w14:paraId="6B9297D2" w14:textId="77777777">
      <w:pPr>
        <w:pStyle w:val="FootnoteText"/>
      </w:pPr>
      <w:r>
        <w:rPr>
          <w:rStyle w:val="FootnoteReference"/>
        </w:rPr>
        <w:footnoteRef/>
      </w:r>
      <w:r>
        <w:t xml:space="preserve"> </w:t>
      </w:r>
      <w:r w:rsidRPr="006E565F" w:rsidR="00801D26">
        <w:rPr>
          <w:sz w:val="16"/>
          <w:szCs w:val="16"/>
        </w:rPr>
        <w:t>Handelingen I 2023-2024, nr. 36 – item 8, p. 29</w:t>
      </w:r>
      <w:r w:rsidRPr="006E565F" w:rsidR="00787922">
        <w:rPr>
          <w:sz w:val="16"/>
          <w:szCs w:val="16"/>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3672A8" w14:paraId="7C429A79" w14:textId="77777777">
    <w:r>
      <w:rPr>
        <w:noProof/>
      </w:rPr>
      <mc:AlternateContent>
        <mc:Choice Requires="wps">
          <w:drawing>
            <wp:anchor distT="0" distB="0" distL="0" distR="0" simplePos="0" relativeHeight="251658240" behindDoc="0" locked="1" layoutInCell="1" allowOverlap="1">
              <wp:simplePos x="0" y="0"/>
              <wp:positionH relativeFrom="page">
                <wp:posOffset>1007744</wp:posOffset>
              </wp:positionH>
              <wp:positionV relativeFrom="paragraph">
                <wp:posOffset>1965325</wp:posOffset>
              </wp:positionV>
              <wp:extent cx="4787900" cy="161290"/>
              <wp:effectExtent l="0" t="0" r="0" b="0"/>
              <wp:wrapNone/>
              <wp:docPr id="1" name="46feee07-aa3c-11ea-a756-beb5f67e67be"/>
              <wp:cNvGraphicFramePr/>
              <a:graphic xmlns:a="http://schemas.openxmlformats.org/drawingml/2006/main">
                <a:graphicData uri="http://schemas.microsoft.com/office/word/2010/wordprocessingShape">
                  <wps:wsp xmlns:wps="http://schemas.microsoft.com/office/word/2010/wordprocessingShape">
                    <wps:cNvSpPr txBox="1"/>
                    <wps:spPr>
                      <a:xfrm>
                        <a:off x="0" y="0"/>
                        <a:ext cx="4787900" cy="161290"/>
                      </a:xfrm>
                      <a:prstGeom prst="rect">
                        <a:avLst/>
                      </a:prstGeom>
                      <a:noFill/>
                    </wps:spPr>
                    <wps:txbx>
                      <w:txbxContent>
                        <w:p w:rsidR="006D5459" w14:textId="77777777"/>
                      </w:txbxContent>
                    </wps:txbx>
                    <wps:bodyPr vert="horz" wrap="square" lIns="0" tIns="0" rIns="0" bIns="0" anchor="t" anchorCtr="0"/>
                  </wps:wsp>
                </a:graphicData>
              </a:graphic>
            </wp:anchor>
          </w:drawing>
        </mc:Choice>
        <mc:Fallback>
          <w:pict>
            <v:shapetype id="_x0000_t202" coordsize="21600,21600" o:spt="202" path="m,l,21600r21600,l21600,xe">
              <v:stroke joinstyle="miter"/>
              <v:path gradientshapeok="t" o:connecttype="rect"/>
            </v:shapetype>
            <v:shape id="46feee07-aa3c-11ea-a756-beb5f67e67be" o:spid="_x0000_s2049" type="#_x0000_t202" style="width:377pt;height:12.7pt;margin-top:154.75pt;margin-left:79.35pt;mso-position-horizontal-relative:page;mso-wrap-distance-bottom:0;mso-wrap-distance-left:0;mso-wrap-distance-right:0;mso-wrap-distance-top:0;mso-wrap-style:square;position:absolute;v-text-anchor:top;visibility:visible;z-index:251659264" filled="f" stroked="f">
              <v:textbox inset="0,0,0,0">
                <w:txbxContent>
                  <w:p w:rsidR="006D5459" w14:paraId="444457C6" w14:textId="77777777"/>
                </w:txbxContent>
              </v:textbox>
              <w10:anchorlock/>
            </v:shape>
          </w:pict>
        </mc:Fallback>
      </mc:AlternateContent>
    </w:r>
    <w:r>
      <w:rPr>
        <w:noProof/>
      </w:rPr>
      <mc:AlternateContent>
        <mc:Choice Requires="wps">
          <w:drawing>
            <wp:anchor distT="0" distB="0" distL="0" distR="0" simplePos="0" relativeHeight="251660288" behindDoc="0" locked="1" layoutInCell="1" allowOverlap="1">
              <wp:simplePos x="0" y="0"/>
              <wp:positionH relativeFrom="page">
                <wp:posOffset>5921375</wp:posOffset>
              </wp:positionH>
              <wp:positionV relativeFrom="paragraph">
                <wp:posOffset>1965325</wp:posOffset>
              </wp:positionV>
              <wp:extent cx="1277620" cy="8009890"/>
              <wp:effectExtent l="0" t="0" r="0" b="0"/>
              <wp:wrapNone/>
              <wp:docPr id="2" name="46fef022-aa3c-11ea-a756-beb5f67e67be" descr="Colofon"/>
              <wp:cNvGraphicFramePr/>
              <a:graphic xmlns:a="http://schemas.openxmlformats.org/drawingml/2006/main">
                <a:graphicData uri="http://schemas.microsoft.com/office/word/2010/wordprocessingShape">
                  <wps:wsp xmlns:wps="http://schemas.microsoft.com/office/word/2010/wordprocessingShape">
                    <wps:cNvSpPr txBox="1"/>
                    <wps:spPr>
                      <a:xfrm>
                        <a:off x="0" y="0"/>
                        <a:ext cx="1277620" cy="8009890"/>
                      </a:xfrm>
                      <a:prstGeom prst="rect">
                        <a:avLst/>
                      </a:prstGeom>
                      <a:noFill/>
                    </wps:spPr>
                    <wps:txbx>
                      <w:txbxContent>
                        <w:p w:rsidR="00C916C8" w14:textId="77777777">
                          <w:pPr>
                            <w:pStyle w:val="Referentiegegevens"/>
                          </w:pPr>
                          <w:r>
                            <w:fldChar w:fldCharType="begin"/>
                          </w:r>
                          <w:r>
                            <w:instrText xml:space="preserve"> DOCPROPERTY  "Kenmerk"  \* MERGEFORMAT </w:instrText>
                          </w:r>
                          <w:r>
                            <w:fldChar w:fldCharType="separate"/>
                          </w:r>
                          <w:r w:rsidR="00F04C36">
                            <w:t>2025-0000646651</w:t>
                          </w:r>
                          <w:r w:rsidR="00F04C36">
                            <w:fldChar w:fldCharType="end"/>
                          </w:r>
                        </w:p>
                      </w:txbxContent>
                    </wps:txbx>
                    <wps:bodyPr vert="horz" wrap="square" lIns="0" tIns="0" rIns="0" bIns="0" anchor="t" anchorCtr="0"/>
                  </wps:wsp>
                </a:graphicData>
              </a:graphic>
            </wp:anchor>
          </w:drawing>
        </mc:Choice>
        <mc:Fallback>
          <w:pict>
            <v:shape id="46fef022-aa3c-11ea-a756-beb5f67e67be" o:spid="_x0000_s2050" type="#_x0000_t202" alt="Colofon" style="width:100.6pt;height:630.7pt;margin-top:154.75pt;margin-left:466.25pt;mso-position-horizontal-relative:page;mso-wrap-distance-bottom:0;mso-wrap-distance-left:0;mso-wrap-distance-right:0;mso-wrap-distance-top:0;mso-wrap-style:square;position:absolute;v-text-anchor:top;visibility:visible;z-index:251661312" filled="f" stroked="f">
              <v:textbox inset="0,0,0,0">
                <w:txbxContent>
                  <w:p w:rsidR="00C916C8" w14:paraId="3EBCC891" w14:textId="77777777">
                    <w:pPr>
                      <w:pStyle w:val="Referentiegegevens"/>
                    </w:pPr>
                    <w:r>
                      <w:fldChar w:fldCharType="begin"/>
                    </w:r>
                    <w:r>
                      <w:instrText xml:space="preserve"> DOCPROPERTY  "Kenmerk"  \* MERGEFORMAT </w:instrText>
                    </w:r>
                    <w:r>
                      <w:fldChar w:fldCharType="separate"/>
                    </w:r>
                    <w:r w:rsidR="00F04C36">
                      <w:t>2025-0000646651</w:t>
                    </w:r>
                    <w:r w:rsidR="00F04C36">
                      <w:fldChar w:fldCharType="end"/>
                    </w:r>
                  </w:p>
                </w:txbxContent>
              </v:textbox>
              <w10:anchorlock/>
            </v:shape>
          </w:pict>
        </mc:Fallback>
      </mc:AlternateContent>
    </w:r>
    <w:r>
      <w:rPr>
        <w:noProof/>
      </w:rPr>
      <mc:AlternateContent>
        <mc:Choice Requires="wps">
          <w:drawing>
            <wp:anchor distT="0" distB="0" distL="0" distR="0" simplePos="0" relativeHeight="251662336" behindDoc="0" locked="1" layoutInCell="1" allowOverlap="1">
              <wp:simplePos x="0" y="0"/>
              <wp:positionH relativeFrom="page">
                <wp:posOffset>1007744</wp:posOffset>
              </wp:positionH>
              <wp:positionV relativeFrom="paragraph">
                <wp:posOffset>10194925</wp:posOffset>
              </wp:positionV>
              <wp:extent cx="4787900" cy="161925"/>
              <wp:effectExtent l="0" t="0" r="0" b="0"/>
              <wp:wrapNone/>
              <wp:docPr id="3" name="46fef0b8-aa3c-11ea-a756-beb5f67e67be" descr="Voettekst"/>
              <wp:cNvGraphicFramePr/>
              <a:graphic xmlns:a="http://schemas.openxmlformats.org/drawingml/2006/main">
                <a:graphicData uri="http://schemas.microsoft.com/office/word/2010/wordprocessingShape">
                  <wps:wsp xmlns:wps="http://schemas.microsoft.com/office/word/2010/wordprocessingShape">
                    <wps:cNvSpPr txBox="1"/>
                    <wps:spPr>
                      <a:xfrm>
                        <a:off x="0" y="0"/>
                        <a:ext cx="4787900" cy="161925"/>
                      </a:xfrm>
                      <a:prstGeom prst="rect">
                        <a:avLst/>
                      </a:prstGeom>
                      <a:noFill/>
                    </wps:spPr>
                    <wps:txbx>
                      <w:txbxContent>
                        <w:p w:rsidR="006D5459" w14:textId="77777777"/>
                      </w:txbxContent>
                    </wps:txbx>
                    <wps:bodyPr vert="horz" wrap="square" lIns="0" tIns="0" rIns="0" bIns="0" anchor="t" anchorCtr="0"/>
                  </wps:wsp>
                </a:graphicData>
              </a:graphic>
            </wp:anchor>
          </w:drawing>
        </mc:Choice>
        <mc:Fallback>
          <w:pict>
            <v:shape id="46fef0b8-aa3c-11ea-a756-beb5f67e67be" o:spid="_x0000_s2051" type="#_x0000_t202" alt="Voettekst" style="width:377pt;height:12.75pt;margin-top:802.75pt;margin-left:79.35pt;mso-position-horizontal-relative:page;mso-wrap-distance-bottom:0;mso-wrap-distance-left:0;mso-wrap-distance-right:0;mso-wrap-distance-top:0;mso-wrap-style:square;position:absolute;v-text-anchor:top;visibility:visible;z-index:251663360" filled="f" stroked="f">
              <v:textbox inset="0,0,0,0">
                <w:txbxContent>
                  <w:p w:rsidR="006D5459" w14:paraId="74BCCC46" w14:textId="77777777"/>
                </w:txbxContent>
              </v:textbox>
              <w10:anchorlock/>
            </v:shape>
          </w:pict>
        </mc:Fallback>
      </mc:AlternateContent>
    </w:r>
    <w:r>
      <w:rPr>
        <w:noProof/>
      </w:rPr>
      <mc:AlternateContent>
        <mc:Choice Requires="wps">
          <w:drawing>
            <wp:anchor distT="0" distB="0" distL="0" distR="0" simplePos="0" relativeHeight="251664384" behindDoc="0" locked="1" layoutInCell="1" allowOverlap="1">
              <wp:simplePos x="0" y="0"/>
              <wp:positionH relativeFrom="page">
                <wp:posOffset>5921375</wp:posOffset>
              </wp:positionH>
              <wp:positionV relativeFrom="paragraph">
                <wp:posOffset>10194925</wp:posOffset>
              </wp:positionV>
              <wp:extent cx="1285875" cy="161925"/>
              <wp:effectExtent l="0" t="0" r="0" b="0"/>
              <wp:wrapNone/>
              <wp:docPr id="4" name="46fef06f-aa3c-11ea-a756-beb5f67e67be" descr="Paginanummering"/>
              <wp:cNvGraphicFramePr/>
              <a:graphic xmlns:a="http://schemas.openxmlformats.org/drawingml/2006/main">
                <a:graphicData uri="http://schemas.microsoft.com/office/word/2010/wordprocessingShape">
                  <wps:wsp xmlns:wps="http://schemas.microsoft.com/office/word/2010/wordprocessingShape">
                    <wps:cNvSpPr txBox="1"/>
                    <wps:spPr>
                      <a:xfrm>
                        <a:off x="0" y="0"/>
                        <a:ext cx="1285875" cy="161925"/>
                      </a:xfrm>
                      <a:prstGeom prst="rect">
                        <a:avLst/>
                      </a:prstGeom>
                      <a:noFill/>
                    </wps:spPr>
                    <wps:txbx>
                      <w:txbxContent>
                        <w:p w:rsidR="00C916C8" w14:textId="77777777">
                          <w:pPr>
                            <w:pStyle w:val="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wps:txbx>
                    <wps:bodyPr vert="horz" wrap="square" lIns="0" tIns="0" rIns="0" bIns="0" anchor="t" anchorCtr="0"/>
                  </wps:wsp>
                </a:graphicData>
              </a:graphic>
            </wp:anchor>
          </w:drawing>
        </mc:Choice>
        <mc:Fallback>
          <w:pict>
            <v:shape id="46fef06f-aa3c-11ea-a756-beb5f67e67be" o:spid="_x0000_s2052" type="#_x0000_t202" alt="Paginanummering" style="width:101.25pt;height:12.75pt;margin-top:802.75pt;margin-left:466.25pt;mso-position-horizontal-relative:page;mso-wrap-distance-bottom:0;mso-wrap-distance-left:0;mso-wrap-distance-right:0;mso-wrap-distance-top:0;mso-wrap-style:square;position:absolute;v-text-anchor:top;visibility:visible;z-index:251665408" filled="f" stroked="f">
              <v:textbox inset="0,0,0,0">
                <w:txbxContent>
                  <w:p w:rsidR="00C916C8" w14:paraId="2DB7B1BD" w14:textId="77777777">
                    <w:pPr>
                      <w:pStyle w:val="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v:textbox>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3672A8" w14:paraId="18233ACB" w14:textId="77777777">
    <w:pPr>
      <w:spacing w:after="6377" w:line="14" w:lineRule="exact"/>
    </w:pPr>
    <w:r>
      <w:rPr>
        <w:noProof/>
      </w:rPr>
      <mc:AlternateContent>
        <mc:Choice Requires="wps">
          <w:drawing>
            <wp:anchor distT="0" distB="0" distL="0" distR="0" simplePos="0" relativeHeight="251666432" behindDoc="0" locked="1" layoutInCell="1" allowOverlap="1">
              <wp:simplePos x="0" y="0"/>
              <wp:positionH relativeFrom="page">
                <wp:posOffset>3545840</wp:posOffset>
              </wp:positionH>
              <wp:positionV relativeFrom="paragraph">
                <wp:posOffset>0</wp:posOffset>
              </wp:positionV>
              <wp:extent cx="467995" cy="1583055"/>
              <wp:effectExtent l="0" t="0" r="0" b="0"/>
              <wp:wrapNone/>
              <wp:docPr id="5" name="8cd303e7-05ab-474b-9412-44e5272a8f7f" descr="Container voor beeldmerk"/>
              <wp:cNvGraphicFramePr/>
              <a:graphic xmlns:a="http://schemas.openxmlformats.org/drawingml/2006/main">
                <a:graphicData uri="http://schemas.microsoft.com/office/word/2010/wordprocessingShape">
                  <wps:wsp xmlns:wps="http://schemas.microsoft.com/office/word/2010/wordprocessingShape">
                    <wps:cNvSpPr txBox="1"/>
                    <wps:spPr>
                      <a:xfrm>
                        <a:off x="0" y="0"/>
                        <a:ext cx="467995" cy="1583055"/>
                      </a:xfrm>
                      <a:prstGeom prst="rect">
                        <a:avLst/>
                      </a:prstGeom>
                      <a:noFill/>
                    </wps:spPr>
                    <wps:txbx>
                      <w:txbxContent>
                        <w:p w:rsidR="003672A8" w14:textId="77777777">
                          <w:pPr>
                            <w:spacing w:line="240" w:lineRule="auto"/>
                          </w:pPr>
                          <w:r>
                            <w:rPr>
                              <w:noProof/>
                            </w:rPr>
                            <w:drawing>
                              <wp:inline distT="0" distB="0" distL="0" distR="0">
                                <wp:extent cx="467995" cy="1583865"/>
                                <wp:effectExtent l="0" t="0" r="0" b="0"/>
                                <wp:docPr id="621287769" name="Logo" descr="Rijkslint, logo van de Rijksoverheid (blauw)"/>
                                <wp:cNvGraphicFramePr/>
                                <a:graphic xmlns:a="http://schemas.openxmlformats.org/drawingml/2006/main">
                                  <a:graphicData uri="http://schemas.openxmlformats.org/drawingml/2006/picture">
                                    <pic:pic xmlns:pic="http://schemas.openxmlformats.org/drawingml/2006/picture">
                                      <pic:nvPicPr>
                                        <pic:cNvPr id="621287769" name="Logo"/>
                                        <pic:cNvPicPr/>
                                      </pic:nvPicPr>
                                      <pic:blipFill>
                                        <a:blip xmlns:r="http://schemas.openxmlformats.org/officeDocument/2006/relationships" r:embed="rId1"/>
                                        <a:stretch>
                                          <a:fillRect/>
                                        </a:stretch>
                                      </pic:blipFill>
                                      <pic:spPr bwMode="auto">
                                        <a:xfrm>
                                          <a:off x="0" y="0"/>
                                          <a:ext cx="467995" cy="1583865"/>
                                        </a:xfrm>
                                        <a:prstGeom prst="rect">
                                          <a:avLst/>
                                        </a:prstGeom>
                                      </pic:spPr>
                                    </pic:pic>
                                  </a:graphicData>
                                </a:graphic>
                              </wp:inline>
                            </w:drawing>
                          </w:r>
                        </w:p>
                      </w:txbxContent>
                    </wps:txbx>
                    <wps:bodyPr vert="horz" wrap="square" lIns="0" tIns="0" rIns="0" bIns="0" anchor="t" anchorCtr="0"/>
                  </wps:wsp>
                </a:graphicData>
              </a:graphic>
            </wp:anchor>
          </w:drawing>
        </mc:Choice>
        <mc:Fallback>
          <w:pict>
            <v:shapetype id="_x0000_t202" coordsize="21600,21600" o:spt="202" path="m,l,21600r21600,l21600,xe">
              <v:stroke joinstyle="miter"/>
              <v:path gradientshapeok="t" o:connecttype="rect"/>
            </v:shapetype>
            <v:shape id="8cd303e7-05ab-474b-9412-44e5272a8f7f" o:spid="_x0000_s2053" type="#_x0000_t202" alt="Container voor beeldmerk" style="width:36.85pt;height:124.65pt;margin-top:0;margin-left:279.2pt;mso-position-horizontal-relative:page;mso-wrap-distance-bottom:0;mso-wrap-distance-left:0;mso-wrap-distance-right:0;mso-wrap-distance-top:0;mso-wrap-style:square;position:absolute;v-text-anchor:top;visibility:visible;z-index:251667456" filled="f" stroked="f">
              <v:textbox inset="0,0,0,0">
                <w:txbxContent>
                  <w:p w:rsidR="003672A8" w14:paraId="25422F2B" w14:textId="77777777">
                    <w:pPr>
                      <w:spacing w:line="240" w:lineRule="auto"/>
                    </w:pPr>
                    <w:drawing>
                      <wp:inline distT="0" distB="0" distL="0" distR="0">
                        <wp:extent cx="467995" cy="1583865"/>
                        <wp:effectExtent l="0" t="0" r="0" b="0"/>
                        <wp:docPr id="6" name="Logo" descr="Rijkslint, logo van de Rijksoverheid (blauw)"/>
                        <wp:cNvGraphicFramePr/>
                        <a:graphic xmlns:a="http://schemas.openxmlformats.org/drawingml/2006/main">
                          <a:graphicData uri="http://schemas.openxmlformats.org/drawingml/2006/picture">
                            <pic:pic xmlns:pic="http://schemas.openxmlformats.org/drawingml/2006/picture">
                              <pic:nvPicPr>
                                <pic:cNvPr id="6" name="Logo"/>
                                <pic:cNvPicPr/>
                              </pic:nvPicPr>
                              <pic:blipFill>
                                <a:blip xmlns:r="http://schemas.openxmlformats.org/officeDocument/2006/relationships" r:embed="rId1"/>
                                <a:stretch>
                                  <a:fillRect/>
                                </a:stretch>
                              </pic:blipFill>
                              <pic:spPr bwMode="auto">
                                <a:xfrm>
                                  <a:off x="0" y="0"/>
                                  <a:ext cx="467995" cy="1583865"/>
                                </a:xfrm>
                                <a:prstGeom prst="rect">
                                  <a:avLst/>
                                </a:prstGeom>
                              </pic:spPr>
                            </pic:pic>
                          </a:graphicData>
                        </a:graphic>
                      </wp:inline>
                    </w:drawing>
                  </w:p>
                </w:txbxContent>
              </v:textbox>
              <w10:anchorlock/>
            </v:shape>
          </w:pict>
        </mc:Fallback>
      </mc:AlternateContent>
    </w:r>
    <w:r>
      <w:rPr>
        <w:noProof/>
      </w:rPr>
      <mc:AlternateContent>
        <mc:Choice Requires="wps">
          <w:drawing>
            <wp:anchor distT="0" distB="0" distL="0" distR="0" simplePos="0" relativeHeight="251668480" behindDoc="0" locked="1" layoutInCell="1" allowOverlap="1">
              <wp:simplePos x="0" y="0"/>
              <wp:positionH relativeFrom="page">
                <wp:posOffset>3995420</wp:posOffset>
              </wp:positionH>
              <wp:positionV relativeFrom="paragraph">
                <wp:posOffset>0</wp:posOffset>
              </wp:positionV>
              <wp:extent cx="2339975" cy="1583690"/>
              <wp:effectExtent l="0" t="0" r="0" b="0"/>
              <wp:wrapNone/>
              <wp:docPr id="7" name="583cb846-a587-474e-9efc-17a024d629a0" descr="Container voor woordmerk"/>
              <wp:cNvGraphicFramePr/>
              <a:graphic xmlns:a="http://schemas.openxmlformats.org/drawingml/2006/main">
                <a:graphicData uri="http://schemas.microsoft.com/office/word/2010/wordprocessingShape">
                  <wps:wsp xmlns:wps="http://schemas.microsoft.com/office/word/2010/wordprocessingShape">
                    <wps:cNvSpPr txBox="1"/>
                    <wps:spPr>
                      <a:xfrm>
                        <a:off x="0" y="0"/>
                        <a:ext cx="2339975" cy="1583690"/>
                      </a:xfrm>
                      <a:prstGeom prst="rect">
                        <a:avLst/>
                      </a:prstGeom>
                      <a:noFill/>
                    </wps:spPr>
                    <wps:txbx>
                      <w:txbxContent>
                        <w:p w:rsidR="003672A8" w14:textId="77777777">
                          <w:pPr>
                            <w:spacing w:line="240" w:lineRule="auto"/>
                          </w:pPr>
                          <w:r>
                            <w:rPr>
                              <w:noProof/>
                            </w:rPr>
                            <w:drawing>
                              <wp:inline distT="0" distB="0" distL="0" distR="0">
                                <wp:extent cx="2339975" cy="1582834"/>
                                <wp:effectExtent l="0" t="0" r="0" b="0"/>
                                <wp:docPr id="1068885004" name="Logotype" descr="Ministerie van Volkshuisvesting en Ruimtelijke Ordening"/>
                                <wp:cNvGraphicFramePr/>
                                <a:graphic xmlns:a="http://schemas.openxmlformats.org/drawingml/2006/main">
                                  <a:graphicData uri="http://schemas.openxmlformats.org/drawingml/2006/picture">
                                    <pic:pic xmlns:pic="http://schemas.openxmlformats.org/drawingml/2006/picture">
                                      <pic:nvPicPr>
                                        <pic:cNvPr id="1068885004" name="Logotype"/>
                                        <pic:cNvPicPr/>
                                      </pic:nvPicPr>
                                      <pic:blipFill>
                                        <a:blip xmlns:r="http://schemas.openxmlformats.org/officeDocument/2006/relationships" r:embed="rId2"/>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0"/>
                  </wps:wsp>
                </a:graphicData>
              </a:graphic>
            </wp:anchor>
          </w:drawing>
        </mc:Choice>
        <mc:Fallback>
          <w:pict>
            <v:shape id="583cb846-a587-474e-9efc-17a024d629a0" o:spid="_x0000_s2054" type="#_x0000_t202" alt="Container voor woordmerk" style="width:184.25pt;height:124.7pt;margin-top:0;margin-left:314.6pt;mso-position-horizontal-relative:page;mso-wrap-distance-bottom:0;mso-wrap-distance-left:0;mso-wrap-distance-right:0;mso-wrap-distance-top:0;mso-wrap-style:square;position:absolute;v-text-anchor:top;visibility:visible;z-index:251669504" filled="f" stroked="f">
              <v:textbox inset="0,0,0,0">
                <w:txbxContent>
                  <w:p w:rsidR="003672A8" w14:paraId="7A858236" w14:textId="77777777">
                    <w:pPr>
                      <w:spacing w:line="240" w:lineRule="auto"/>
                    </w:pPr>
                    <w:drawing>
                      <wp:inline distT="0" distB="0" distL="0" distR="0">
                        <wp:extent cx="2339975" cy="1582834"/>
                        <wp:effectExtent l="0" t="0" r="0" b="0"/>
                        <wp:docPr id="8" name="Logotype" descr="Ministerie van Volkshuisvesting en Ruimtelijke Ordening"/>
                        <wp:cNvGraphicFramePr/>
                        <a:graphic xmlns:a="http://schemas.openxmlformats.org/drawingml/2006/main">
                          <a:graphicData uri="http://schemas.openxmlformats.org/drawingml/2006/picture">
                            <pic:pic xmlns:pic="http://schemas.openxmlformats.org/drawingml/2006/picture">
                              <pic:nvPicPr>
                                <pic:cNvPr id="8" name="Logotype"/>
                                <pic:cNvPicPr/>
                              </pic:nvPicPr>
                              <pic:blipFill>
                                <a:blip xmlns:r="http://schemas.openxmlformats.org/officeDocument/2006/relationships" r:embed="rId2"/>
                                <a:stretch>
                                  <a:fillRect/>
                                </a:stretch>
                              </pic:blipFill>
                              <pic:spPr bwMode="auto">
                                <a:xfrm>
                                  <a:off x="0" y="0"/>
                                  <a:ext cx="2339975" cy="1582834"/>
                                </a:xfrm>
                                <a:prstGeom prst="rect">
                                  <a:avLst/>
                                </a:prstGeom>
                              </pic:spPr>
                            </pic:pic>
                          </a:graphicData>
                        </a:graphic>
                      </wp:inline>
                    </w:drawing>
                  </w:p>
                </w:txbxContent>
              </v:textbox>
              <w10:anchorlock/>
            </v:shape>
          </w:pict>
        </mc:Fallback>
      </mc:AlternateContent>
    </w:r>
    <w:r>
      <w:rPr>
        <w:noProof/>
      </w:rPr>
      <mc:AlternateContent>
        <mc:Choice Requires="wps">
          <w:drawing>
            <wp:anchor distT="0" distB="0" distL="0" distR="0" simplePos="0" relativeHeight="251670528" behindDoc="0" locked="1" layoutInCell="1" allowOverlap="1">
              <wp:simplePos x="0" y="0"/>
              <wp:positionH relativeFrom="page">
                <wp:posOffset>1010919</wp:posOffset>
              </wp:positionH>
              <wp:positionV relativeFrom="paragraph">
                <wp:posOffset>1720214</wp:posOffset>
              </wp:positionV>
              <wp:extent cx="4787900" cy="161925"/>
              <wp:effectExtent l="0" t="0" r="0" b="0"/>
              <wp:wrapNone/>
              <wp:docPr id="9" name="f053fe88-db2b-430b-bcc5-fbb915a19314"/>
              <wp:cNvGraphicFramePr/>
              <a:graphic xmlns:a="http://schemas.openxmlformats.org/drawingml/2006/main">
                <a:graphicData uri="http://schemas.microsoft.com/office/word/2010/wordprocessingShape">
                  <wps:wsp xmlns:wps="http://schemas.microsoft.com/office/word/2010/wordprocessingShape">
                    <wps:cNvSpPr txBox="1"/>
                    <wps:spPr>
                      <a:xfrm>
                        <a:off x="0" y="0"/>
                        <a:ext cx="4787900" cy="161925"/>
                      </a:xfrm>
                      <a:prstGeom prst="rect">
                        <a:avLst/>
                      </a:prstGeom>
                      <a:noFill/>
                    </wps:spPr>
                    <wps:txbx>
                      <w:txbxContent>
                        <w:p w:rsidR="003672A8" w14:textId="77777777">
                          <w:pPr>
                            <w:pStyle w:val="Referentiegegevens"/>
                          </w:pPr>
                          <w:r>
                            <w:t>&gt; Retouradres Postbus 20011 2500 EA  Den Haag</w:t>
                          </w:r>
                        </w:p>
                      </w:txbxContent>
                    </wps:txbx>
                    <wps:bodyPr vert="horz" wrap="square" lIns="0" tIns="0" rIns="0" bIns="0" anchor="t" anchorCtr="0"/>
                  </wps:wsp>
                </a:graphicData>
              </a:graphic>
            </wp:anchor>
          </w:drawing>
        </mc:Choice>
        <mc:Fallback>
          <w:pict>
            <v:shape id="f053fe88-db2b-430b-bcc5-fbb915a19314" o:spid="_x0000_s2055" type="#_x0000_t202" style="width:377pt;height:12.75pt;margin-top:135.45pt;margin-left:79.6pt;mso-position-horizontal-relative:page;mso-wrap-distance-bottom:0;mso-wrap-distance-left:0;mso-wrap-distance-right:0;mso-wrap-distance-top:0;mso-wrap-style:square;position:absolute;v-text-anchor:top;visibility:visible;z-index:251671552" filled="f" stroked="f">
              <v:textbox inset="0,0,0,0">
                <w:txbxContent>
                  <w:p w:rsidR="003672A8" w14:paraId="54EA3896" w14:textId="77777777">
                    <w:pPr>
                      <w:pStyle w:val="Referentiegegevens"/>
                    </w:pPr>
                    <w:r>
                      <w:t>&gt; Retouradres Postbus 20011 2500 EA  Den Haag</w:t>
                    </w:r>
                  </w:p>
                </w:txbxContent>
              </v:textbox>
              <w10:anchorlock/>
            </v:shape>
          </w:pict>
        </mc:Fallback>
      </mc:AlternateContent>
    </w:r>
    <w:r>
      <w:rPr>
        <w:noProof/>
      </w:rPr>
      <mc:AlternateContent>
        <mc:Choice Requires="wps">
          <w:drawing>
            <wp:anchor distT="0" distB="0" distL="0" distR="0" simplePos="0" relativeHeight="251672576" behindDoc="0" locked="1" layoutInCell="1" allowOverlap="1">
              <wp:simplePos x="0" y="0"/>
              <wp:positionH relativeFrom="page">
                <wp:posOffset>1007744</wp:posOffset>
              </wp:positionH>
              <wp:positionV relativeFrom="paragraph">
                <wp:posOffset>1954530</wp:posOffset>
              </wp:positionV>
              <wp:extent cx="4787900" cy="1115695"/>
              <wp:effectExtent l="0" t="0" r="0" b="0"/>
              <wp:wrapNone/>
              <wp:docPr id="10" name="d302f2a1-bb28-4417-9701-e3b1450e5fb6" descr="Adresvak"/>
              <wp:cNvGraphicFramePr/>
              <a:graphic xmlns:a="http://schemas.openxmlformats.org/drawingml/2006/main">
                <a:graphicData uri="http://schemas.microsoft.com/office/word/2010/wordprocessingShape">
                  <wps:wsp xmlns:wps="http://schemas.microsoft.com/office/word/2010/wordprocessingShape">
                    <wps:cNvSpPr txBox="1"/>
                    <wps:spPr>
                      <a:xfrm>
                        <a:off x="0" y="0"/>
                        <a:ext cx="4787900" cy="1115695"/>
                      </a:xfrm>
                      <a:prstGeom prst="rect">
                        <a:avLst/>
                      </a:prstGeom>
                      <a:noFill/>
                    </wps:spPr>
                    <wps:txbx>
                      <w:txbxContent>
                        <w:p w:rsidR="003672A8" w14:textId="77777777">
                          <w:r>
                            <w:t>Aan de Voorzitter van de Tweede Kamer der Staten-Generaal</w:t>
                          </w:r>
                        </w:p>
                        <w:p w:rsidR="003672A8" w14:textId="77777777">
                          <w:r>
                            <w:t>Postbus 20018</w:t>
                          </w:r>
                        </w:p>
                        <w:p w:rsidR="003672A8" w14:textId="77777777">
                          <w:r>
                            <w:t>2500 EA  Den Haag</w:t>
                          </w:r>
                        </w:p>
                      </w:txbxContent>
                    </wps:txbx>
                    <wps:bodyPr vert="horz" wrap="square" lIns="0" tIns="0" rIns="0" bIns="0" anchor="t" anchorCtr="0"/>
                  </wps:wsp>
                </a:graphicData>
              </a:graphic>
            </wp:anchor>
          </w:drawing>
        </mc:Choice>
        <mc:Fallback>
          <w:pict>
            <v:shape id="d302f2a1-bb28-4417-9701-e3b1450e5fb6" o:spid="_x0000_s2056" type="#_x0000_t202" alt="Adresvak" style="width:377pt;height:87.85pt;margin-top:153.9pt;margin-left:79.35pt;mso-position-horizontal-relative:page;mso-wrap-distance-bottom:0;mso-wrap-distance-left:0;mso-wrap-distance-right:0;mso-wrap-distance-top:0;mso-wrap-style:square;position:absolute;v-text-anchor:top;visibility:visible;z-index:251673600" filled="f" stroked="f">
              <v:textbox inset="0,0,0,0">
                <w:txbxContent>
                  <w:p w:rsidR="003672A8" w14:paraId="174B6C08" w14:textId="77777777">
                    <w:r>
                      <w:t>Aan de Voorzitter van de Tweede Kamer der Staten-Generaal</w:t>
                    </w:r>
                  </w:p>
                  <w:p w:rsidR="003672A8" w14:paraId="437C3ACF" w14:textId="77777777">
                    <w:r>
                      <w:t>Postbus 20018</w:t>
                    </w:r>
                  </w:p>
                  <w:p w:rsidR="003672A8" w14:paraId="0FE8F11E" w14:textId="77777777">
                    <w:r>
                      <w:t>2500 EA  Den Haag</w:t>
                    </w:r>
                  </w:p>
                </w:txbxContent>
              </v:textbox>
              <w10:anchorlock/>
            </v:shape>
          </w:pict>
        </mc:Fallback>
      </mc:AlternateContent>
    </w:r>
    <w:r>
      <w:rPr>
        <w:noProof/>
      </w:rPr>
      <mc:AlternateContent>
        <mc:Choice Requires="wps">
          <w:drawing>
            <wp:anchor distT="0" distB="0" distL="0" distR="0" simplePos="0" relativeHeight="251674624" behindDoc="0" locked="1" layoutInCell="1" allowOverlap="1">
              <wp:simplePos x="0" y="0"/>
              <wp:positionH relativeFrom="page">
                <wp:posOffset>1009015</wp:posOffset>
              </wp:positionH>
              <wp:positionV relativeFrom="paragraph">
                <wp:posOffset>3354704</wp:posOffset>
              </wp:positionV>
              <wp:extent cx="4787900" cy="323850"/>
              <wp:effectExtent l="0" t="0" r="0" b="0"/>
              <wp:wrapNone/>
              <wp:docPr id="11" name="1670fa0c-13cb-45ec-92be-ef1f34d237c5"/>
              <wp:cNvGraphicFramePr/>
              <a:graphic xmlns:a="http://schemas.openxmlformats.org/drawingml/2006/main">
                <a:graphicData uri="http://schemas.microsoft.com/office/word/2010/wordprocessingShape">
                  <wps:wsp xmlns:wps="http://schemas.microsoft.com/office/word/2010/wordprocessingShape">
                    <wps:cNvSpPr txBox="1"/>
                    <wps:spPr>
                      <a:xfrm>
                        <a:off x="0" y="0"/>
                        <a:ext cx="4787900" cy="323850"/>
                      </a:xfrm>
                      <a:prstGeom prst="rect">
                        <a:avLst/>
                      </a:prstGeom>
                      <a:noFill/>
                    </wps:spPr>
                    <wps:txbx>
                      <w:txbxContent>
                        <w:tbl>
                          <w:tblPr>
                            <w:tblW w:w="0" w:type="auto"/>
                            <w:tblInd w:w="-120" w:type="dxa"/>
                            <w:tblLayout w:type="fixed"/>
                            <w:tblLook w:val="07E0"/>
                          </w:tblPr>
                          <w:tblGrid>
                            <w:gridCol w:w="1140"/>
                            <w:gridCol w:w="5918"/>
                          </w:tblGrid>
                          <w:tr w14:paraId="7362B4F9" w14:textId="77777777">
                            <w:tblPrEx>
                              <w:tblW w:w="0" w:type="auto"/>
                              <w:tblInd w:w="-120" w:type="dxa"/>
                              <w:tblLayout w:type="fixed"/>
                              <w:tblLook w:val="07E0"/>
                            </w:tblPrEx>
                            <w:trPr>
                              <w:trHeight w:val="240"/>
                            </w:trPr>
                            <w:tc>
                              <w:tcPr>
                                <w:tcW w:w="1140" w:type="dxa"/>
                              </w:tcPr>
                              <w:p w:rsidR="003672A8" w14:textId="77777777">
                                <w:r>
                                  <w:t>Datum</w:t>
                                </w:r>
                              </w:p>
                            </w:tc>
                            <w:tc>
                              <w:tcPr>
                                <w:tcW w:w="5918" w:type="dxa"/>
                              </w:tcPr>
                              <w:p w:rsidR="003672A8" w14:textId="03835052">
                                <w:r>
                                  <w:t>20 november 2025</w:t>
                                </w:r>
                              </w:p>
                            </w:tc>
                          </w:tr>
                          <w:tr w14:paraId="01C244C4" w14:textId="77777777">
                            <w:tblPrEx>
                              <w:tblW w:w="0" w:type="auto"/>
                              <w:tblInd w:w="-120" w:type="dxa"/>
                              <w:tblLayout w:type="fixed"/>
                              <w:tblLook w:val="07E0"/>
                            </w:tblPrEx>
                            <w:trPr>
                              <w:trHeight w:val="240"/>
                            </w:trPr>
                            <w:tc>
                              <w:tcPr>
                                <w:tcW w:w="1140" w:type="dxa"/>
                              </w:tcPr>
                              <w:p w:rsidR="003672A8" w14:textId="77777777">
                                <w:r>
                                  <w:t>Betreft</w:t>
                                </w:r>
                              </w:p>
                            </w:tc>
                            <w:tc>
                              <w:tcPr>
                                <w:tcW w:w="5918" w:type="dxa"/>
                              </w:tcPr>
                              <w:p w:rsidR="003672A8" w14:textId="77777777">
                                <w:r>
                                  <w:t>Weging ontwikkelingen huur</w:t>
                                </w:r>
                                <w:r w:rsidR="00D433DC">
                                  <w:t>sector</w:t>
                                </w:r>
                                <w:r>
                                  <w:t xml:space="preserve"> 2025</w:t>
                                </w:r>
                                <w:r w:rsidR="00874C61">
                                  <w:t>/2</w:t>
                                </w:r>
                              </w:p>
                            </w:tc>
                          </w:tr>
                        </w:tbl>
                        <w:p w:rsidR="006D5459" w14:textId="77777777"/>
                      </w:txbxContent>
                    </wps:txbx>
                    <wps:bodyPr vert="horz" wrap="square" lIns="0" tIns="0" rIns="0" bIns="0" anchor="t" anchorCtr="0"/>
                  </wps:wsp>
                </a:graphicData>
              </a:graphic>
            </wp:anchor>
          </w:drawing>
        </mc:Choice>
        <mc:Fallback>
          <w:pict>
            <v:shape id="1670fa0c-13cb-45ec-92be-ef1f34d237c5" o:spid="_x0000_s2057" type="#_x0000_t202" style="width:377pt;height:25.5pt;margin-top:264.15pt;margin-left:79.45pt;mso-position-horizontal-relative:page;mso-wrap-distance-bottom:0;mso-wrap-distance-left:0;mso-wrap-distance-right:0;mso-wrap-distance-top:0;mso-wrap-style:square;position:absolute;v-text-anchor:top;visibility:visible;z-index:251675648" filled="f" stroked="f">
              <v:textbox inset="0,0,0,0">
                <w:txbxContent>
                  <w:tbl>
                    <w:tblPr>
                      <w:tblW w:w="0" w:type="auto"/>
                      <w:tblInd w:w="-120" w:type="dxa"/>
                      <w:tblLayout w:type="fixed"/>
                      <w:tblLook w:val="07E0"/>
                    </w:tblPr>
                    <w:tblGrid>
                      <w:gridCol w:w="1140"/>
                      <w:gridCol w:w="5918"/>
                    </w:tblGrid>
                    <w:tr w14:paraId="7362B4F8" w14:textId="77777777">
                      <w:tblPrEx>
                        <w:tblW w:w="0" w:type="auto"/>
                        <w:tblInd w:w="-120" w:type="dxa"/>
                        <w:tblLayout w:type="fixed"/>
                        <w:tblLook w:val="07E0"/>
                      </w:tblPrEx>
                      <w:trPr>
                        <w:trHeight w:val="240"/>
                      </w:trPr>
                      <w:tc>
                        <w:tcPr>
                          <w:tcW w:w="1140" w:type="dxa"/>
                        </w:tcPr>
                        <w:p w:rsidR="003672A8" w14:paraId="446A999E" w14:textId="77777777">
                          <w:r>
                            <w:t>Datum</w:t>
                          </w:r>
                        </w:p>
                      </w:tc>
                      <w:tc>
                        <w:tcPr>
                          <w:tcW w:w="5918" w:type="dxa"/>
                        </w:tcPr>
                        <w:p w:rsidR="003672A8" w14:paraId="48941126" w14:textId="03835052">
                          <w:r>
                            <w:t>20 november 2025</w:t>
                          </w:r>
                        </w:p>
                      </w:tc>
                    </w:tr>
                    <w:tr w14:paraId="01C244C3" w14:textId="77777777">
                      <w:tblPrEx>
                        <w:tblW w:w="0" w:type="auto"/>
                        <w:tblInd w:w="-120" w:type="dxa"/>
                        <w:tblLayout w:type="fixed"/>
                        <w:tblLook w:val="07E0"/>
                      </w:tblPrEx>
                      <w:trPr>
                        <w:trHeight w:val="240"/>
                      </w:trPr>
                      <w:tc>
                        <w:tcPr>
                          <w:tcW w:w="1140" w:type="dxa"/>
                        </w:tcPr>
                        <w:p w:rsidR="003672A8" w14:paraId="2CC589F4" w14:textId="77777777">
                          <w:r>
                            <w:t>Betreft</w:t>
                          </w:r>
                        </w:p>
                      </w:tc>
                      <w:tc>
                        <w:tcPr>
                          <w:tcW w:w="5918" w:type="dxa"/>
                        </w:tcPr>
                        <w:p w:rsidR="003672A8" w14:paraId="314A12DC" w14:textId="77777777">
                          <w:r>
                            <w:t>Weging ontwikkelingen huur</w:t>
                          </w:r>
                          <w:r w:rsidR="00D433DC">
                            <w:t>sector</w:t>
                          </w:r>
                          <w:r>
                            <w:t xml:space="preserve"> 2025</w:t>
                          </w:r>
                          <w:r w:rsidR="00874C61">
                            <w:t>/2</w:t>
                          </w:r>
                        </w:p>
                      </w:tc>
                    </w:tr>
                  </w:tbl>
                  <w:p w:rsidR="006D5459" w14:paraId="14D4A138" w14:textId="77777777"/>
                </w:txbxContent>
              </v:textbox>
              <w10:anchorlock/>
            </v:shape>
          </w:pict>
        </mc:Fallback>
      </mc:AlternateContent>
    </w:r>
    <w:r>
      <w:rPr>
        <w:noProof/>
      </w:rPr>
      <mc:AlternateContent>
        <mc:Choice Requires="wps">
          <w:drawing>
            <wp:anchor distT="0" distB="0" distL="0" distR="0" simplePos="0" relativeHeight="251676672" behindDoc="0" locked="1" layoutInCell="1" allowOverlap="1">
              <wp:simplePos x="0" y="0"/>
              <wp:positionH relativeFrom="page">
                <wp:posOffset>5921375</wp:posOffset>
              </wp:positionH>
              <wp:positionV relativeFrom="paragraph">
                <wp:posOffset>1965325</wp:posOffset>
              </wp:positionV>
              <wp:extent cx="1277620" cy="8009890"/>
              <wp:effectExtent l="0" t="0" r="0" b="0"/>
              <wp:wrapNone/>
              <wp:docPr id="12" name="aa29ef58-fa5a-4ef1-bc47-43f659f7c670" descr="Colofon"/>
              <wp:cNvGraphicFramePr/>
              <a:graphic xmlns:a="http://schemas.openxmlformats.org/drawingml/2006/main">
                <a:graphicData uri="http://schemas.microsoft.com/office/word/2010/wordprocessingShape">
                  <wps:wsp xmlns:wps="http://schemas.microsoft.com/office/word/2010/wordprocessingShape">
                    <wps:cNvSpPr txBox="1"/>
                    <wps:spPr>
                      <a:xfrm>
                        <a:off x="0" y="0"/>
                        <a:ext cx="1277620" cy="8009890"/>
                      </a:xfrm>
                      <a:prstGeom prst="rect">
                        <a:avLst/>
                      </a:prstGeom>
                      <a:noFill/>
                    </wps:spPr>
                    <wps:txbx>
                      <w:txbxContent>
                        <w:p w:rsidR="003672A8" w:rsidRPr="00B44D97" w14:textId="77777777">
                          <w:pPr>
                            <w:pStyle w:val="Referentiegegevens"/>
                            <w:rPr>
                              <w:lang w:val="de-DE"/>
                            </w:rPr>
                          </w:pPr>
                          <w:r w:rsidRPr="00B44D97">
                            <w:rPr>
                              <w:lang w:val="de-DE"/>
                            </w:rPr>
                            <w:t>Turfmarkt</w:t>
                          </w:r>
                          <w:r w:rsidRPr="00B44D97">
                            <w:rPr>
                              <w:lang w:val="de-DE"/>
                            </w:rPr>
                            <w:t xml:space="preserve"> 147</w:t>
                          </w:r>
                        </w:p>
                        <w:p w:rsidR="003672A8" w:rsidRPr="00B44D97" w14:textId="77777777">
                          <w:pPr>
                            <w:pStyle w:val="Referentiegegevens"/>
                            <w:rPr>
                              <w:lang w:val="de-DE"/>
                            </w:rPr>
                          </w:pPr>
                          <w:r w:rsidRPr="00B44D97">
                            <w:rPr>
                              <w:lang w:val="de-DE"/>
                            </w:rPr>
                            <w:t>2511 DP Den Haag</w:t>
                          </w:r>
                        </w:p>
                        <w:p w:rsidR="003672A8" w:rsidRPr="00B44D97" w14:textId="77777777">
                          <w:pPr>
                            <w:pStyle w:val="Referentiegegevens"/>
                            <w:rPr>
                              <w:lang w:val="de-DE"/>
                            </w:rPr>
                          </w:pPr>
                          <w:r w:rsidRPr="00B44D97">
                            <w:rPr>
                              <w:lang w:val="de-DE"/>
                            </w:rPr>
                            <w:t>Postbus 20011</w:t>
                          </w:r>
                        </w:p>
                        <w:p w:rsidR="003672A8" w14:textId="77777777">
                          <w:pPr>
                            <w:pStyle w:val="Referentiegegevens"/>
                          </w:pPr>
                          <w:r>
                            <w:t>2500 EA  Den Haag</w:t>
                          </w:r>
                        </w:p>
                        <w:p w:rsidR="00F04C36" w:rsidP="00F04C36" w14:textId="77777777"/>
                        <w:p w:rsidR="00F04C36" w:rsidRPr="00F04C36" w:rsidP="00F04C36" w14:textId="69017602">
                          <w:pPr>
                            <w:rPr>
                              <w:b/>
                              <w:bCs/>
                              <w:sz w:val="13"/>
                              <w:szCs w:val="13"/>
                            </w:rPr>
                          </w:pPr>
                          <w:r w:rsidRPr="00F04C36">
                            <w:rPr>
                              <w:b/>
                              <w:bCs/>
                              <w:sz w:val="13"/>
                              <w:szCs w:val="13"/>
                            </w:rPr>
                            <w:t>Ons kenmerk</w:t>
                          </w:r>
                        </w:p>
                        <w:p w:rsidR="00C916C8" w14:textId="77777777">
                          <w:pPr>
                            <w:pStyle w:val="Referentiegegevens"/>
                          </w:pPr>
                          <w:r>
                            <w:fldChar w:fldCharType="begin"/>
                          </w:r>
                          <w:r>
                            <w:instrText xml:space="preserve"> DOCPROPERTY  "Kenmerk"  \* MERGEFORMAT </w:instrText>
                          </w:r>
                          <w:r>
                            <w:fldChar w:fldCharType="separate"/>
                          </w:r>
                          <w:r w:rsidR="00F04C36">
                            <w:t>2025-0000646651</w:t>
                          </w:r>
                          <w:r w:rsidR="00F04C36">
                            <w:fldChar w:fldCharType="end"/>
                          </w:r>
                        </w:p>
                        <w:p w:rsidR="003672A8" w14:textId="77777777">
                          <w:pPr>
                            <w:pStyle w:val="Referentiegegevensbold"/>
                          </w:pPr>
                          <w:r>
                            <w:t>Bijlage(n)</w:t>
                          </w:r>
                        </w:p>
                        <w:p w:rsidR="003672A8" w14:textId="77777777">
                          <w:pPr>
                            <w:pStyle w:val="Referentiegegevens"/>
                          </w:pPr>
                          <w:r>
                            <w:t>2</w:t>
                          </w:r>
                        </w:p>
                        <w:p w:rsidR="003672A8" w14:textId="77777777">
                          <w:pPr>
                            <w:pStyle w:val="WitregelW2"/>
                          </w:pPr>
                        </w:p>
                        <w:p w:rsidR="003672A8" w14:textId="77777777"/>
                      </w:txbxContent>
                    </wps:txbx>
                    <wps:bodyPr vert="horz" wrap="square" lIns="0" tIns="0" rIns="0" bIns="0" anchor="t" anchorCtr="0"/>
                  </wps:wsp>
                </a:graphicData>
              </a:graphic>
            </wp:anchor>
          </w:drawing>
        </mc:Choice>
        <mc:Fallback>
          <w:pict>
            <v:shape id="aa29ef58-fa5a-4ef1-bc47-43f659f7c670" o:spid="_x0000_s2058" type="#_x0000_t202" alt="Colofon" style="width:100.6pt;height:630.7pt;margin-top:154.75pt;margin-left:466.25pt;mso-position-horizontal-relative:page;mso-wrap-distance-bottom:0;mso-wrap-distance-left:0;mso-wrap-distance-right:0;mso-wrap-distance-top:0;mso-wrap-style:square;position:absolute;v-text-anchor:top;visibility:visible;z-index:251677696" filled="f" stroked="f">
              <v:textbox inset="0,0,0,0">
                <w:txbxContent>
                  <w:p w:rsidR="003672A8" w:rsidRPr="00B44D97" w14:paraId="07DE472B" w14:textId="77777777">
                    <w:pPr>
                      <w:pStyle w:val="Referentiegegevens"/>
                      <w:rPr>
                        <w:lang w:val="de-DE"/>
                      </w:rPr>
                    </w:pPr>
                    <w:r w:rsidRPr="00B44D97">
                      <w:rPr>
                        <w:lang w:val="de-DE"/>
                      </w:rPr>
                      <w:t>Turfmarkt</w:t>
                    </w:r>
                    <w:r w:rsidRPr="00B44D97">
                      <w:rPr>
                        <w:lang w:val="de-DE"/>
                      </w:rPr>
                      <w:t xml:space="preserve"> 147</w:t>
                    </w:r>
                  </w:p>
                  <w:p w:rsidR="003672A8" w:rsidRPr="00B44D97" w14:paraId="755CDFE9" w14:textId="77777777">
                    <w:pPr>
                      <w:pStyle w:val="Referentiegegevens"/>
                      <w:rPr>
                        <w:lang w:val="de-DE"/>
                      </w:rPr>
                    </w:pPr>
                    <w:r w:rsidRPr="00B44D97">
                      <w:rPr>
                        <w:lang w:val="de-DE"/>
                      </w:rPr>
                      <w:t>2511 DP Den Haag</w:t>
                    </w:r>
                  </w:p>
                  <w:p w:rsidR="003672A8" w:rsidRPr="00B44D97" w14:paraId="0706DCB1" w14:textId="77777777">
                    <w:pPr>
                      <w:pStyle w:val="Referentiegegevens"/>
                      <w:rPr>
                        <w:lang w:val="de-DE"/>
                      </w:rPr>
                    </w:pPr>
                    <w:r w:rsidRPr="00B44D97">
                      <w:rPr>
                        <w:lang w:val="de-DE"/>
                      </w:rPr>
                      <w:t>Postbus 20011</w:t>
                    </w:r>
                  </w:p>
                  <w:p w:rsidR="003672A8" w14:paraId="2D4D2D45" w14:textId="77777777">
                    <w:pPr>
                      <w:pStyle w:val="Referentiegegevens"/>
                    </w:pPr>
                    <w:r>
                      <w:t>2500 EA  Den Haag</w:t>
                    </w:r>
                  </w:p>
                  <w:p w:rsidR="00F04C36" w:rsidP="00F04C36" w14:paraId="4E2F4621" w14:textId="77777777"/>
                  <w:p w:rsidR="00F04C36" w:rsidRPr="00F04C36" w:rsidP="00F04C36" w14:paraId="1B76EA53" w14:textId="69017602">
                    <w:pPr>
                      <w:rPr>
                        <w:b/>
                        <w:bCs/>
                        <w:sz w:val="13"/>
                        <w:szCs w:val="13"/>
                      </w:rPr>
                    </w:pPr>
                    <w:r w:rsidRPr="00F04C36">
                      <w:rPr>
                        <w:b/>
                        <w:bCs/>
                        <w:sz w:val="13"/>
                        <w:szCs w:val="13"/>
                      </w:rPr>
                      <w:t>Ons kenmerk</w:t>
                    </w:r>
                  </w:p>
                  <w:p w:rsidR="00C916C8" w14:paraId="04CE8809" w14:textId="77777777">
                    <w:pPr>
                      <w:pStyle w:val="Referentiegegevens"/>
                    </w:pPr>
                    <w:r>
                      <w:fldChar w:fldCharType="begin"/>
                    </w:r>
                    <w:r>
                      <w:instrText xml:space="preserve"> DOCPROPERTY  "Kenmerk"  \* MERGEFORMAT </w:instrText>
                    </w:r>
                    <w:r>
                      <w:fldChar w:fldCharType="separate"/>
                    </w:r>
                    <w:r w:rsidR="00F04C36">
                      <w:t>2025-0000646651</w:t>
                    </w:r>
                    <w:r w:rsidR="00F04C36">
                      <w:fldChar w:fldCharType="end"/>
                    </w:r>
                  </w:p>
                  <w:p w:rsidR="003672A8" w14:paraId="02457E31" w14:textId="77777777">
                    <w:pPr>
                      <w:pStyle w:val="Referentiegegevensbold"/>
                    </w:pPr>
                    <w:r>
                      <w:t>Bijlage(n)</w:t>
                    </w:r>
                  </w:p>
                  <w:p w:rsidR="003672A8" w14:paraId="3F06C4C4" w14:textId="77777777">
                    <w:pPr>
                      <w:pStyle w:val="Referentiegegevens"/>
                    </w:pPr>
                    <w:r>
                      <w:t>2</w:t>
                    </w:r>
                  </w:p>
                  <w:p w:rsidR="003672A8" w14:paraId="01B75812" w14:textId="77777777">
                    <w:pPr>
                      <w:pStyle w:val="WitregelW2"/>
                    </w:pPr>
                  </w:p>
                  <w:p w:rsidR="003672A8" w14:paraId="71BA4BE1" w14:textId="77777777"/>
                </w:txbxContent>
              </v:textbox>
              <w10:anchorlock/>
            </v:shape>
          </w:pict>
        </mc:Fallback>
      </mc:AlternateContent>
    </w:r>
    <w:r>
      <w:rPr>
        <w:noProof/>
      </w:rPr>
      <mc:AlternateContent>
        <mc:Choice Requires="wps">
          <w:drawing>
            <wp:anchor distT="0" distB="0" distL="0" distR="0" simplePos="0" relativeHeight="251678720" behindDoc="0" locked="1" layoutInCell="1" allowOverlap="1">
              <wp:simplePos x="0" y="0"/>
              <wp:positionH relativeFrom="page">
                <wp:posOffset>5921375</wp:posOffset>
              </wp:positionH>
              <wp:positionV relativeFrom="paragraph">
                <wp:posOffset>10194925</wp:posOffset>
              </wp:positionV>
              <wp:extent cx="1285875" cy="161290"/>
              <wp:effectExtent l="0" t="0" r="0" b="0"/>
              <wp:wrapNone/>
              <wp:docPr id="13" name="fc795519-edb4-40fa-b772-922592680a29" descr="Paginanummering"/>
              <wp:cNvGraphicFramePr/>
              <a:graphic xmlns:a="http://schemas.openxmlformats.org/drawingml/2006/main">
                <a:graphicData uri="http://schemas.microsoft.com/office/word/2010/wordprocessingShape">
                  <wps:wsp xmlns:wps="http://schemas.microsoft.com/office/word/2010/wordprocessingShape">
                    <wps:cNvSpPr txBox="1"/>
                    <wps:spPr>
                      <a:xfrm>
                        <a:off x="0" y="0"/>
                        <a:ext cx="1285875" cy="161290"/>
                      </a:xfrm>
                      <a:prstGeom prst="rect">
                        <a:avLst/>
                      </a:prstGeom>
                      <a:noFill/>
                    </wps:spPr>
                    <wps:txbx>
                      <w:txbxContent>
                        <w:p w:rsidR="00C916C8" w14:textId="77777777">
                          <w:pPr>
                            <w:pStyle w:val="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wps:txbx>
                    <wps:bodyPr vert="horz" wrap="square" lIns="0" tIns="0" rIns="0" bIns="0" anchor="t" anchorCtr="0"/>
                  </wps:wsp>
                </a:graphicData>
              </a:graphic>
            </wp:anchor>
          </w:drawing>
        </mc:Choice>
        <mc:Fallback>
          <w:pict>
            <v:shape id="fc795519-edb4-40fa-b772-922592680a29" o:spid="_x0000_s2059" type="#_x0000_t202" alt="Paginanummering" style="width:101.25pt;height:12.7pt;margin-top:802.75pt;margin-left:466.25pt;mso-position-horizontal-relative:page;mso-wrap-distance-bottom:0;mso-wrap-distance-left:0;mso-wrap-distance-right:0;mso-wrap-distance-top:0;mso-wrap-style:square;position:absolute;v-text-anchor:top;visibility:visible;z-index:251679744" filled="f" stroked="f">
              <v:textbox inset="0,0,0,0">
                <w:txbxContent>
                  <w:p w:rsidR="00C916C8" w14:paraId="32FD4F8E" w14:textId="77777777">
                    <w:pPr>
                      <w:pStyle w:val="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v:textbox>
              <w10:anchorlock/>
            </v:shape>
          </w:pict>
        </mc:Fallback>
      </mc:AlternateContent>
    </w:r>
    <w:r>
      <w:rPr>
        <w:noProof/>
      </w:rPr>
      <mc:AlternateContent>
        <mc:Choice Requires="wps">
          <w:drawing>
            <wp:anchor distT="0" distB="0" distL="0" distR="0" simplePos="0" relativeHeight="251680768" behindDoc="0" locked="1" layoutInCell="1" allowOverlap="1">
              <wp:simplePos x="0" y="0"/>
              <wp:positionH relativeFrom="page">
                <wp:posOffset>998219</wp:posOffset>
              </wp:positionH>
              <wp:positionV relativeFrom="paragraph">
                <wp:posOffset>10197465</wp:posOffset>
              </wp:positionV>
              <wp:extent cx="4787900" cy="161925"/>
              <wp:effectExtent l="0" t="0" r="0" b="0"/>
              <wp:wrapNone/>
              <wp:docPr id="14" name="ea113d41-b39a-4e3b-9a6a-dce66e72abe4" descr="Voettekst"/>
              <wp:cNvGraphicFramePr/>
              <a:graphic xmlns:a="http://schemas.openxmlformats.org/drawingml/2006/main">
                <a:graphicData uri="http://schemas.microsoft.com/office/word/2010/wordprocessingShape">
                  <wps:wsp xmlns:wps="http://schemas.microsoft.com/office/word/2010/wordprocessingShape">
                    <wps:cNvSpPr txBox="1"/>
                    <wps:spPr>
                      <a:xfrm>
                        <a:off x="0" y="0"/>
                        <a:ext cx="4787900" cy="161925"/>
                      </a:xfrm>
                      <a:prstGeom prst="rect">
                        <a:avLst/>
                      </a:prstGeom>
                      <a:noFill/>
                    </wps:spPr>
                    <wps:txbx>
                      <w:txbxContent>
                        <w:p w:rsidR="006D5459" w14:textId="77777777"/>
                      </w:txbxContent>
                    </wps:txbx>
                    <wps:bodyPr vert="horz" wrap="square" lIns="0" tIns="0" rIns="0" bIns="0" anchor="t" anchorCtr="0"/>
                  </wps:wsp>
                </a:graphicData>
              </a:graphic>
            </wp:anchor>
          </w:drawing>
        </mc:Choice>
        <mc:Fallback>
          <w:pict>
            <v:shape id="ea113d41-b39a-4e3b-9a6a-dce66e72abe4" o:spid="_x0000_s2060" type="#_x0000_t202" alt="Voettekst" style="width:377pt;height:12.75pt;margin-top:802.95pt;margin-left:78.6pt;mso-position-horizontal-relative:page;mso-wrap-distance-bottom:0;mso-wrap-distance-left:0;mso-wrap-distance-right:0;mso-wrap-distance-top:0;mso-wrap-style:square;position:absolute;v-text-anchor:top;visibility:visible;z-index:251681792" filled="f" stroked="f">
              <v:textbox inset="0,0,0,0">
                <w:txbxContent>
                  <w:p w:rsidR="006D5459" w14:paraId="007A7AFF" w14:textId="77777777"/>
                </w:txbxContent>
              </v:textbox>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8D8D91AD"/>
    <w:multiLevelType w:val="multilevel"/>
    <w:tmpl w:val="3A7323CD"/>
    <w:name w:val="Genummerde lijst"/>
    <w:styleLink w:val="Genummerdelijst"/>
    <w:lvl w:ilvl="0">
      <w:start w:val="1"/>
      <w:numFmt w:val="decimal"/>
      <w:pStyle w:val="Nummering"/>
      <w:lvlText w:val="%1."/>
      <w:lvlJc w:val="left"/>
      <w:pPr>
        <w:ind w:left="720" w:hanging="360"/>
      </w:pPr>
    </w:lvl>
    <w:lvl w:ilvl="1">
      <w:start w:val="1"/>
      <w:numFmt w:val="lowerLetter"/>
      <w:lvlText w:val="%2."/>
      <w:lvlJc w:val="left"/>
      <w:pPr>
        <w:ind w:left="1440" w:hanging="360"/>
      </w:pPr>
    </w:lvl>
    <w:lvl w:ilvl="2">
      <w:start w:val="1"/>
      <w:numFmt w:val="lowerRoman"/>
      <w:lvlText w:val="%3."/>
      <w:lvlJc w:val="lef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6480" w:hanging="360"/>
      </w:pPr>
    </w:lvl>
  </w:abstractNum>
  <w:abstractNum w:abstractNumId="1">
    <w:nsid w:val="8F6A0E61"/>
    <w:multiLevelType w:val="multilevel"/>
    <w:tmpl w:val="C9BC14DA"/>
    <w:name w:val="Artikelnummering"/>
    <w:lvl w:ilvl="0">
      <w:start w:val="1"/>
      <w:numFmt w:val="decimal"/>
      <w:pStyle w:val="Artikelnummer"/>
      <w:lvlText w:val="Artikel %1."/>
      <w:lvlJc w:val="left"/>
      <w:pPr>
        <w:ind w:left="1130" w:hanging="1130"/>
      </w:pPr>
    </w:lvl>
    <w:lvl w:ilvl="1">
      <w:start w:val="1"/>
      <w:numFmt w:val="decimal"/>
      <w:pStyle w:val="Lidnummer"/>
      <w:lvlText w:val="%2."/>
      <w:lvlJc w:val="left"/>
      <w:pPr>
        <w:ind w:left="425" w:hanging="425"/>
      </w:pPr>
    </w:lvl>
    <w:lvl w:ilvl="2">
      <w:start w:val="1"/>
      <w:numFmt w:val="lowerLetter"/>
      <w:pStyle w:val="Lidnummerabc"/>
      <w:lvlText w:val="%3."/>
      <w:lvlJc w:val="left"/>
      <w:pPr>
        <w:ind w:left="827" w:hanging="419"/>
      </w:pPr>
    </w:lvl>
    <w:lvl w:ilvl="3">
      <w:start w:val="1"/>
      <w:numFmt w:val="none"/>
      <w:pStyle w:val="Artikelstreepje"/>
      <w:lvlText w:val="-"/>
      <w:lvlJc w:val="left"/>
      <w:pPr>
        <w:ind w:left="357" w:hanging="357"/>
      </w:pPr>
    </w:lvl>
    <w:lvl w:ilvl="4">
      <w:start w:val="1"/>
      <w:numFmt w:val="none"/>
      <w:pStyle w:val="Artikelstreepjeinspringen"/>
      <w:lvlText w:val="-"/>
      <w:lvlJc w:val="left"/>
      <w:pPr>
        <w:ind w:left="827" w:hanging="419"/>
      </w:pPr>
    </w:lvl>
    <w:lvl w:ilvl="5">
      <w:start w:val="1"/>
      <w:numFmt w:val="none"/>
      <w:lvlJc w:val="left"/>
      <w:pPr>
        <w:ind w:left="0" w:firstLine="0"/>
      </w:pPr>
    </w:lvl>
    <w:lvl w:ilvl="6">
      <w:start w:val="1"/>
      <w:numFmt w:val="none"/>
      <w:lvlJc w:val="left"/>
      <w:pPr>
        <w:ind w:left="0" w:firstLine="0"/>
      </w:pPr>
    </w:lvl>
    <w:lvl w:ilvl="7">
      <w:start w:val="1"/>
      <w:numFmt w:val="none"/>
      <w:lvlJc w:val="left"/>
      <w:pPr>
        <w:ind w:left="0" w:firstLine="0"/>
      </w:pPr>
    </w:lvl>
    <w:lvl w:ilvl="8">
      <w:start w:val="1"/>
      <w:numFmt w:val="none"/>
      <w:lvlJc w:val="left"/>
      <w:pPr>
        <w:ind w:left="0" w:firstLine="0"/>
      </w:pPr>
    </w:lvl>
  </w:abstractNum>
  <w:abstractNum w:abstractNumId="2">
    <w:nsid w:val="FBD7E0CD"/>
    <w:multiLevelType w:val="multilevel"/>
    <w:tmpl w:val="DE605E31"/>
    <w:name w:val="Lijst met opsommingstekens"/>
    <w:styleLink w:val="Lijstmetopsommingstekens"/>
    <w:lvl w:ilvl="0">
      <w:start w:val="1"/>
      <w:numFmt w:val="bullet"/>
      <w:pStyle w:val="Opsomming"/>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3">
    <w:nsid w:val="088E509B"/>
    <w:multiLevelType w:val="multilevel"/>
    <w:tmpl w:val="272E56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08B428E0"/>
    <w:multiLevelType w:val="multilevel"/>
    <w:tmpl w:val="1C401E88"/>
    <w:name w:val="Comparitienummering"/>
    <w:lvl w:ilvl="0">
      <w:start w:val="1"/>
      <w:numFmt w:val="decimal"/>
      <w:pStyle w:val="Comparitienummer"/>
      <w:lvlText w:val="%1."/>
      <w:lvlJc w:val="left"/>
      <w:pPr>
        <w:ind w:left="425" w:hanging="425"/>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5">
    <w:nsid w:val="13BF3189"/>
    <w:multiLevelType w:val="hybridMultilevel"/>
    <w:tmpl w:val="379CEC76"/>
    <w:lvl w:ilvl="0">
      <w:start w:val="0"/>
      <w:numFmt w:val="bullet"/>
      <w:lvlText w:val="-"/>
      <w:lvlJc w:val="left"/>
      <w:pPr>
        <w:ind w:left="1080" w:hanging="360"/>
      </w:pPr>
      <w:rPr>
        <w:rFonts w:ascii="Verdana" w:hAnsi="Verdana" w:eastAsiaTheme="minorHAnsi" w:cstheme="minorBidi" w:hint="default"/>
        <w:sz w:val="18"/>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6">
    <w:nsid w:val="15EA66CC"/>
    <w:multiLevelType w:val="hybridMultilevel"/>
    <w:tmpl w:val="DD244184"/>
    <w:lvl w:ilvl="0">
      <w:start w:val="1"/>
      <w:numFmt w:val="bullet"/>
      <w:lvlText w:val=""/>
      <w:lvlJc w:val="left"/>
      <w:pPr>
        <w:ind w:left="720" w:hanging="360"/>
      </w:pPr>
      <w:rPr>
        <w:rFonts w:ascii="Symbol" w:hAnsi="Symbol"/>
      </w:rPr>
    </w:lvl>
    <w:lvl w:ilvl="1">
      <w:start w:val="1"/>
      <w:numFmt w:val="bullet"/>
      <w:lvlText w:val=""/>
      <w:lvlJc w:val="left"/>
      <w:pPr>
        <w:ind w:left="720" w:hanging="360"/>
      </w:pPr>
      <w:rPr>
        <w:rFonts w:ascii="Symbol" w:hAnsi="Symbol"/>
      </w:rPr>
    </w:lvl>
    <w:lvl w:ilvl="2">
      <w:start w:val="1"/>
      <w:numFmt w:val="bullet"/>
      <w:lvlText w:val=""/>
      <w:lvlJc w:val="left"/>
      <w:pPr>
        <w:ind w:left="720" w:hanging="360"/>
      </w:pPr>
      <w:rPr>
        <w:rFonts w:ascii="Symbol" w:hAnsi="Symbol"/>
      </w:rPr>
    </w:lvl>
    <w:lvl w:ilvl="3">
      <w:start w:val="1"/>
      <w:numFmt w:val="bullet"/>
      <w:lvlText w:val=""/>
      <w:lvlJc w:val="left"/>
      <w:pPr>
        <w:ind w:left="720" w:hanging="360"/>
      </w:pPr>
      <w:rPr>
        <w:rFonts w:ascii="Symbol" w:hAnsi="Symbol"/>
      </w:rPr>
    </w:lvl>
    <w:lvl w:ilvl="4">
      <w:start w:val="1"/>
      <w:numFmt w:val="bullet"/>
      <w:lvlText w:val=""/>
      <w:lvlJc w:val="left"/>
      <w:pPr>
        <w:ind w:left="720" w:hanging="360"/>
      </w:pPr>
      <w:rPr>
        <w:rFonts w:ascii="Symbol" w:hAnsi="Symbol"/>
      </w:rPr>
    </w:lvl>
    <w:lvl w:ilvl="5">
      <w:start w:val="1"/>
      <w:numFmt w:val="bullet"/>
      <w:lvlText w:val=""/>
      <w:lvlJc w:val="left"/>
      <w:pPr>
        <w:ind w:left="720" w:hanging="360"/>
      </w:pPr>
      <w:rPr>
        <w:rFonts w:ascii="Symbol" w:hAnsi="Symbol"/>
      </w:rPr>
    </w:lvl>
    <w:lvl w:ilvl="6">
      <w:start w:val="1"/>
      <w:numFmt w:val="bullet"/>
      <w:lvlText w:val=""/>
      <w:lvlJc w:val="left"/>
      <w:pPr>
        <w:ind w:left="720" w:hanging="360"/>
      </w:pPr>
      <w:rPr>
        <w:rFonts w:ascii="Symbol" w:hAnsi="Symbol"/>
      </w:rPr>
    </w:lvl>
    <w:lvl w:ilvl="7">
      <w:start w:val="1"/>
      <w:numFmt w:val="bullet"/>
      <w:lvlText w:val=""/>
      <w:lvlJc w:val="left"/>
      <w:pPr>
        <w:ind w:left="720" w:hanging="360"/>
      </w:pPr>
      <w:rPr>
        <w:rFonts w:ascii="Symbol" w:hAnsi="Symbol"/>
      </w:rPr>
    </w:lvl>
    <w:lvl w:ilvl="8">
      <w:start w:val="1"/>
      <w:numFmt w:val="bullet"/>
      <w:lvlText w:val=""/>
      <w:lvlJc w:val="left"/>
      <w:pPr>
        <w:ind w:left="720" w:hanging="360"/>
      </w:pPr>
      <w:rPr>
        <w:rFonts w:ascii="Symbol" w:hAnsi="Symbol"/>
      </w:rPr>
    </w:lvl>
  </w:abstractNum>
  <w:abstractNum w:abstractNumId="7">
    <w:nsid w:val="169E6041"/>
    <w:multiLevelType w:val="hybridMultilevel"/>
    <w:tmpl w:val="94BC58C6"/>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8">
    <w:nsid w:val="1917432F"/>
    <w:multiLevelType w:val="hybridMultilevel"/>
    <w:tmpl w:val="6E3C8430"/>
    <w:lvl w:ilvl="0">
      <w:start w:val="1"/>
      <w:numFmt w:val="bullet"/>
      <w:lvlText w:val=""/>
      <w:lvlJc w:val="left"/>
      <w:pPr>
        <w:ind w:left="720" w:hanging="360"/>
      </w:pPr>
      <w:rPr>
        <w:rFonts w:ascii="Symbol" w:hAnsi="Symbol"/>
      </w:rPr>
    </w:lvl>
    <w:lvl w:ilvl="1">
      <w:start w:val="1"/>
      <w:numFmt w:val="bullet"/>
      <w:lvlText w:val=""/>
      <w:lvlJc w:val="left"/>
      <w:pPr>
        <w:ind w:left="720" w:hanging="360"/>
      </w:pPr>
      <w:rPr>
        <w:rFonts w:ascii="Symbol" w:hAnsi="Symbol"/>
      </w:rPr>
    </w:lvl>
    <w:lvl w:ilvl="2">
      <w:start w:val="1"/>
      <w:numFmt w:val="bullet"/>
      <w:lvlText w:val=""/>
      <w:lvlJc w:val="left"/>
      <w:pPr>
        <w:ind w:left="720" w:hanging="360"/>
      </w:pPr>
      <w:rPr>
        <w:rFonts w:ascii="Symbol" w:hAnsi="Symbol"/>
      </w:rPr>
    </w:lvl>
    <w:lvl w:ilvl="3">
      <w:start w:val="1"/>
      <w:numFmt w:val="bullet"/>
      <w:lvlText w:val=""/>
      <w:lvlJc w:val="left"/>
      <w:pPr>
        <w:ind w:left="720" w:hanging="360"/>
      </w:pPr>
      <w:rPr>
        <w:rFonts w:ascii="Symbol" w:hAnsi="Symbol"/>
      </w:rPr>
    </w:lvl>
    <w:lvl w:ilvl="4">
      <w:start w:val="1"/>
      <w:numFmt w:val="bullet"/>
      <w:lvlText w:val=""/>
      <w:lvlJc w:val="left"/>
      <w:pPr>
        <w:ind w:left="720" w:hanging="360"/>
      </w:pPr>
      <w:rPr>
        <w:rFonts w:ascii="Symbol" w:hAnsi="Symbol"/>
      </w:rPr>
    </w:lvl>
    <w:lvl w:ilvl="5">
      <w:start w:val="1"/>
      <w:numFmt w:val="bullet"/>
      <w:lvlText w:val=""/>
      <w:lvlJc w:val="left"/>
      <w:pPr>
        <w:ind w:left="720" w:hanging="360"/>
      </w:pPr>
      <w:rPr>
        <w:rFonts w:ascii="Symbol" w:hAnsi="Symbol"/>
      </w:rPr>
    </w:lvl>
    <w:lvl w:ilvl="6">
      <w:start w:val="1"/>
      <w:numFmt w:val="bullet"/>
      <w:lvlText w:val=""/>
      <w:lvlJc w:val="left"/>
      <w:pPr>
        <w:ind w:left="720" w:hanging="360"/>
      </w:pPr>
      <w:rPr>
        <w:rFonts w:ascii="Symbol" w:hAnsi="Symbol"/>
      </w:rPr>
    </w:lvl>
    <w:lvl w:ilvl="7">
      <w:start w:val="1"/>
      <w:numFmt w:val="bullet"/>
      <w:lvlText w:val=""/>
      <w:lvlJc w:val="left"/>
      <w:pPr>
        <w:ind w:left="720" w:hanging="360"/>
      </w:pPr>
      <w:rPr>
        <w:rFonts w:ascii="Symbol" w:hAnsi="Symbol"/>
      </w:rPr>
    </w:lvl>
    <w:lvl w:ilvl="8">
      <w:start w:val="1"/>
      <w:numFmt w:val="bullet"/>
      <w:lvlText w:val=""/>
      <w:lvlJc w:val="left"/>
      <w:pPr>
        <w:ind w:left="720" w:hanging="360"/>
      </w:pPr>
      <w:rPr>
        <w:rFonts w:ascii="Symbol" w:hAnsi="Symbol"/>
      </w:rPr>
    </w:lvl>
  </w:abstractNum>
  <w:abstractNum w:abstractNumId="9">
    <w:nsid w:val="1F2D48FE"/>
    <w:multiLevelType w:val="hybridMultilevel"/>
    <w:tmpl w:val="94BC58C6"/>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0">
    <w:nsid w:val="20714A6E"/>
    <w:multiLevelType w:val="hybridMultilevel"/>
    <w:tmpl w:val="94BC58C6"/>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1">
    <w:nsid w:val="29E909B1"/>
    <w:multiLevelType w:val="hybridMultilevel"/>
    <w:tmpl w:val="028C24C8"/>
    <w:lvl w:ilvl="0">
      <w:start w:val="1"/>
      <w:numFmt w:val="bullet"/>
      <w:lvlText w:val=""/>
      <w:lvlJc w:val="left"/>
      <w:pPr>
        <w:ind w:left="1020" w:hanging="360"/>
      </w:pPr>
      <w:rPr>
        <w:rFonts w:ascii="Symbol" w:hAnsi="Symbol"/>
      </w:rPr>
    </w:lvl>
    <w:lvl w:ilvl="1">
      <w:start w:val="1"/>
      <w:numFmt w:val="bullet"/>
      <w:lvlText w:val=""/>
      <w:lvlJc w:val="left"/>
      <w:pPr>
        <w:ind w:left="1020" w:hanging="360"/>
      </w:pPr>
      <w:rPr>
        <w:rFonts w:ascii="Symbol" w:hAnsi="Symbol"/>
      </w:rPr>
    </w:lvl>
    <w:lvl w:ilvl="2">
      <w:start w:val="1"/>
      <w:numFmt w:val="bullet"/>
      <w:lvlText w:val=""/>
      <w:lvlJc w:val="left"/>
      <w:pPr>
        <w:ind w:left="1020" w:hanging="360"/>
      </w:pPr>
      <w:rPr>
        <w:rFonts w:ascii="Symbol" w:hAnsi="Symbol"/>
      </w:rPr>
    </w:lvl>
    <w:lvl w:ilvl="3">
      <w:start w:val="1"/>
      <w:numFmt w:val="bullet"/>
      <w:lvlText w:val=""/>
      <w:lvlJc w:val="left"/>
      <w:pPr>
        <w:ind w:left="1020" w:hanging="360"/>
      </w:pPr>
      <w:rPr>
        <w:rFonts w:ascii="Symbol" w:hAnsi="Symbol"/>
      </w:rPr>
    </w:lvl>
    <w:lvl w:ilvl="4">
      <w:start w:val="1"/>
      <w:numFmt w:val="bullet"/>
      <w:lvlText w:val=""/>
      <w:lvlJc w:val="left"/>
      <w:pPr>
        <w:ind w:left="1020" w:hanging="360"/>
      </w:pPr>
      <w:rPr>
        <w:rFonts w:ascii="Symbol" w:hAnsi="Symbol"/>
      </w:rPr>
    </w:lvl>
    <w:lvl w:ilvl="5">
      <w:start w:val="1"/>
      <w:numFmt w:val="bullet"/>
      <w:lvlText w:val=""/>
      <w:lvlJc w:val="left"/>
      <w:pPr>
        <w:ind w:left="1020" w:hanging="360"/>
      </w:pPr>
      <w:rPr>
        <w:rFonts w:ascii="Symbol" w:hAnsi="Symbol"/>
      </w:rPr>
    </w:lvl>
    <w:lvl w:ilvl="6">
      <w:start w:val="1"/>
      <w:numFmt w:val="bullet"/>
      <w:lvlText w:val=""/>
      <w:lvlJc w:val="left"/>
      <w:pPr>
        <w:ind w:left="1020" w:hanging="360"/>
      </w:pPr>
      <w:rPr>
        <w:rFonts w:ascii="Symbol" w:hAnsi="Symbol"/>
      </w:rPr>
    </w:lvl>
    <w:lvl w:ilvl="7">
      <w:start w:val="1"/>
      <w:numFmt w:val="bullet"/>
      <w:lvlText w:val=""/>
      <w:lvlJc w:val="left"/>
      <w:pPr>
        <w:ind w:left="1020" w:hanging="360"/>
      </w:pPr>
      <w:rPr>
        <w:rFonts w:ascii="Symbol" w:hAnsi="Symbol"/>
      </w:rPr>
    </w:lvl>
    <w:lvl w:ilvl="8">
      <w:start w:val="1"/>
      <w:numFmt w:val="bullet"/>
      <w:lvlText w:val=""/>
      <w:lvlJc w:val="left"/>
      <w:pPr>
        <w:ind w:left="1020" w:hanging="360"/>
      </w:pPr>
      <w:rPr>
        <w:rFonts w:ascii="Symbol" w:hAnsi="Symbol"/>
      </w:rPr>
    </w:lvl>
  </w:abstractNum>
  <w:abstractNum w:abstractNumId="12">
    <w:nsid w:val="2C9D313C"/>
    <w:multiLevelType w:val="hybridMultilevel"/>
    <w:tmpl w:val="DE829AF6"/>
    <w:lvl w:ilvl="0">
      <w:start w:val="0"/>
      <w:numFmt w:val="bullet"/>
      <w:lvlText w:val="-"/>
      <w:lvlJc w:val="left"/>
      <w:pPr>
        <w:ind w:left="720" w:hanging="360"/>
      </w:pPr>
      <w:rPr>
        <w:rFonts w:ascii="Aptos" w:hAnsi="Aptos" w:eastAsiaTheme="minorHAnsi" w:cstheme="minorBidi"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3">
    <w:nsid w:val="31E444A0"/>
    <w:multiLevelType w:val="hybridMultilevel"/>
    <w:tmpl w:val="CA0A6AAA"/>
    <w:lvl w:ilvl="0">
      <w:start w:val="0"/>
      <w:numFmt w:val="bullet"/>
      <w:lvlText w:val="-"/>
      <w:lvlJc w:val="left"/>
      <w:pPr>
        <w:ind w:left="720" w:hanging="360"/>
      </w:pPr>
      <w:rPr>
        <w:rFonts w:ascii="Aptos" w:hAnsi="Aptos" w:eastAsiaTheme="minorHAnsi" w:cstheme="minorBidi"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4">
    <w:nsid w:val="354D11E8"/>
    <w:multiLevelType w:val="hybridMultilevel"/>
    <w:tmpl w:val="37CAC96E"/>
    <w:lvl w:ilvl="0">
      <w:start w:val="1"/>
      <w:numFmt w:val="bullet"/>
      <w:lvlText w:val=""/>
      <w:lvlJc w:val="left"/>
      <w:pPr>
        <w:ind w:left="1440" w:hanging="360"/>
      </w:pPr>
      <w:rPr>
        <w:rFonts w:ascii="Symbol" w:hAnsi="Symbol"/>
      </w:rPr>
    </w:lvl>
    <w:lvl w:ilvl="1">
      <w:start w:val="1"/>
      <w:numFmt w:val="bullet"/>
      <w:lvlText w:val=""/>
      <w:lvlJc w:val="left"/>
      <w:pPr>
        <w:ind w:left="1440" w:hanging="360"/>
      </w:pPr>
      <w:rPr>
        <w:rFonts w:ascii="Symbol" w:hAnsi="Symbol"/>
      </w:rPr>
    </w:lvl>
    <w:lvl w:ilvl="2">
      <w:start w:val="1"/>
      <w:numFmt w:val="bullet"/>
      <w:lvlText w:val=""/>
      <w:lvlJc w:val="left"/>
      <w:pPr>
        <w:ind w:left="1440" w:hanging="360"/>
      </w:pPr>
      <w:rPr>
        <w:rFonts w:ascii="Symbol" w:hAnsi="Symbol"/>
      </w:rPr>
    </w:lvl>
    <w:lvl w:ilvl="3">
      <w:start w:val="1"/>
      <w:numFmt w:val="bullet"/>
      <w:lvlText w:val=""/>
      <w:lvlJc w:val="left"/>
      <w:pPr>
        <w:ind w:left="1440" w:hanging="360"/>
      </w:pPr>
      <w:rPr>
        <w:rFonts w:ascii="Symbol" w:hAnsi="Symbol"/>
      </w:rPr>
    </w:lvl>
    <w:lvl w:ilvl="4">
      <w:start w:val="1"/>
      <w:numFmt w:val="bullet"/>
      <w:lvlText w:val=""/>
      <w:lvlJc w:val="left"/>
      <w:pPr>
        <w:ind w:left="1440" w:hanging="360"/>
      </w:pPr>
      <w:rPr>
        <w:rFonts w:ascii="Symbol" w:hAnsi="Symbol"/>
      </w:rPr>
    </w:lvl>
    <w:lvl w:ilvl="5">
      <w:start w:val="1"/>
      <w:numFmt w:val="bullet"/>
      <w:lvlText w:val=""/>
      <w:lvlJc w:val="left"/>
      <w:pPr>
        <w:ind w:left="1440" w:hanging="360"/>
      </w:pPr>
      <w:rPr>
        <w:rFonts w:ascii="Symbol" w:hAnsi="Symbol"/>
      </w:rPr>
    </w:lvl>
    <w:lvl w:ilvl="6">
      <w:start w:val="1"/>
      <w:numFmt w:val="bullet"/>
      <w:lvlText w:val=""/>
      <w:lvlJc w:val="left"/>
      <w:pPr>
        <w:ind w:left="1440" w:hanging="360"/>
      </w:pPr>
      <w:rPr>
        <w:rFonts w:ascii="Symbol" w:hAnsi="Symbol"/>
      </w:rPr>
    </w:lvl>
    <w:lvl w:ilvl="7">
      <w:start w:val="1"/>
      <w:numFmt w:val="bullet"/>
      <w:lvlText w:val=""/>
      <w:lvlJc w:val="left"/>
      <w:pPr>
        <w:ind w:left="1440" w:hanging="360"/>
      </w:pPr>
      <w:rPr>
        <w:rFonts w:ascii="Symbol" w:hAnsi="Symbol"/>
      </w:rPr>
    </w:lvl>
    <w:lvl w:ilvl="8">
      <w:start w:val="1"/>
      <w:numFmt w:val="bullet"/>
      <w:lvlText w:val=""/>
      <w:lvlJc w:val="left"/>
      <w:pPr>
        <w:ind w:left="1440" w:hanging="360"/>
      </w:pPr>
      <w:rPr>
        <w:rFonts w:ascii="Symbol" w:hAnsi="Symbol"/>
      </w:rPr>
    </w:lvl>
  </w:abstractNum>
  <w:abstractNum w:abstractNumId="15">
    <w:nsid w:val="369958C7"/>
    <w:multiLevelType w:val="hybridMultilevel"/>
    <w:tmpl w:val="0688EEE8"/>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16">
    <w:nsid w:val="377C501F"/>
    <w:multiLevelType w:val="hybridMultilevel"/>
    <w:tmpl w:val="D0AAB330"/>
    <w:lvl w:ilvl="0">
      <w:start w:val="0"/>
      <w:numFmt w:val="bullet"/>
      <w:lvlText w:val="-"/>
      <w:lvlJc w:val="left"/>
      <w:pPr>
        <w:ind w:left="720" w:hanging="360"/>
      </w:pPr>
      <w:rPr>
        <w:rFonts w:ascii="Verdana" w:eastAsia="DejaVu Sans" w:hAnsi="Verdana" w:cs="Lohit Hindi"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7">
    <w:nsid w:val="3B530E1D"/>
    <w:multiLevelType w:val="hybridMultilevel"/>
    <w:tmpl w:val="5FF0FC10"/>
    <w:lvl w:ilvl="0">
      <w:start w:val="1"/>
      <w:numFmt w:val="bullet"/>
      <w:lvlText w:val=""/>
      <w:lvlJc w:val="left"/>
      <w:pPr>
        <w:ind w:left="1440" w:hanging="360"/>
      </w:pPr>
      <w:rPr>
        <w:rFonts w:ascii="Symbol" w:hAnsi="Symbol"/>
      </w:rPr>
    </w:lvl>
    <w:lvl w:ilvl="1">
      <w:start w:val="1"/>
      <w:numFmt w:val="bullet"/>
      <w:lvlText w:val=""/>
      <w:lvlJc w:val="left"/>
      <w:pPr>
        <w:ind w:left="1440" w:hanging="360"/>
      </w:pPr>
      <w:rPr>
        <w:rFonts w:ascii="Symbol" w:hAnsi="Symbol"/>
      </w:rPr>
    </w:lvl>
    <w:lvl w:ilvl="2">
      <w:start w:val="1"/>
      <w:numFmt w:val="bullet"/>
      <w:lvlText w:val=""/>
      <w:lvlJc w:val="left"/>
      <w:pPr>
        <w:ind w:left="1440" w:hanging="360"/>
      </w:pPr>
      <w:rPr>
        <w:rFonts w:ascii="Symbol" w:hAnsi="Symbol"/>
      </w:rPr>
    </w:lvl>
    <w:lvl w:ilvl="3">
      <w:start w:val="1"/>
      <w:numFmt w:val="bullet"/>
      <w:lvlText w:val=""/>
      <w:lvlJc w:val="left"/>
      <w:pPr>
        <w:ind w:left="1440" w:hanging="360"/>
      </w:pPr>
      <w:rPr>
        <w:rFonts w:ascii="Symbol" w:hAnsi="Symbol"/>
      </w:rPr>
    </w:lvl>
    <w:lvl w:ilvl="4">
      <w:start w:val="1"/>
      <w:numFmt w:val="bullet"/>
      <w:lvlText w:val=""/>
      <w:lvlJc w:val="left"/>
      <w:pPr>
        <w:ind w:left="1440" w:hanging="360"/>
      </w:pPr>
      <w:rPr>
        <w:rFonts w:ascii="Symbol" w:hAnsi="Symbol"/>
      </w:rPr>
    </w:lvl>
    <w:lvl w:ilvl="5">
      <w:start w:val="1"/>
      <w:numFmt w:val="bullet"/>
      <w:lvlText w:val=""/>
      <w:lvlJc w:val="left"/>
      <w:pPr>
        <w:ind w:left="1440" w:hanging="360"/>
      </w:pPr>
      <w:rPr>
        <w:rFonts w:ascii="Symbol" w:hAnsi="Symbol"/>
      </w:rPr>
    </w:lvl>
    <w:lvl w:ilvl="6">
      <w:start w:val="1"/>
      <w:numFmt w:val="bullet"/>
      <w:lvlText w:val=""/>
      <w:lvlJc w:val="left"/>
      <w:pPr>
        <w:ind w:left="1440" w:hanging="360"/>
      </w:pPr>
      <w:rPr>
        <w:rFonts w:ascii="Symbol" w:hAnsi="Symbol"/>
      </w:rPr>
    </w:lvl>
    <w:lvl w:ilvl="7">
      <w:start w:val="1"/>
      <w:numFmt w:val="bullet"/>
      <w:lvlText w:val=""/>
      <w:lvlJc w:val="left"/>
      <w:pPr>
        <w:ind w:left="1440" w:hanging="360"/>
      </w:pPr>
      <w:rPr>
        <w:rFonts w:ascii="Symbol" w:hAnsi="Symbol"/>
      </w:rPr>
    </w:lvl>
    <w:lvl w:ilvl="8">
      <w:start w:val="1"/>
      <w:numFmt w:val="bullet"/>
      <w:lvlText w:val=""/>
      <w:lvlJc w:val="left"/>
      <w:pPr>
        <w:ind w:left="1440" w:hanging="360"/>
      </w:pPr>
      <w:rPr>
        <w:rFonts w:ascii="Symbol" w:hAnsi="Symbol"/>
      </w:rPr>
    </w:lvl>
  </w:abstractNum>
  <w:abstractNum w:abstractNumId="18">
    <w:nsid w:val="416F007B"/>
    <w:multiLevelType w:val="hybridMultilevel"/>
    <w:tmpl w:val="8350253C"/>
    <w:lvl w:ilvl="0">
      <w:start w:val="0"/>
      <w:numFmt w:val="bullet"/>
      <w:lvlText w:val="-"/>
      <w:lvlJc w:val="left"/>
      <w:pPr>
        <w:ind w:left="720" w:hanging="360"/>
      </w:pPr>
      <w:rPr>
        <w:rFonts w:ascii="Aptos" w:hAnsi="Aptos" w:eastAsiaTheme="minorHAnsi" w:cstheme="minorBidi"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9">
    <w:nsid w:val="426D0C5E"/>
    <w:multiLevelType w:val="hybridMultilevel"/>
    <w:tmpl w:val="65562630"/>
    <w:lvl w:ilvl="0">
      <w:start w:val="5"/>
      <w:numFmt w:val="bullet"/>
      <w:lvlText w:val="-"/>
      <w:lvlJc w:val="left"/>
      <w:pPr>
        <w:ind w:left="720" w:hanging="360"/>
      </w:pPr>
      <w:rPr>
        <w:rFonts w:ascii="Verdana" w:eastAsia="DejaVu Sans" w:hAnsi="Verdana" w:cs="Lohit Hindi"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0">
    <w:nsid w:val="4A624372"/>
    <w:multiLevelType w:val="hybridMultilevel"/>
    <w:tmpl w:val="4DCCE8C8"/>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21">
    <w:nsid w:val="52CB6E8A"/>
    <w:multiLevelType w:val="hybridMultilevel"/>
    <w:tmpl w:val="C0F4044A"/>
    <w:lvl w:ilvl="0">
      <w:start w:val="1"/>
      <w:numFmt w:val="bullet"/>
      <w:lvlText w:val=""/>
      <w:lvlJc w:val="left"/>
      <w:pPr>
        <w:ind w:left="1440" w:hanging="360"/>
      </w:pPr>
      <w:rPr>
        <w:rFonts w:ascii="Symbol" w:hAnsi="Symbol"/>
      </w:rPr>
    </w:lvl>
    <w:lvl w:ilvl="1">
      <w:start w:val="1"/>
      <w:numFmt w:val="bullet"/>
      <w:lvlText w:val=""/>
      <w:lvlJc w:val="left"/>
      <w:pPr>
        <w:ind w:left="1440" w:hanging="360"/>
      </w:pPr>
      <w:rPr>
        <w:rFonts w:ascii="Symbol" w:hAnsi="Symbol"/>
      </w:rPr>
    </w:lvl>
    <w:lvl w:ilvl="2">
      <w:start w:val="1"/>
      <w:numFmt w:val="bullet"/>
      <w:lvlText w:val=""/>
      <w:lvlJc w:val="left"/>
      <w:pPr>
        <w:ind w:left="1440" w:hanging="360"/>
      </w:pPr>
      <w:rPr>
        <w:rFonts w:ascii="Symbol" w:hAnsi="Symbol"/>
      </w:rPr>
    </w:lvl>
    <w:lvl w:ilvl="3">
      <w:start w:val="1"/>
      <w:numFmt w:val="bullet"/>
      <w:lvlText w:val=""/>
      <w:lvlJc w:val="left"/>
      <w:pPr>
        <w:ind w:left="1440" w:hanging="360"/>
      </w:pPr>
      <w:rPr>
        <w:rFonts w:ascii="Symbol" w:hAnsi="Symbol"/>
      </w:rPr>
    </w:lvl>
    <w:lvl w:ilvl="4">
      <w:start w:val="1"/>
      <w:numFmt w:val="bullet"/>
      <w:lvlText w:val=""/>
      <w:lvlJc w:val="left"/>
      <w:pPr>
        <w:ind w:left="1440" w:hanging="360"/>
      </w:pPr>
      <w:rPr>
        <w:rFonts w:ascii="Symbol" w:hAnsi="Symbol"/>
      </w:rPr>
    </w:lvl>
    <w:lvl w:ilvl="5">
      <w:start w:val="1"/>
      <w:numFmt w:val="bullet"/>
      <w:lvlText w:val=""/>
      <w:lvlJc w:val="left"/>
      <w:pPr>
        <w:ind w:left="1440" w:hanging="360"/>
      </w:pPr>
      <w:rPr>
        <w:rFonts w:ascii="Symbol" w:hAnsi="Symbol"/>
      </w:rPr>
    </w:lvl>
    <w:lvl w:ilvl="6">
      <w:start w:val="1"/>
      <w:numFmt w:val="bullet"/>
      <w:lvlText w:val=""/>
      <w:lvlJc w:val="left"/>
      <w:pPr>
        <w:ind w:left="1440" w:hanging="360"/>
      </w:pPr>
      <w:rPr>
        <w:rFonts w:ascii="Symbol" w:hAnsi="Symbol"/>
      </w:rPr>
    </w:lvl>
    <w:lvl w:ilvl="7">
      <w:start w:val="1"/>
      <w:numFmt w:val="bullet"/>
      <w:lvlText w:val=""/>
      <w:lvlJc w:val="left"/>
      <w:pPr>
        <w:ind w:left="1440" w:hanging="360"/>
      </w:pPr>
      <w:rPr>
        <w:rFonts w:ascii="Symbol" w:hAnsi="Symbol"/>
      </w:rPr>
    </w:lvl>
    <w:lvl w:ilvl="8">
      <w:start w:val="1"/>
      <w:numFmt w:val="bullet"/>
      <w:lvlText w:val=""/>
      <w:lvlJc w:val="left"/>
      <w:pPr>
        <w:ind w:left="1440" w:hanging="360"/>
      </w:pPr>
      <w:rPr>
        <w:rFonts w:ascii="Symbol" w:hAnsi="Symbol"/>
      </w:rPr>
    </w:lvl>
  </w:abstractNum>
  <w:abstractNum w:abstractNumId="22">
    <w:nsid w:val="54063387"/>
    <w:multiLevelType w:val="hybridMultilevel"/>
    <w:tmpl w:val="E3BA174A"/>
    <w:lvl w:ilvl="0">
      <w:start w:val="1"/>
      <w:numFmt w:val="bullet"/>
      <w:lvlText w:val=""/>
      <w:lvlJc w:val="left"/>
      <w:pPr>
        <w:ind w:left="1440" w:hanging="360"/>
      </w:pPr>
      <w:rPr>
        <w:rFonts w:ascii="Symbol" w:hAnsi="Symbol"/>
      </w:rPr>
    </w:lvl>
    <w:lvl w:ilvl="1">
      <w:start w:val="1"/>
      <w:numFmt w:val="bullet"/>
      <w:lvlText w:val=""/>
      <w:lvlJc w:val="left"/>
      <w:pPr>
        <w:ind w:left="1440" w:hanging="360"/>
      </w:pPr>
      <w:rPr>
        <w:rFonts w:ascii="Symbol" w:hAnsi="Symbol"/>
      </w:rPr>
    </w:lvl>
    <w:lvl w:ilvl="2">
      <w:start w:val="1"/>
      <w:numFmt w:val="bullet"/>
      <w:lvlText w:val=""/>
      <w:lvlJc w:val="left"/>
      <w:pPr>
        <w:ind w:left="1440" w:hanging="360"/>
      </w:pPr>
      <w:rPr>
        <w:rFonts w:ascii="Symbol" w:hAnsi="Symbol"/>
      </w:rPr>
    </w:lvl>
    <w:lvl w:ilvl="3">
      <w:start w:val="1"/>
      <w:numFmt w:val="bullet"/>
      <w:lvlText w:val=""/>
      <w:lvlJc w:val="left"/>
      <w:pPr>
        <w:ind w:left="1440" w:hanging="360"/>
      </w:pPr>
      <w:rPr>
        <w:rFonts w:ascii="Symbol" w:hAnsi="Symbol"/>
      </w:rPr>
    </w:lvl>
    <w:lvl w:ilvl="4">
      <w:start w:val="1"/>
      <w:numFmt w:val="bullet"/>
      <w:lvlText w:val=""/>
      <w:lvlJc w:val="left"/>
      <w:pPr>
        <w:ind w:left="1440" w:hanging="360"/>
      </w:pPr>
      <w:rPr>
        <w:rFonts w:ascii="Symbol" w:hAnsi="Symbol"/>
      </w:rPr>
    </w:lvl>
    <w:lvl w:ilvl="5">
      <w:start w:val="1"/>
      <w:numFmt w:val="bullet"/>
      <w:lvlText w:val=""/>
      <w:lvlJc w:val="left"/>
      <w:pPr>
        <w:ind w:left="1440" w:hanging="360"/>
      </w:pPr>
      <w:rPr>
        <w:rFonts w:ascii="Symbol" w:hAnsi="Symbol"/>
      </w:rPr>
    </w:lvl>
    <w:lvl w:ilvl="6">
      <w:start w:val="1"/>
      <w:numFmt w:val="bullet"/>
      <w:lvlText w:val=""/>
      <w:lvlJc w:val="left"/>
      <w:pPr>
        <w:ind w:left="1440" w:hanging="360"/>
      </w:pPr>
      <w:rPr>
        <w:rFonts w:ascii="Symbol" w:hAnsi="Symbol"/>
      </w:rPr>
    </w:lvl>
    <w:lvl w:ilvl="7">
      <w:start w:val="1"/>
      <w:numFmt w:val="bullet"/>
      <w:lvlText w:val=""/>
      <w:lvlJc w:val="left"/>
      <w:pPr>
        <w:ind w:left="1440" w:hanging="360"/>
      </w:pPr>
      <w:rPr>
        <w:rFonts w:ascii="Symbol" w:hAnsi="Symbol"/>
      </w:rPr>
    </w:lvl>
    <w:lvl w:ilvl="8">
      <w:start w:val="1"/>
      <w:numFmt w:val="bullet"/>
      <w:lvlText w:val=""/>
      <w:lvlJc w:val="left"/>
      <w:pPr>
        <w:ind w:left="1440" w:hanging="360"/>
      </w:pPr>
      <w:rPr>
        <w:rFonts w:ascii="Symbol" w:hAnsi="Symbol"/>
      </w:rPr>
    </w:lvl>
  </w:abstractNum>
  <w:abstractNum w:abstractNumId="23">
    <w:nsid w:val="61762A52"/>
    <w:multiLevelType w:val="hybridMultilevel"/>
    <w:tmpl w:val="8A6A6E78"/>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24">
    <w:nsid w:val="644319D8"/>
    <w:multiLevelType w:val="hybridMultilevel"/>
    <w:tmpl w:val="2D06A02C"/>
    <w:lvl w:ilvl="0">
      <w:start w:val="1"/>
      <w:numFmt w:val="bullet"/>
      <w:lvlText w:val=""/>
      <w:lvlJc w:val="left"/>
      <w:pPr>
        <w:ind w:left="1020" w:hanging="360"/>
      </w:pPr>
      <w:rPr>
        <w:rFonts w:ascii="Symbol" w:hAnsi="Symbol"/>
      </w:rPr>
    </w:lvl>
    <w:lvl w:ilvl="1">
      <w:start w:val="1"/>
      <w:numFmt w:val="bullet"/>
      <w:lvlText w:val=""/>
      <w:lvlJc w:val="left"/>
      <w:pPr>
        <w:ind w:left="1020" w:hanging="360"/>
      </w:pPr>
      <w:rPr>
        <w:rFonts w:ascii="Symbol" w:hAnsi="Symbol"/>
      </w:rPr>
    </w:lvl>
    <w:lvl w:ilvl="2">
      <w:start w:val="1"/>
      <w:numFmt w:val="bullet"/>
      <w:lvlText w:val=""/>
      <w:lvlJc w:val="left"/>
      <w:pPr>
        <w:ind w:left="1020" w:hanging="360"/>
      </w:pPr>
      <w:rPr>
        <w:rFonts w:ascii="Symbol" w:hAnsi="Symbol"/>
      </w:rPr>
    </w:lvl>
    <w:lvl w:ilvl="3">
      <w:start w:val="1"/>
      <w:numFmt w:val="bullet"/>
      <w:lvlText w:val=""/>
      <w:lvlJc w:val="left"/>
      <w:pPr>
        <w:ind w:left="1020" w:hanging="360"/>
      </w:pPr>
      <w:rPr>
        <w:rFonts w:ascii="Symbol" w:hAnsi="Symbol"/>
      </w:rPr>
    </w:lvl>
    <w:lvl w:ilvl="4">
      <w:start w:val="1"/>
      <w:numFmt w:val="bullet"/>
      <w:lvlText w:val=""/>
      <w:lvlJc w:val="left"/>
      <w:pPr>
        <w:ind w:left="1020" w:hanging="360"/>
      </w:pPr>
      <w:rPr>
        <w:rFonts w:ascii="Symbol" w:hAnsi="Symbol"/>
      </w:rPr>
    </w:lvl>
    <w:lvl w:ilvl="5">
      <w:start w:val="1"/>
      <w:numFmt w:val="bullet"/>
      <w:lvlText w:val=""/>
      <w:lvlJc w:val="left"/>
      <w:pPr>
        <w:ind w:left="1020" w:hanging="360"/>
      </w:pPr>
      <w:rPr>
        <w:rFonts w:ascii="Symbol" w:hAnsi="Symbol"/>
      </w:rPr>
    </w:lvl>
    <w:lvl w:ilvl="6">
      <w:start w:val="1"/>
      <w:numFmt w:val="bullet"/>
      <w:lvlText w:val=""/>
      <w:lvlJc w:val="left"/>
      <w:pPr>
        <w:ind w:left="1020" w:hanging="360"/>
      </w:pPr>
      <w:rPr>
        <w:rFonts w:ascii="Symbol" w:hAnsi="Symbol"/>
      </w:rPr>
    </w:lvl>
    <w:lvl w:ilvl="7">
      <w:start w:val="1"/>
      <w:numFmt w:val="bullet"/>
      <w:lvlText w:val=""/>
      <w:lvlJc w:val="left"/>
      <w:pPr>
        <w:ind w:left="1020" w:hanging="360"/>
      </w:pPr>
      <w:rPr>
        <w:rFonts w:ascii="Symbol" w:hAnsi="Symbol"/>
      </w:rPr>
    </w:lvl>
    <w:lvl w:ilvl="8">
      <w:start w:val="1"/>
      <w:numFmt w:val="bullet"/>
      <w:lvlText w:val=""/>
      <w:lvlJc w:val="left"/>
      <w:pPr>
        <w:ind w:left="1020" w:hanging="360"/>
      </w:pPr>
      <w:rPr>
        <w:rFonts w:ascii="Symbol" w:hAnsi="Symbol"/>
      </w:rPr>
    </w:lvl>
  </w:abstractNum>
  <w:abstractNum w:abstractNumId="25">
    <w:nsid w:val="654F4AD1"/>
    <w:multiLevelType w:val="hybridMultilevel"/>
    <w:tmpl w:val="CF5236B6"/>
    <w:lvl w:ilvl="0">
      <w:start w:val="1"/>
      <w:numFmt w:val="bullet"/>
      <w:lvlText w:val=""/>
      <w:lvlJc w:val="left"/>
      <w:pPr>
        <w:ind w:left="1440" w:hanging="360"/>
      </w:pPr>
      <w:rPr>
        <w:rFonts w:ascii="Symbol" w:hAnsi="Symbol"/>
      </w:rPr>
    </w:lvl>
    <w:lvl w:ilvl="1">
      <w:start w:val="1"/>
      <w:numFmt w:val="bullet"/>
      <w:lvlText w:val=""/>
      <w:lvlJc w:val="left"/>
      <w:pPr>
        <w:ind w:left="1440" w:hanging="360"/>
      </w:pPr>
      <w:rPr>
        <w:rFonts w:ascii="Symbol" w:hAnsi="Symbol"/>
      </w:rPr>
    </w:lvl>
    <w:lvl w:ilvl="2">
      <w:start w:val="1"/>
      <w:numFmt w:val="bullet"/>
      <w:lvlText w:val=""/>
      <w:lvlJc w:val="left"/>
      <w:pPr>
        <w:ind w:left="1440" w:hanging="360"/>
      </w:pPr>
      <w:rPr>
        <w:rFonts w:ascii="Symbol" w:hAnsi="Symbol"/>
      </w:rPr>
    </w:lvl>
    <w:lvl w:ilvl="3">
      <w:start w:val="1"/>
      <w:numFmt w:val="bullet"/>
      <w:lvlText w:val=""/>
      <w:lvlJc w:val="left"/>
      <w:pPr>
        <w:ind w:left="1440" w:hanging="360"/>
      </w:pPr>
      <w:rPr>
        <w:rFonts w:ascii="Symbol" w:hAnsi="Symbol"/>
      </w:rPr>
    </w:lvl>
    <w:lvl w:ilvl="4">
      <w:start w:val="1"/>
      <w:numFmt w:val="bullet"/>
      <w:lvlText w:val=""/>
      <w:lvlJc w:val="left"/>
      <w:pPr>
        <w:ind w:left="1440" w:hanging="360"/>
      </w:pPr>
      <w:rPr>
        <w:rFonts w:ascii="Symbol" w:hAnsi="Symbol"/>
      </w:rPr>
    </w:lvl>
    <w:lvl w:ilvl="5">
      <w:start w:val="1"/>
      <w:numFmt w:val="bullet"/>
      <w:lvlText w:val=""/>
      <w:lvlJc w:val="left"/>
      <w:pPr>
        <w:ind w:left="1440" w:hanging="360"/>
      </w:pPr>
      <w:rPr>
        <w:rFonts w:ascii="Symbol" w:hAnsi="Symbol"/>
      </w:rPr>
    </w:lvl>
    <w:lvl w:ilvl="6">
      <w:start w:val="1"/>
      <w:numFmt w:val="bullet"/>
      <w:lvlText w:val=""/>
      <w:lvlJc w:val="left"/>
      <w:pPr>
        <w:ind w:left="1440" w:hanging="360"/>
      </w:pPr>
      <w:rPr>
        <w:rFonts w:ascii="Symbol" w:hAnsi="Symbol"/>
      </w:rPr>
    </w:lvl>
    <w:lvl w:ilvl="7">
      <w:start w:val="1"/>
      <w:numFmt w:val="bullet"/>
      <w:lvlText w:val=""/>
      <w:lvlJc w:val="left"/>
      <w:pPr>
        <w:ind w:left="1440" w:hanging="360"/>
      </w:pPr>
      <w:rPr>
        <w:rFonts w:ascii="Symbol" w:hAnsi="Symbol"/>
      </w:rPr>
    </w:lvl>
    <w:lvl w:ilvl="8">
      <w:start w:val="1"/>
      <w:numFmt w:val="bullet"/>
      <w:lvlText w:val=""/>
      <w:lvlJc w:val="left"/>
      <w:pPr>
        <w:ind w:left="1440" w:hanging="360"/>
      </w:pPr>
      <w:rPr>
        <w:rFonts w:ascii="Symbol" w:hAnsi="Symbol"/>
      </w:rPr>
    </w:lvl>
  </w:abstractNum>
  <w:abstractNum w:abstractNumId="26">
    <w:nsid w:val="680F4DB1"/>
    <w:multiLevelType w:val="hybridMultilevel"/>
    <w:tmpl w:val="AA4A8C98"/>
    <w:lvl w:ilvl="0">
      <w:start w:val="1"/>
      <w:numFmt w:val="bullet"/>
      <w:lvlText w:val=""/>
      <w:lvlJc w:val="left"/>
      <w:pPr>
        <w:ind w:left="1440" w:hanging="360"/>
      </w:pPr>
      <w:rPr>
        <w:rFonts w:ascii="Symbol" w:hAnsi="Symbol"/>
      </w:rPr>
    </w:lvl>
    <w:lvl w:ilvl="1">
      <w:start w:val="1"/>
      <w:numFmt w:val="bullet"/>
      <w:lvlText w:val=""/>
      <w:lvlJc w:val="left"/>
      <w:pPr>
        <w:ind w:left="1440" w:hanging="360"/>
      </w:pPr>
      <w:rPr>
        <w:rFonts w:ascii="Symbol" w:hAnsi="Symbol"/>
      </w:rPr>
    </w:lvl>
    <w:lvl w:ilvl="2">
      <w:start w:val="1"/>
      <w:numFmt w:val="bullet"/>
      <w:lvlText w:val=""/>
      <w:lvlJc w:val="left"/>
      <w:pPr>
        <w:ind w:left="1440" w:hanging="360"/>
      </w:pPr>
      <w:rPr>
        <w:rFonts w:ascii="Symbol" w:hAnsi="Symbol"/>
      </w:rPr>
    </w:lvl>
    <w:lvl w:ilvl="3">
      <w:start w:val="1"/>
      <w:numFmt w:val="bullet"/>
      <w:lvlText w:val=""/>
      <w:lvlJc w:val="left"/>
      <w:pPr>
        <w:ind w:left="1440" w:hanging="360"/>
      </w:pPr>
      <w:rPr>
        <w:rFonts w:ascii="Symbol" w:hAnsi="Symbol"/>
      </w:rPr>
    </w:lvl>
    <w:lvl w:ilvl="4">
      <w:start w:val="1"/>
      <w:numFmt w:val="bullet"/>
      <w:lvlText w:val=""/>
      <w:lvlJc w:val="left"/>
      <w:pPr>
        <w:ind w:left="1440" w:hanging="360"/>
      </w:pPr>
      <w:rPr>
        <w:rFonts w:ascii="Symbol" w:hAnsi="Symbol"/>
      </w:rPr>
    </w:lvl>
    <w:lvl w:ilvl="5">
      <w:start w:val="1"/>
      <w:numFmt w:val="bullet"/>
      <w:lvlText w:val=""/>
      <w:lvlJc w:val="left"/>
      <w:pPr>
        <w:ind w:left="1440" w:hanging="360"/>
      </w:pPr>
      <w:rPr>
        <w:rFonts w:ascii="Symbol" w:hAnsi="Symbol"/>
      </w:rPr>
    </w:lvl>
    <w:lvl w:ilvl="6">
      <w:start w:val="1"/>
      <w:numFmt w:val="bullet"/>
      <w:lvlText w:val=""/>
      <w:lvlJc w:val="left"/>
      <w:pPr>
        <w:ind w:left="1440" w:hanging="360"/>
      </w:pPr>
      <w:rPr>
        <w:rFonts w:ascii="Symbol" w:hAnsi="Symbol"/>
      </w:rPr>
    </w:lvl>
    <w:lvl w:ilvl="7">
      <w:start w:val="1"/>
      <w:numFmt w:val="bullet"/>
      <w:lvlText w:val=""/>
      <w:lvlJc w:val="left"/>
      <w:pPr>
        <w:ind w:left="1440" w:hanging="360"/>
      </w:pPr>
      <w:rPr>
        <w:rFonts w:ascii="Symbol" w:hAnsi="Symbol"/>
      </w:rPr>
    </w:lvl>
    <w:lvl w:ilvl="8">
      <w:start w:val="1"/>
      <w:numFmt w:val="bullet"/>
      <w:lvlText w:val=""/>
      <w:lvlJc w:val="left"/>
      <w:pPr>
        <w:ind w:left="1440" w:hanging="360"/>
      </w:pPr>
      <w:rPr>
        <w:rFonts w:ascii="Symbol" w:hAnsi="Symbol"/>
      </w:rPr>
    </w:lvl>
  </w:abstractNum>
  <w:abstractNum w:abstractNumId="27">
    <w:nsid w:val="68DE65A6"/>
    <w:multiLevelType w:val="hybridMultilevel"/>
    <w:tmpl w:val="BB0EB838"/>
    <w:lvl w:ilvl="0">
      <w:start w:val="1"/>
      <w:numFmt w:val="bullet"/>
      <w:lvlText w:val=""/>
      <w:lvlJc w:val="left"/>
      <w:pPr>
        <w:ind w:left="1020" w:hanging="360"/>
      </w:pPr>
      <w:rPr>
        <w:rFonts w:ascii="Symbol" w:hAnsi="Symbol"/>
      </w:rPr>
    </w:lvl>
    <w:lvl w:ilvl="1">
      <w:start w:val="1"/>
      <w:numFmt w:val="bullet"/>
      <w:lvlText w:val=""/>
      <w:lvlJc w:val="left"/>
      <w:pPr>
        <w:ind w:left="1020" w:hanging="360"/>
      </w:pPr>
      <w:rPr>
        <w:rFonts w:ascii="Symbol" w:hAnsi="Symbol"/>
      </w:rPr>
    </w:lvl>
    <w:lvl w:ilvl="2">
      <w:start w:val="1"/>
      <w:numFmt w:val="bullet"/>
      <w:lvlText w:val=""/>
      <w:lvlJc w:val="left"/>
      <w:pPr>
        <w:ind w:left="1020" w:hanging="360"/>
      </w:pPr>
      <w:rPr>
        <w:rFonts w:ascii="Symbol" w:hAnsi="Symbol"/>
      </w:rPr>
    </w:lvl>
    <w:lvl w:ilvl="3">
      <w:start w:val="1"/>
      <w:numFmt w:val="bullet"/>
      <w:lvlText w:val=""/>
      <w:lvlJc w:val="left"/>
      <w:pPr>
        <w:ind w:left="1020" w:hanging="360"/>
      </w:pPr>
      <w:rPr>
        <w:rFonts w:ascii="Symbol" w:hAnsi="Symbol"/>
      </w:rPr>
    </w:lvl>
    <w:lvl w:ilvl="4">
      <w:start w:val="1"/>
      <w:numFmt w:val="bullet"/>
      <w:lvlText w:val=""/>
      <w:lvlJc w:val="left"/>
      <w:pPr>
        <w:ind w:left="1020" w:hanging="360"/>
      </w:pPr>
      <w:rPr>
        <w:rFonts w:ascii="Symbol" w:hAnsi="Symbol"/>
      </w:rPr>
    </w:lvl>
    <w:lvl w:ilvl="5">
      <w:start w:val="1"/>
      <w:numFmt w:val="bullet"/>
      <w:lvlText w:val=""/>
      <w:lvlJc w:val="left"/>
      <w:pPr>
        <w:ind w:left="1020" w:hanging="360"/>
      </w:pPr>
      <w:rPr>
        <w:rFonts w:ascii="Symbol" w:hAnsi="Symbol"/>
      </w:rPr>
    </w:lvl>
    <w:lvl w:ilvl="6">
      <w:start w:val="1"/>
      <w:numFmt w:val="bullet"/>
      <w:lvlText w:val=""/>
      <w:lvlJc w:val="left"/>
      <w:pPr>
        <w:ind w:left="1020" w:hanging="360"/>
      </w:pPr>
      <w:rPr>
        <w:rFonts w:ascii="Symbol" w:hAnsi="Symbol"/>
      </w:rPr>
    </w:lvl>
    <w:lvl w:ilvl="7">
      <w:start w:val="1"/>
      <w:numFmt w:val="bullet"/>
      <w:lvlText w:val=""/>
      <w:lvlJc w:val="left"/>
      <w:pPr>
        <w:ind w:left="1020" w:hanging="360"/>
      </w:pPr>
      <w:rPr>
        <w:rFonts w:ascii="Symbol" w:hAnsi="Symbol"/>
      </w:rPr>
    </w:lvl>
    <w:lvl w:ilvl="8">
      <w:start w:val="1"/>
      <w:numFmt w:val="bullet"/>
      <w:lvlText w:val=""/>
      <w:lvlJc w:val="left"/>
      <w:pPr>
        <w:ind w:left="1020" w:hanging="360"/>
      </w:pPr>
      <w:rPr>
        <w:rFonts w:ascii="Symbol" w:hAnsi="Symbol"/>
      </w:rPr>
    </w:lvl>
  </w:abstractNum>
  <w:abstractNum w:abstractNumId="28">
    <w:nsid w:val="713974A3"/>
    <w:multiLevelType w:val="hybridMultilevel"/>
    <w:tmpl w:val="E8941264"/>
    <w:lvl w:ilvl="0">
      <w:start w:val="1"/>
      <w:numFmt w:val="bullet"/>
      <w:lvlText w:val=""/>
      <w:lvlJc w:val="left"/>
      <w:pPr>
        <w:ind w:left="1020" w:hanging="360"/>
      </w:pPr>
      <w:rPr>
        <w:rFonts w:ascii="Symbol" w:hAnsi="Symbol"/>
      </w:rPr>
    </w:lvl>
    <w:lvl w:ilvl="1">
      <w:start w:val="1"/>
      <w:numFmt w:val="bullet"/>
      <w:lvlText w:val=""/>
      <w:lvlJc w:val="left"/>
      <w:pPr>
        <w:ind w:left="1020" w:hanging="360"/>
      </w:pPr>
      <w:rPr>
        <w:rFonts w:ascii="Symbol" w:hAnsi="Symbol"/>
      </w:rPr>
    </w:lvl>
    <w:lvl w:ilvl="2">
      <w:start w:val="1"/>
      <w:numFmt w:val="bullet"/>
      <w:lvlText w:val=""/>
      <w:lvlJc w:val="left"/>
      <w:pPr>
        <w:ind w:left="1020" w:hanging="360"/>
      </w:pPr>
      <w:rPr>
        <w:rFonts w:ascii="Symbol" w:hAnsi="Symbol"/>
      </w:rPr>
    </w:lvl>
    <w:lvl w:ilvl="3">
      <w:start w:val="1"/>
      <w:numFmt w:val="bullet"/>
      <w:lvlText w:val=""/>
      <w:lvlJc w:val="left"/>
      <w:pPr>
        <w:ind w:left="1020" w:hanging="360"/>
      </w:pPr>
      <w:rPr>
        <w:rFonts w:ascii="Symbol" w:hAnsi="Symbol"/>
      </w:rPr>
    </w:lvl>
    <w:lvl w:ilvl="4">
      <w:start w:val="1"/>
      <w:numFmt w:val="bullet"/>
      <w:lvlText w:val=""/>
      <w:lvlJc w:val="left"/>
      <w:pPr>
        <w:ind w:left="1020" w:hanging="360"/>
      </w:pPr>
      <w:rPr>
        <w:rFonts w:ascii="Symbol" w:hAnsi="Symbol"/>
      </w:rPr>
    </w:lvl>
    <w:lvl w:ilvl="5">
      <w:start w:val="1"/>
      <w:numFmt w:val="bullet"/>
      <w:lvlText w:val=""/>
      <w:lvlJc w:val="left"/>
      <w:pPr>
        <w:ind w:left="1020" w:hanging="360"/>
      </w:pPr>
      <w:rPr>
        <w:rFonts w:ascii="Symbol" w:hAnsi="Symbol"/>
      </w:rPr>
    </w:lvl>
    <w:lvl w:ilvl="6">
      <w:start w:val="1"/>
      <w:numFmt w:val="bullet"/>
      <w:lvlText w:val=""/>
      <w:lvlJc w:val="left"/>
      <w:pPr>
        <w:ind w:left="1020" w:hanging="360"/>
      </w:pPr>
      <w:rPr>
        <w:rFonts w:ascii="Symbol" w:hAnsi="Symbol"/>
      </w:rPr>
    </w:lvl>
    <w:lvl w:ilvl="7">
      <w:start w:val="1"/>
      <w:numFmt w:val="bullet"/>
      <w:lvlText w:val=""/>
      <w:lvlJc w:val="left"/>
      <w:pPr>
        <w:ind w:left="1020" w:hanging="360"/>
      </w:pPr>
      <w:rPr>
        <w:rFonts w:ascii="Symbol" w:hAnsi="Symbol"/>
      </w:rPr>
    </w:lvl>
    <w:lvl w:ilvl="8">
      <w:start w:val="1"/>
      <w:numFmt w:val="bullet"/>
      <w:lvlText w:val=""/>
      <w:lvlJc w:val="left"/>
      <w:pPr>
        <w:ind w:left="1020" w:hanging="360"/>
      </w:pPr>
      <w:rPr>
        <w:rFonts w:ascii="Symbol" w:hAnsi="Symbol"/>
      </w:rPr>
    </w:lvl>
  </w:abstractNum>
  <w:abstractNum w:abstractNumId="29">
    <w:nsid w:val="774C01CE"/>
    <w:multiLevelType w:val="hybridMultilevel"/>
    <w:tmpl w:val="94BC58C6"/>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0">
    <w:nsid w:val="775E34B7"/>
    <w:multiLevelType w:val="hybridMultilevel"/>
    <w:tmpl w:val="387EB660"/>
    <w:lvl w:ilvl="0">
      <w:start w:val="1"/>
      <w:numFmt w:val="bullet"/>
      <w:lvlText w:val=""/>
      <w:lvlJc w:val="left"/>
      <w:pPr>
        <w:ind w:left="1440" w:hanging="360"/>
      </w:pPr>
      <w:rPr>
        <w:rFonts w:ascii="Symbol" w:hAnsi="Symbol"/>
      </w:rPr>
    </w:lvl>
    <w:lvl w:ilvl="1">
      <w:start w:val="1"/>
      <w:numFmt w:val="bullet"/>
      <w:lvlText w:val=""/>
      <w:lvlJc w:val="left"/>
      <w:pPr>
        <w:ind w:left="1440" w:hanging="360"/>
      </w:pPr>
      <w:rPr>
        <w:rFonts w:ascii="Symbol" w:hAnsi="Symbol"/>
      </w:rPr>
    </w:lvl>
    <w:lvl w:ilvl="2">
      <w:start w:val="1"/>
      <w:numFmt w:val="bullet"/>
      <w:lvlText w:val=""/>
      <w:lvlJc w:val="left"/>
      <w:pPr>
        <w:ind w:left="1440" w:hanging="360"/>
      </w:pPr>
      <w:rPr>
        <w:rFonts w:ascii="Symbol" w:hAnsi="Symbol"/>
      </w:rPr>
    </w:lvl>
    <w:lvl w:ilvl="3">
      <w:start w:val="1"/>
      <w:numFmt w:val="bullet"/>
      <w:lvlText w:val=""/>
      <w:lvlJc w:val="left"/>
      <w:pPr>
        <w:ind w:left="1440" w:hanging="360"/>
      </w:pPr>
      <w:rPr>
        <w:rFonts w:ascii="Symbol" w:hAnsi="Symbol"/>
      </w:rPr>
    </w:lvl>
    <w:lvl w:ilvl="4">
      <w:start w:val="1"/>
      <w:numFmt w:val="bullet"/>
      <w:lvlText w:val=""/>
      <w:lvlJc w:val="left"/>
      <w:pPr>
        <w:ind w:left="1440" w:hanging="360"/>
      </w:pPr>
      <w:rPr>
        <w:rFonts w:ascii="Symbol" w:hAnsi="Symbol"/>
      </w:rPr>
    </w:lvl>
    <w:lvl w:ilvl="5">
      <w:start w:val="1"/>
      <w:numFmt w:val="bullet"/>
      <w:lvlText w:val=""/>
      <w:lvlJc w:val="left"/>
      <w:pPr>
        <w:ind w:left="1440" w:hanging="360"/>
      </w:pPr>
      <w:rPr>
        <w:rFonts w:ascii="Symbol" w:hAnsi="Symbol"/>
      </w:rPr>
    </w:lvl>
    <w:lvl w:ilvl="6">
      <w:start w:val="1"/>
      <w:numFmt w:val="bullet"/>
      <w:lvlText w:val=""/>
      <w:lvlJc w:val="left"/>
      <w:pPr>
        <w:ind w:left="1440" w:hanging="360"/>
      </w:pPr>
      <w:rPr>
        <w:rFonts w:ascii="Symbol" w:hAnsi="Symbol"/>
      </w:rPr>
    </w:lvl>
    <w:lvl w:ilvl="7">
      <w:start w:val="1"/>
      <w:numFmt w:val="bullet"/>
      <w:lvlText w:val=""/>
      <w:lvlJc w:val="left"/>
      <w:pPr>
        <w:ind w:left="1440" w:hanging="360"/>
      </w:pPr>
      <w:rPr>
        <w:rFonts w:ascii="Symbol" w:hAnsi="Symbol"/>
      </w:rPr>
    </w:lvl>
    <w:lvl w:ilvl="8">
      <w:start w:val="1"/>
      <w:numFmt w:val="bullet"/>
      <w:lvlText w:val=""/>
      <w:lvlJc w:val="left"/>
      <w:pPr>
        <w:ind w:left="1440" w:hanging="360"/>
      </w:pPr>
      <w:rPr>
        <w:rFonts w:ascii="Symbol" w:hAnsi="Symbol"/>
      </w:rPr>
    </w:lvl>
  </w:abstractNum>
  <w:abstractNum w:abstractNumId="31">
    <w:nsid w:val="78023F84"/>
    <w:multiLevelType w:val="hybridMultilevel"/>
    <w:tmpl w:val="94BC58C6"/>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2">
    <w:nsid w:val="7D5D2A41"/>
    <w:multiLevelType w:val="hybridMultilevel"/>
    <w:tmpl w:val="D774FD3C"/>
    <w:lvl w:ilvl="0">
      <w:start w:val="0"/>
      <w:numFmt w:val="bullet"/>
      <w:lvlText w:val="-"/>
      <w:lvlJc w:val="left"/>
      <w:pPr>
        <w:ind w:left="720" w:hanging="360"/>
      </w:pPr>
      <w:rPr>
        <w:rFonts w:ascii="Aptos" w:hAnsi="Aptos" w:eastAsiaTheme="minorHAnsi" w:cstheme="minorBidi"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429199486">
    <w:abstractNumId w:val="1"/>
  </w:num>
  <w:num w:numId="2" w16cid:durableId="2077434013">
    <w:abstractNumId w:val="4"/>
  </w:num>
  <w:num w:numId="3" w16cid:durableId="1865169028">
    <w:abstractNumId w:val="0"/>
  </w:num>
  <w:num w:numId="4" w16cid:durableId="943071719">
    <w:abstractNumId w:val="2"/>
  </w:num>
  <w:num w:numId="5" w16cid:durableId="1206985879">
    <w:abstractNumId w:val="19"/>
  </w:num>
  <w:num w:numId="6" w16cid:durableId="1030455249">
    <w:abstractNumId w:val="12"/>
  </w:num>
  <w:num w:numId="7" w16cid:durableId="731579722">
    <w:abstractNumId w:val="32"/>
  </w:num>
  <w:num w:numId="8" w16cid:durableId="1367557767">
    <w:abstractNumId w:val="18"/>
  </w:num>
  <w:num w:numId="9" w16cid:durableId="1643660338">
    <w:abstractNumId w:val="13"/>
  </w:num>
  <w:num w:numId="10" w16cid:durableId="1754737607">
    <w:abstractNumId w:val="30"/>
  </w:num>
  <w:num w:numId="11" w16cid:durableId="276639718">
    <w:abstractNumId w:val="22"/>
  </w:num>
  <w:num w:numId="12" w16cid:durableId="4400523">
    <w:abstractNumId w:val="17"/>
  </w:num>
  <w:num w:numId="13" w16cid:durableId="1429354417">
    <w:abstractNumId w:val="3"/>
  </w:num>
  <w:num w:numId="14" w16cid:durableId="2052457751">
    <w:abstractNumId w:val="23"/>
  </w:num>
  <w:num w:numId="15" w16cid:durableId="1215391892">
    <w:abstractNumId w:val="15"/>
  </w:num>
  <w:num w:numId="16" w16cid:durableId="956564513">
    <w:abstractNumId w:val="20"/>
  </w:num>
  <w:num w:numId="17" w16cid:durableId="592864139">
    <w:abstractNumId w:val="5"/>
  </w:num>
  <w:num w:numId="18" w16cid:durableId="692418252">
    <w:abstractNumId w:val="8"/>
  </w:num>
  <w:num w:numId="19" w16cid:durableId="427969778">
    <w:abstractNumId w:val="6"/>
  </w:num>
  <w:num w:numId="20" w16cid:durableId="5597711">
    <w:abstractNumId w:val="21"/>
  </w:num>
  <w:num w:numId="21" w16cid:durableId="734745949">
    <w:abstractNumId w:val="14"/>
  </w:num>
  <w:num w:numId="22" w16cid:durableId="1142968791">
    <w:abstractNumId w:val="25"/>
  </w:num>
  <w:num w:numId="23" w16cid:durableId="92551858">
    <w:abstractNumId w:val="26"/>
  </w:num>
  <w:num w:numId="24" w16cid:durableId="1893541171">
    <w:abstractNumId w:val="24"/>
  </w:num>
  <w:num w:numId="25" w16cid:durableId="863444980">
    <w:abstractNumId w:val="27"/>
  </w:num>
  <w:num w:numId="26" w16cid:durableId="63186218">
    <w:abstractNumId w:val="28"/>
  </w:num>
  <w:num w:numId="27" w16cid:durableId="1293560554">
    <w:abstractNumId w:val="11"/>
  </w:num>
  <w:num w:numId="28" w16cid:durableId="944120718">
    <w:abstractNumId w:val="31"/>
  </w:num>
  <w:num w:numId="29" w16cid:durableId="1565532425">
    <w:abstractNumId w:val="29"/>
  </w:num>
  <w:num w:numId="30" w16cid:durableId="308101215">
    <w:abstractNumId w:val="10"/>
  </w:num>
  <w:num w:numId="31" w16cid:durableId="1997494849">
    <w:abstractNumId w:val="9"/>
  </w:num>
  <w:num w:numId="32" w16cid:durableId="1576550003">
    <w:abstractNumId w:val="7"/>
  </w:num>
  <w:num w:numId="33" w16cid:durableId="1197620004">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footnotePr>
    <w:footnote w:id="0"/>
    <w:footnote w:id="1"/>
    <w:footnote w:id="2"/>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5AC0"/>
    <w:rsid w:val="00000318"/>
    <w:rsid w:val="000008DC"/>
    <w:rsid w:val="00000C05"/>
    <w:rsid w:val="00000D8D"/>
    <w:rsid w:val="00003984"/>
    <w:rsid w:val="00005C15"/>
    <w:rsid w:val="00005F79"/>
    <w:rsid w:val="00007393"/>
    <w:rsid w:val="00007491"/>
    <w:rsid w:val="00010E7E"/>
    <w:rsid w:val="00011699"/>
    <w:rsid w:val="000141CF"/>
    <w:rsid w:val="000150B2"/>
    <w:rsid w:val="000154F5"/>
    <w:rsid w:val="00017844"/>
    <w:rsid w:val="00020606"/>
    <w:rsid w:val="00020AC2"/>
    <w:rsid w:val="00021445"/>
    <w:rsid w:val="00021695"/>
    <w:rsid w:val="0002223E"/>
    <w:rsid w:val="00023485"/>
    <w:rsid w:val="00024076"/>
    <w:rsid w:val="00024404"/>
    <w:rsid w:val="0002443F"/>
    <w:rsid w:val="00027444"/>
    <w:rsid w:val="00027B3F"/>
    <w:rsid w:val="00027ED4"/>
    <w:rsid w:val="000310EB"/>
    <w:rsid w:val="000315FA"/>
    <w:rsid w:val="00031861"/>
    <w:rsid w:val="0003214D"/>
    <w:rsid w:val="00033CAE"/>
    <w:rsid w:val="00035507"/>
    <w:rsid w:val="000358F6"/>
    <w:rsid w:val="0004494B"/>
    <w:rsid w:val="00045F7E"/>
    <w:rsid w:val="0004710D"/>
    <w:rsid w:val="000479B6"/>
    <w:rsid w:val="0005233B"/>
    <w:rsid w:val="000543CF"/>
    <w:rsid w:val="0005572D"/>
    <w:rsid w:val="00055DE1"/>
    <w:rsid w:val="0005723F"/>
    <w:rsid w:val="00057300"/>
    <w:rsid w:val="00060A0E"/>
    <w:rsid w:val="00061E1C"/>
    <w:rsid w:val="0006491F"/>
    <w:rsid w:val="0006495A"/>
    <w:rsid w:val="00066025"/>
    <w:rsid w:val="000677DB"/>
    <w:rsid w:val="00070099"/>
    <w:rsid w:val="00070153"/>
    <w:rsid w:val="0007063C"/>
    <w:rsid w:val="00071D66"/>
    <w:rsid w:val="00071E0C"/>
    <w:rsid w:val="00072AAF"/>
    <w:rsid w:val="00073DDF"/>
    <w:rsid w:val="00074F8B"/>
    <w:rsid w:val="000761F9"/>
    <w:rsid w:val="00076233"/>
    <w:rsid w:val="00076879"/>
    <w:rsid w:val="00076F0E"/>
    <w:rsid w:val="0007728B"/>
    <w:rsid w:val="000804CC"/>
    <w:rsid w:val="00081C45"/>
    <w:rsid w:val="0008220A"/>
    <w:rsid w:val="000841BD"/>
    <w:rsid w:val="000846A1"/>
    <w:rsid w:val="000852BD"/>
    <w:rsid w:val="00091E59"/>
    <w:rsid w:val="0009275D"/>
    <w:rsid w:val="00093B1B"/>
    <w:rsid w:val="00095E3C"/>
    <w:rsid w:val="000965A3"/>
    <w:rsid w:val="000A065D"/>
    <w:rsid w:val="000A07CB"/>
    <w:rsid w:val="000A0E27"/>
    <w:rsid w:val="000A20CE"/>
    <w:rsid w:val="000A2F64"/>
    <w:rsid w:val="000A3049"/>
    <w:rsid w:val="000A4DA7"/>
    <w:rsid w:val="000B03A5"/>
    <w:rsid w:val="000B13C0"/>
    <w:rsid w:val="000B1A62"/>
    <w:rsid w:val="000B2995"/>
    <w:rsid w:val="000B2B10"/>
    <w:rsid w:val="000B321A"/>
    <w:rsid w:val="000B3ECD"/>
    <w:rsid w:val="000B4566"/>
    <w:rsid w:val="000B774E"/>
    <w:rsid w:val="000B7C0D"/>
    <w:rsid w:val="000C128D"/>
    <w:rsid w:val="000C1412"/>
    <w:rsid w:val="000C16DF"/>
    <w:rsid w:val="000C1D73"/>
    <w:rsid w:val="000C28B7"/>
    <w:rsid w:val="000C33C9"/>
    <w:rsid w:val="000C345A"/>
    <w:rsid w:val="000C3717"/>
    <w:rsid w:val="000C4609"/>
    <w:rsid w:val="000C494C"/>
    <w:rsid w:val="000C6446"/>
    <w:rsid w:val="000D0160"/>
    <w:rsid w:val="000D01D9"/>
    <w:rsid w:val="000D035B"/>
    <w:rsid w:val="000D2A8C"/>
    <w:rsid w:val="000D3590"/>
    <w:rsid w:val="000D39ED"/>
    <w:rsid w:val="000D3C32"/>
    <w:rsid w:val="000D3F5B"/>
    <w:rsid w:val="000D41BB"/>
    <w:rsid w:val="000D4340"/>
    <w:rsid w:val="000D56FD"/>
    <w:rsid w:val="000D58A1"/>
    <w:rsid w:val="000E1050"/>
    <w:rsid w:val="000E1990"/>
    <w:rsid w:val="000E37A0"/>
    <w:rsid w:val="000E4773"/>
    <w:rsid w:val="000E49C4"/>
    <w:rsid w:val="000F1C85"/>
    <w:rsid w:val="000F1D0E"/>
    <w:rsid w:val="000F2A5C"/>
    <w:rsid w:val="000F4632"/>
    <w:rsid w:val="000F6E8F"/>
    <w:rsid w:val="000F71E5"/>
    <w:rsid w:val="000F7D4C"/>
    <w:rsid w:val="000F7E77"/>
    <w:rsid w:val="001001AA"/>
    <w:rsid w:val="00100774"/>
    <w:rsid w:val="001020D3"/>
    <w:rsid w:val="001047A3"/>
    <w:rsid w:val="001053DE"/>
    <w:rsid w:val="00106A51"/>
    <w:rsid w:val="001074D5"/>
    <w:rsid w:val="00111930"/>
    <w:rsid w:val="00114758"/>
    <w:rsid w:val="001162D1"/>
    <w:rsid w:val="0011660A"/>
    <w:rsid w:val="0012105E"/>
    <w:rsid w:val="00121628"/>
    <w:rsid w:val="00122255"/>
    <w:rsid w:val="00122BEC"/>
    <w:rsid w:val="00123A14"/>
    <w:rsid w:val="0012493E"/>
    <w:rsid w:val="00130613"/>
    <w:rsid w:val="00130A29"/>
    <w:rsid w:val="001325DC"/>
    <w:rsid w:val="00133F3E"/>
    <w:rsid w:val="00134A75"/>
    <w:rsid w:val="001357B2"/>
    <w:rsid w:val="001377C4"/>
    <w:rsid w:val="00137E47"/>
    <w:rsid w:val="0014178A"/>
    <w:rsid w:val="00141B8C"/>
    <w:rsid w:val="00145634"/>
    <w:rsid w:val="001467CB"/>
    <w:rsid w:val="001503BD"/>
    <w:rsid w:val="00151834"/>
    <w:rsid w:val="00154A35"/>
    <w:rsid w:val="00154CC0"/>
    <w:rsid w:val="0015551D"/>
    <w:rsid w:val="00155E22"/>
    <w:rsid w:val="00156A70"/>
    <w:rsid w:val="00157306"/>
    <w:rsid w:val="00157871"/>
    <w:rsid w:val="001615E6"/>
    <w:rsid w:val="00163214"/>
    <w:rsid w:val="00164483"/>
    <w:rsid w:val="00164CF8"/>
    <w:rsid w:val="00166245"/>
    <w:rsid w:val="00167192"/>
    <w:rsid w:val="0017029D"/>
    <w:rsid w:val="001716B7"/>
    <w:rsid w:val="00171AD6"/>
    <w:rsid w:val="001723F8"/>
    <w:rsid w:val="00172888"/>
    <w:rsid w:val="00173463"/>
    <w:rsid w:val="00174BFB"/>
    <w:rsid w:val="00180569"/>
    <w:rsid w:val="00182460"/>
    <w:rsid w:val="00183A92"/>
    <w:rsid w:val="00184034"/>
    <w:rsid w:val="00185897"/>
    <w:rsid w:val="00185ADC"/>
    <w:rsid w:val="00192A11"/>
    <w:rsid w:val="00192D0B"/>
    <w:rsid w:val="0019313D"/>
    <w:rsid w:val="001935CD"/>
    <w:rsid w:val="00193FD5"/>
    <w:rsid w:val="00196793"/>
    <w:rsid w:val="00196BEE"/>
    <w:rsid w:val="001A112A"/>
    <w:rsid w:val="001A117A"/>
    <w:rsid w:val="001A22A1"/>
    <w:rsid w:val="001A275B"/>
    <w:rsid w:val="001A4D0D"/>
    <w:rsid w:val="001A56A3"/>
    <w:rsid w:val="001A7D73"/>
    <w:rsid w:val="001B0053"/>
    <w:rsid w:val="001B5B81"/>
    <w:rsid w:val="001B7B3D"/>
    <w:rsid w:val="001C100F"/>
    <w:rsid w:val="001C1921"/>
    <w:rsid w:val="001C3694"/>
    <w:rsid w:val="001C3BD7"/>
    <w:rsid w:val="001C450A"/>
    <w:rsid w:val="001C5E12"/>
    <w:rsid w:val="001D0133"/>
    <w:rsid w:val="001D0BA5"/>
    <w:rsid w:val="001D1AE9"/>
    <w:rsid w:val="001D20E6"/>
    <w:rsid w:val="001D28B9"/>
    <w:rsid w:val="001D2FCF"/>
    <w:rsid w:val="001D61C3"/>
    <w:rsid w:val="001E0108"/>
    <w:rsid w:val="001E03F3"/>
    <w:rsid w:val="001E100F"/>
    <w:rsid w:val="001E13D8"/>
    <w:rsid w:val="001E3D64"/>
    <w:rsid w:val="001E44D9"/>
    <w:rsid w:val="001E5AE6"/>
    <w:rsid w:val="001E68CE"/>
    <w:rsid w:val="001E7F2D"/>
    <w:rsid w:val="001F02D8"/>
    <w:rsid w:val="001F1760"/>
    <w:rsid w:val="001F329E"/>
    <w:rsid w:val="001F3F98"/>
    <w:rsid w:val="001F5CBE"/>
    <w:rsid w:val="001F63E4"/>
    <w:rsid w:val="001F779B"/>
    <w:rsid w:val="00200BEF"/>
    <w:rsid w:val="0020126D"/>
    <w:rsid w:val="002016F6"/>
    <w:rsid w:val="0020336D"/>
    <w:rsid w:val="00204A93"/>
    <w:rsid w:val="00213010"/>
    <w:rsid w:val="00214FD0"/>
    <w:rsid w:val="00215F10"/>
    <w:rsid w:val="00215FF1"/>
    <w:rsid w:val="0021687B"/>
    <w:rsid w:val="00216B67"/>
    <w:rsid w:val="00217949"/>
    <w:rsid w:val="00220168"/>
    <w:rsid w:val="00220228"/>
    <w:rsid w:val="00221B1B"/>
    <w:rsid w:val="00224BB6"/>
    <w:rsid w:val="00225B1A"/>
    <w:rsid w:val="00227192"/>
    <w:rsid w:val="00227F8E"/>
    <w:rsid w:val="00231DE1"/>
    <w:rsid w:val="00233624"/>
    <w:rsid w:val="00236E33"/>
    <w:rsid w:val="00237166"/>
    <w:rsid w:val="0023723E"/>
    <w:rsid w:val="00242A46"/>
    <w:rsid w:val="002432D6"/>
    <w:rsid w:val="00244183"/>
    <w:rsid w:val="002443DA"/>
    <w:rsid w:val="002446DB"/>
    <w:rsid w:val="0024582C"/>
    <w:rsid w:val="00245A44"/>
    <w:rsid w:val="00246C7E"/>
    <w:rsid w:val="00246D29"/>
    <w:rsid w:val="00250730"/>
    <w:rsid w:val="00250FD3"/>
    <w:rsid w:val="0025185A"/>
    <w:rsid w:val="0025444D"/>
    <w:rsid w:val="00255676"/>
    <w:rsid w:val="0025595A"/>
    <w:rsid w:val="002603F6"/>
    <w:rsid w:val="00260EE3"/>
    <w:rsid w:val="00261E68"/>
    <w:rsid w:val="00262897"/>
    <w:rsid w:val="00264F20"/>
    <w:rsid w:val="00266C38"/>
    <w:rsid w:val="00266CE5"/>
    <w:rsid w:val="0026758D"/>
    <w:rsid w:val="00270670"/>
    <w:rsid w:val="002717B7"/>
    <w:rsid w:val="002725BD"/>
    <w:rsid w:val="00274CED"/>
    <w:rsid w:val="00275B8C"/>
    <w:rsid w:val="00277804"/>
    <w:rsid w:val="0028045D"/>
    <w:rsid w:val="00281E16"/>
    <w:rsid w:val="002821D9"/>
    <w:rsid w:val="00282F55"/>
    <w:rsid w:val="0028674A"/>
    <w:rsid w:val="002878C3"/>
    <w:rsid w:val="00290503"/>
    <w:rsid w:val="0029136A"/>
    <w:rsid w:val="00291E3B"/>
    <w:rsid w:val="002947AC"/>
    <w:rsid w:val="00295256"/>
    <w:rsid w:val="00295B8E"/>
    <w:rsid w:val="00296279"/>
    <w:rsid w:val="002977C1"/>
    <w:rsid w:val="00297F5F"/>
    <w:rsid w:val="002A0E51"/>
    <w:rsid w:val="002A2D2D"/>
    <w:rsid w:val="002A43E7"/>
    <w:rsid w:val="002A451F"/>
    <w:rsid w:val="002A5DD1"/>
    <w:rsid w:val="002A6281"/>
    <w:rsid w:val="002A70FC"/>
    <w:rsid w:val="002B0B97"/>
    <w:rsid w:val="002B0D52"/>
    <w:rsid w:val="002B18A1"/>
    <w:rsid w:val="002B18B1"/>
    <w:rsid w:val="002B28A5"/>
    <w:rsid w:val="002B32E5"/>
    <w:rsid w:val="002B5933"/>
    <w:rsid w:val="002B7E85"/>
    <w:rsid w:val="002C105C"/>
    <w:rsid w:val="002C1D1F"/>
    <w:rsid w:val="002C38DA"/>
    <w:rsid w:val="002C4240"/>
    <w:rsid w:val="002C424B"/>
    <w:rsid w:val="002C445A"/>
    <w:rsid w:val="002C5E75"/>
    <w:rsid w:val="002C6371"/>
    <w:rsid w:val="002C6C6B"/>
    <w:rsid w:val="002C7FD7"/>
    <w:rsid w:val="002D032B"/>
    <w:rsid w:val="002D05F2"/>
    <w:rsid w:val="002D4D6B"/>
    <w:rsid w:val="002D4E28"/>
    <w:rsid w:val="002D63D8"/>
    <w:rsid w:val="002D64FD"/>
    <w:rsid w:val="002D6D1D"/>
    <w:rsid w:val="002D6E95"/>
    <w:rsid w:val="002D790A"/>
    <w:rsid w:val="002D7BAA"/>
    <w:rsid w:val="002E11F4"/>
    <w:rsid w:val="002E5393"/>
    <w:rsid w:val="002F10E7"/>
    <w:rsid w:val="002F51F3"/>
    <w:rsid w:val="00300972"/>
    <w:rsid w:val="00302E07"/>
    <w:rsid w:val="003030C0"/>
    <w:rsid w:val="003032D6"/>
    <w:rsid w:val="003101E3"/>
    <w:rsid w:val="00311386"/>
    <w:rsid w:val="003154CC"/>
    <w:rsid w:val="003175E6"/>
    <w:rsid w:val="003221E0"/>
    <w:rsid w:val="00323191"/>
    <w:rsid w:val="0032498F"/>
    <w:rsid w:val="00325148"/>
    <w:rsid w:val="00325EC6"/>
    <w:rsid w:val="00326ABB"/>
    <w:rsid w:val="003278A9"/>
    <w:rsid w:val="00331AAD"/>
    <w:rsid w:val="003330D6"/>
    <w:rsid w:val="003342F7"/>
    <w:rsid w:val="00334616"/>
    <w:rsid w:val="0033758C"/>
    <w:rsid w:val="003379E3"/>
    <w:rsid w:val="00341514"/>
    <w:rsid w:val="003427DB"/>
    <w:rsid w:val="003432AA"/>
    <w:rsid w:val="00345071"/>
    <w:rsid w:val="00345C4B"/>
    <w:rsid w:val="00345E8D"/>
    <w:rsid w:val="00350A2B"/>
    <w:rsid w:val="00352F15"/>
    <w:rsid w:val="00353347"/>
    <w:rsid w:val="003536D3"/>
    <w:rsid w:val="00354452"/>
    <w:rsid w:val="00354538"/>
    <w:rsid w:val="003554CD"/>
    <w:rsid w:val="00357DDA"/>
    <w:rsid w:val="003607CC"/>
    <w:rsid w:val="003614C1"/>
    <w:rsid w:val="00364777"/>
    <w:rsid w:val="00365826"/>
    <w:rsid w:val="003672A8"/>
    <w:rsid w:val="0037097D"/>
    <w:rsid w:val="00370CF4"/>
    <w:rsid w:val="003719C3"/>
    <w:rsid w:val="00373AAE"/>
    <w:rsid w:val="00376C63"/>
    <w:rsid w:val="003803FE"/>
    <w:rsid w:val="00380BF2"/>
    <w:rsid w:val="00383B7A"/>
    <w:rsid w:val="003845E9"/>
    <w:rsid w:val="00385878"/>
    <w:rsid w:val="003858FE"/>
    <w:rsid w:val="003877E9"/>
    <w:rsid w:val="00387FE9"/>
    <w:rsid w:val="00390D53"/>
    <w:rsid w:val="00392ACF"/>
    <w:rsid w:val="00392C13"/>
    <w:rsid w:val="0039328E"/>
    <w:rsid w:val="00397810"/>
    <w:rsid w:val="00397D36"/>
    <w:rsid w:val="003A0574"/>
    <w:rsid w:val="003A2F85"/>
    <w:rsid w:val="003A340A"/>
    <w:rsid w:val="003A4F93"/>
    <w:rsid w:val="003A5061"/>
    <w:rsid w:val="003B0EAE"/>
    <w:rsid w:val="003B0EB2"/>
    <w:rsid w:val="003B2F48"/>
    <w:rsid w:val="003B3BB2"/>
    <w:rsid w:val="003B793A"/>
    <w:rsid w:val="003C3BD0"/>
    <w:rsid w:val="003C3C1A"/>
    <w:rsid w:val="003C559F"/>
    <w:rsid w:val="003C5E8D"/>
    <w:rsid w:val="003C6CCE"/>
    <w:rsid w:val="003C783E"/>
    <w:rsid w:val="003D01E8"/>
    <w:rsid w:val="003D0C4D"/>
    <w:rsid w:val="003D0E38"/>
    <w:rsid w:val="003D334E"/>
    <w:rsid w:val="003E09E7"/>
    <w:rsid w:val="003E4B1D"/>
    <w:rsid w:val="003E52A9"/>
    <w:rsid w:val="003F0F3A"/>
    <w:rsid w:val="003F1629"/>
    <w:rsid w:val="003F24B2"/>
    <w:rsid w:val="003F4E77"/>
    <w:rsid w:val="00406575"/>
    <w:rsid w:val="004103EB"/>
    <w:rsid w:val="004111F4"/>
    <w:rsid w:val="00411CF9"/>
    <w:rsid w:val="0041361E"/>
    <w:rsid w:val="00414012"/>
    <w:rsid w:val="00414D22"/>
    <w:rsid w:val="0041521A"/>
    <w:rsid w:val="004201EB"/>
    <w:rsid w:val="00420FBE"/>
    <w:rsid w:val="00423B8E"/>
    <w:rsid w:val="004248B9"/>
    <w:rsid w:val="00425631"/>
    <w:rsid w:val="00425A3A"/>
    <w:rsid w:val="004260BC"/>
    <w:rsid w:val="0042761B"/>
    <w:rsid w:val="00430C82"/>
    <w:rsid w:val="00430EBF"/>
    <w:rsid w:val="00431092"/>
    <w:rsid w:val="004311BD"/>
    <w:rsid w:val="00431CC6"/>
    <w:rsid w:val="0043394E"/>
    <w:rsid w:val="00436FBC"/>
    <w:rsid w:val="0043788A"/>
    <w:rsid w:val="00442CEC"/>
    <w:rsid w:val="004433C7"/>
    <w:rsid w:val="00445A2B"/>
    <w:rsid w:val="00445C38"/>
    <w:rsid w:val="00446999"/>
    <w:rsid w:val="00446D45"/>
    <w:rsid w:val="00447DBE"/>
    <w:rsid w:val="00450FB2"/>
    <w:rsid w:val="00453B59"/>
    <w:rsid w:val="00453E55"/>
    <w:rsid w:val="004558A2"/>
    <w:rsid w:val="00455C00"/>
    <w:rsid w:val="00456820"/>
    <w:rsid w:val="00461C6E"/>
    <w:rsid w:val="00462DC6"/>
    <w:rsid w:val="004634E6"/>
    <w:rsid w:val="00463ABC"/>
    <w:rsid w:val="00464D74"/>
    <w:rsid w:val="00466C67"/>
    <w:rsid w:val="0046706B"/>
    <w:rsid w:val="00467A3C"/>
    <w:rsid w:val="00472B63"/>
    <w:rsid w:val="00473EC4"/>
    <w:rsid w:val="004760AE"/>
    <w:rsid w:val="004769B4"/>
    <w:rsid w:val="004777D3"/>
    <w:rsid w:val="004801D2"/>
    <w:rsid w:val="004816B9"/>
    <w:rsid w:val="004817F5"/>
    <w:rsid w:val="00482082"/>
    <w:rsid w:val="00482C90"/>
    <w:rsid w:val="004834E4"/>
    <w:rsid w:val="0048593E"/>
    <w:rsid w:val="004925A7"/>
    <w:rsid w:val="00492AA0"/>
    <w:rsid w:val="00494A87"/>
    <w:rsid w:val="0049558C"/>
    <w:rsid w:val="00496CB2"/>
    <w:rsid w:val="00496E9F"/>
    <w:rsid w:val="004975BA"/>
    <w:rsid w:val="004A019A"/>
    <w:rsid w:val="004A3646"/>
    <w:rsid w:val="004A454A"/>
    <w:rsid w:val="004A5731"/>
    <w:rsid w:val="004A57EF"/>
    <w:rsid w:val="004A5F2E"/>
    <w:rsid w:val="004B175C"/>
    <w:rsid w:val="004B3010"/>
    <w:rsid w:val="004B37FF"/>
    <w:rsid w:val="004B38A7"/>
    <w:rsid w:val="004B5172"/>
    <w:rsid w:val="004B768B"/>
    <w:rsid w:val="004B789C"/>
    <w:rsid w:val="004C37C2"/>
    <w:rsid w:val="004C4784"/>
    <w:rsid w:val="004C4E8D"/>
    <w:rsid w:val="004C7BE1"/>
    <w:rsid w:val="004D0D10"/>
    <w:rsid w:val="004D2B09"/>
    <w:rsid w:val="004D2F18"/>
    <w:rsid w:val="004D51D3"/>
    <w:rsid w:val="004D634C"/>
    <w:rsid w:val="004D6597"/>
    <w:rsid w:val="004E1117"/>
    <w:rsid w:val="004E1349"/>
    <w:rsid w:val="004E430D"/>
    <w:rsid w:val="004E4D0B"/>
    <w:rsid w:val="004F263D"/>
    <w:rsid w:val="004F35B4"/>
    <w:rsid w:val="004F6C40"/>
    <w:rsid w:val="005022FC"/>
    <w:rsid w:val="005029A6"/>
    <w:rsid w:val="00502F24"/>
    <w:rsid w:val="00504CB3"/>
    <w:rsid w:val="00504FC9"/>
    <w:rsid w:val="00506731"/>
    <w:rsid w:val="0050726C"/>
    <w:rsid w:val="0050741C"/>
    <w:rsid w:val="00510804"/>
    <w:rsid w:val="00510FFA"/>
    <w:rsid w:val="00513578"/>
    <w:rsid w:val="005162D8"/>
    <w:rsid w:val="005202D4"/>
    <w:rsid w:val="00520BBD"/>
    <w:rsid w:val="00521D37"/>
    <w:rsid w:val="00521E8F"/>
    <w:rsid w:val="00522E15"/>
    <w:rsid w:val="0052393F"/>
    <w:rsid w:val="00524DB1"/>
    <w:rsid w:val="00524E2A"/>
    <w:rsid w:val="00526491"/>
    <w:rsid w:val="00527398"/>
    <w:rsid w:val="005277BE"/>
    <w:rsid w:val="00531422"/>
    <w:rsid w:val="005328DF"/>
    <w:rsid w:val="005341AC"/>
    <w:rsid w:val="00535D2F"/>
    <w:rsid w:val="005401CC"/>
    <w:rsid w:val="00540BD0"/>
    <w:rsid w:val="0054131F"/>
    <w:rsid w:val="00544753"/>
    <w:rsid w:val="00545AC0"/>
    <w:rsid w:val="00546628"/>
    <w:rsid w:val="00546993"/>
    <w:rsid w:val="0055241E"/>
    <w:rsid w:val="00552B1A"/>
    <w:rsid w:val="00553668"/>
    <w:rsid w:val="00553E8C"/>
    <w:rsid w:val="00554152"/>
    <w:rsid w:val="00554F74"/>
    <w:rsid w:val="00555AE2"/>
    <w:rsid w:val="00556CC7"/>
    <w:rsid w:val="00560483"/>
    <w:rsid w:val="00561F2A"/>
    <w:rsid w:val="005635BB"/>
    <w:rsid w:val="005638A7"/>
    <w:rsid w:val="00563C54"/>
    <w:rsid w:val="00564156"/>
    <w:rsid w:val="00565123"/>
    <w:rsid w:val="00565594"/>
    <w:rsid w:val="00566983"/>
    <w:rsid w:val="00567CA1"/>
    <w:rsid w:val="00570D6B"/>
    <w:rsid w:val="005729D8"/>
    <w:rsid w:val="00572E63"/>
    <w:rsid w:val="00573022"/>
    <w:rsid w:val="00573E71"/>
    <w:rsid w:val="0057411D"/>
    <w:rsid w:val="005742B2"/>
    <w:rsid w:val="00575514"/>
    <w:rsid w:val="005773C7"/>
    <w:rsid w:val="00580C0A"/>
    <w:rsid w:val="00582BC6"/>
    <w:rsid w:val="0058526A"/>
    <w:rsid w:val="00585A6B"/>
    <w:rsid w:val="0058666E"/>
    <w:rsid w:val="00590837"/>
    <w:rsid w:val="00593F3B"/>
    <w:rsid w:val="0059549E"/>
    <w:rsid w:val="005955DC"/>
    <w:rsid w:val="00596480"/>
    <w:rsid w:val="0059667E"/>
    <w:rsid w:val="00596C68"/>
    <w:rsid w:val="005A1124"/>
    <w:rsid w:val="005A18BA"/>
    <w:rsid w:val="005A1F88"/>
    <w:rsid w:val="005A3D7E"/>
    <w:rsid w:val="005A46EF"/>
    <w:rsid w:val="005A6AAE"/>
    <w:rsid w:val="005A6F92"/>
    <w:rsid w:val="005A74E7"/>
    <w:rsid w:val="005A794C"/>
    <w:rsid w:val="005B161E"/>
    <w:rsid w:val="005B2CD5"/>
    <w:rsid w:val="005B308B"/>
    <w:rsid w:val="005B5177"/>
    <w:rsid w:val="005B77DF"/>
    <w:rsid w:val="005C1A03"/>
    <w:rsid w:val="005C1DA1"/>
    <w:rsid w:val="005C49B1"/>
    <w:rsid w:val="005C6B25"/>
    <w:rsid w:val="005C6FC3"/>
    <w:rsid w:val="005C79BF"/>
    <w:rsid w:val="005D01B2"/>
    <w:rsid w:val="005D0390"/>
    <w:rsid w:val="005D0823"/>
    <w:rsid w:val="005D2128"/>
    <w:rsid w:val="005D2249"/>
    <w:rsid w:val="005D267C"/>
    <w:rsid w:val="005D4D5E"/>
    <w:rsid w:val="005D746F"/>
    <w:rsid w:val="005E030C"/>
    <w:rsid w:val="005E3262"/>
    <w:rsid w:val="005E3FF4"/>
    <w:rsid w:val="005E4C43"/>
    <w:rsid w:val="005E7DC9"/>
    <w:rsid w:val="005F052E"/>
    <w:rsid w:val="005F10B5"/>
    <w:rsid w:val="005F5713"/>
    <w:rsid w:val="005F5AE7"/>
    <w:rsid w:val="005F782F"/>
    <w:rsid w:val="005F7D49"/>
    <w:rsid w:val="00601C84"/>
    <w:rsid w:val="00602CC0"/>
    <w:rsid w:val="00603023"/>
    <w:rsid w:val="00604F1B"/>
    <w:rsid w:val="0060543D"/>
    <w:rsid w:val="00605946"/>
    <w:rsid w:val="00605BDB"/>
    <w:rsid w:val="00610D35"/>
    <w:rsid w:val="0061219B"/>
    <w:rsid w:val="00612A28"/>
    <w:rsid w:val="00612C5F"/>
    <w:rsid w:val="006214BF"/>
    <w:rsid w:val="00621696"/>
    <w:rsid w:val="00624F20"/>
    <w:rsid w:val="00626CB8"/>
    <w:rsid w:val="0062728D"/>
    <w:rsid w:val="00627F73"/>
    <w:rsid w:val="00630085"/>
    <w:rsid w:val="0063120E"/>
    <w:rsid w:val="0063269D"/>
    <w:rsid w:val="006336A7"/>
    <w:rsid w:val="00633D2A"/>
    <w:rsid w:val="00634247"/>
    <w:rsid w:val="00636917"/>
    <w:rsid w:val="006373AC"/>
    <w:rsid w:val="0063764D"/>
    <w:rsid w:val="00641971"/>
    <w:rsid w:val="00642772"/>
    <w:rsid w:val="00644C66"/>
    <w:rsid w:val="006452EC"/>
    <w:rsid w:val="0064666B"/>
    <w:rsid w:val="006513BD"/>
    <w:rsid w:val="00654186"/>
    <w:rsid w:val="0066006A"/>
    <w:rsid w:val="00662247"/>
    <w:rsid w:val="00662510"/>
    <w:rsid w:val="00662E2E"/>
    <w:rsid w:val="0066300A"/>
    <w:rsid w:val="006645B9"/>
    <w:rsid w:val="00664616"/>
    <w:rsid w:val="00665F5C"/>
    <w:rsid w:val="00667381"/>
    <w:rsid w:val="00667D7A"/>
    <w:rsid w:val="006739DF"/>
    <w:rsid w:val="006774BB"/>
    <w:rsid w:val="0068073D"/>
    <w:rsid w:val="00680C8A"/>
    <w:rsid w:val="0068246C"/>
    <w:rsid w:val="00683570"/>
    <w:rsid w:val="0068383D"/>
    <w:rsid w:val="006859F1"/>
    <w:rsid w:val="00685D13"/>
    <w:rsid w:val="00687800"/>
    <w:rsid w:val="00690469"/>
    <w:rsid w:val="006916E4"/>
    <w:rsid w:val="00691B2F"/>
    <w:rsid w:val="00692ECD"/>
    <w:rsid w:val="00693812"/>
    <w:rsid w:val="00693C3E"/>
    <w:rsid w:val="00694C0F"/>
    <w:rsid w:val="006958B8"/>
    <w:rsid w:val="0069617D"/>
    <w:rsid w:val="0069766F"/>
    <w:rsid w:val="006A07D8"/>
    <w:rsid w:val="006A0ADE"/>
    <w:rsid w:val="006A10C5"/>
    <w:rsid w:val="006A12AA"/>
    <w:rsid w:val="006A1808"/>
    <w:rsid w:val="006A33AA"/>
    <w:rsid w:val="006B0EEB"/>
    <w:rsid w:val="006B183C"/>
    <w:rsid w:val="006B2AC1"/>
    <w:rsid w:val="006B2FF0"/>
    <w:rsid w:val="006B3AB2"/>
    <w:rsid w:val="006B476C"/>
    <w:rsid w:val="006B534B"/>
    <w:rsid w:val="006B7356"/>
    <w:rsid w:val="006C4EB4"/>
    <w:rsid w:val="006C51BC"/>
    <w:rsid w:val="006C623D"/>
    <w:rsid w:val="006C7C0B"/>
    <w:rsid w:val="006D28AF"/>
    <w:rsid w:val="006D2A57"/>
    <w:rsid w:val="006D33DD"/>
    <w:rsid w:val="006D4CEE"/>
    <w:rsid w:val="006D5459"/>
    <w:rsid w:val="006D55D3"/>
    <w:rsid w:val="006E188F"/>
    <w:rsid w:val="006E3E48"/>
    <w:rsid w:val="006E4CC9"/>
    <w:rsid w:val="006E565F"/>
    <w:rsid w:val="006E5FF6"/>
    <w:rsid w:val="006E631C"/>
    <w:rsid w:val="006E77DA"/>
    <w:rsid w:val="006F05DC"/>
    <w:rsid w:val="006F37AA"/>
    <w:rsid w:val="006F6950"/>
    <w:rsid w:val="006F6A2E"/>
    <w:rsid w:val="006F710C"/>
    <w:rsid w:val="0070156D"/>
    <w:rsid w:val="00702672"/>
    <w:rsid w:val="00702A02"/>
    <w:rsid w:val="00702E50"/>
    <w:rsid w:val="0070332E"/>
    <w:rsid w:val="007038F5"/>
    <w:rsid w:val="0070566E"/>
    <w:rsid w:val="0070642D"/>
    <w:rsid w:val="00714C1F"/>
    <w:rsid w:val="007168B7"/>
    <w:rsid w:val="00717DC8"/>
    <w:rsid w:val="00720950"/>
    <w:rsid w:val="0072258C"/>
    <w:rsid w:val="00724FA6"/>
    <w:rsid w:val="00725160"/>
    <w:rsid w:val="00726AB1"/>
    <w:rsid w:val="00727BB4"/>
    <w:rsid w:val="00731E82"/>
    <w:rsid w:val="007337BC"/>
    <w:rsid w:val="00733C01"/>
    <w:rsid w:val="0073429F"/>
    <w:rsid w:val="0073458A"/>
    <w:rsid w:val="00734F3A"/>
    <w:rsid w:val="00736345"/>
    <w:rsid w:val="007425D4"/>
    <w:rsid w:val="0074291E"/>
    <w:rsid w:val="007435A5"/>
    <w:rsid w:val="007447D3"/>
    <w:rsid w:val="007458CA"/>
    <w:rsid w:val="00747BB2"/>
    <w:rsid w:val="0075153D"/>
    <w:rsid w:val="00756941"/>
    <w:rsid w:val="00760688"/>
    <w:rsid w:val="00761CBF"/>
    <w:rsid w:val="00762A81"/>
    <w:rsid w:val="00764ED5"/>
    <w:rsid w:val="0076517D"/>
    <w:rsid w:val="00765653"/>
    <w:rsid w:val="0076592A"/>
    <w:rsid w:val="0076646C"/>
    <w:rsid w:val="0077036B"/>
    <w:rsid w:val="00772BD2"/>
    <w:rsid w:val="007758D5"/>
    <w:rsid w:val="007760D7"/>
    <w:rsid w:val="00776332"/>
    <w:rsid w:val="00776EC5"/>
    <w:rsid w:val="0078726A"/>
    <w:rsid w:val="00787922"/>
    <w:rsid w:val="00791611"/>
    <w:rsid w:val="00791E31"/>
    <w:rsid w:val="00792571"/>
    <w:rsid w:val="00794091"/>
    <w:rsid w:val="00795597"/>
    <w:rsid w:val="007963F1"/>
    <w:rsid w:val="00796460"/>
    <w:rsid w:val="00797A97"/>
    <w:rsid w:val="007A023F"/>
    <w:rsid w:val="007A0921"/>
    <w:rsid w:val="007A0A01"/>
    <w:rsid w:val="007A43B4"/>
    <w:rsid w:val="007A530E"/>
    <w:rsid w:val="007A5773"/>
    <w:rsid w:val="007A7E2B"/>
    <w:rsid w:val="007B0940"/>
    <w:rsid w:val="007B19D8"/>
    <w:rsid w:val="007B1B96"/>
    <w:rsid w:val="007B2787"/>
    <w:rsid w:val="007B295D"/>
    <w:rsid w:val="007B42FD"/>
    <w:rsid w:val="007B49DF"/>
    <w:rsid w:val="007B74BC"/>
    <w:rsid w:val="007B7512"/>
    <w:rsid w:val="007B7FB1"/>
    <w:rsid w:val="007C0404"/>
    <w:rsid w:val="007C1795"/>
    <w:rsid w:val="007C1D78"/>
    <w:rsid w:val="007C304E"/>
    <w:rsid w:val="007C3E2D"/>
    <w:rsid w:val="007C3F82"/>
    <w:rsid w:val="007C5F95"/>
    <w:rsid w:val="007D00F7"/>
    <w:rsid w:val="007D1519"/>
    <w:rsid w:val="007D4DD3"/>
    <w:rsid w:val="007D526E"/>
    <w:rsid w:val="007D5AA0"/>
    <w:rsid w:val="007D5BBE"/>
    <w:rsid w:val="007D6ABD"/>
    <w:rsid w:val="007D6F19"/>
    <w:rsid w:val="007E0515"/>
    <w:rsid w:val="007E06D2"/>
    <w:rsid w:val="007E14F8"/>
    <w:rsid w:val="007E1E5B"/>
    <w:rsid w:val="007E5B48"/>
    <w:rsid w:val="007E5B82"/>
    <w:rsid w:val="007F0D5E"/>
    <w:rsid w:val="007F1782"/>
    <w:rsid w:val="007F1F34"/>
    <w:rsid w:val="007F5119"/>
    <w:rsid w:val="008014CC"/>
    <w:rsid w:val="00801C59"/>
    <w:rsid w:val="00801D26"/>
    <w:rsid w:val="00802589"/>
    <w:rsid w:val="00802C48"/>
    <w:rsid w:val="00804E71"/>
    <w:rsid w:val="00804FB1"/>
    <w:rsid w:val="00805FBD"/>
    <w:rsid w:val="0080702D"/>
    <w:rsid w:val="00810EDC"/>
    <w:rsid w:val="00811821"/>
    <w:rsid w:val="00812782"/>
    <w:rsid w:val="008133CF"/>
    <w:rsid w:val="0081420C"/>
    <w:rsid w:val="00816054"/>
    <w:rsid w:val="008172BF"/>
    <w:rsid w:val="00822FB4"/>
    <w:rsid w:val="00823ECC"/>
    <w:rsid w:val="008253FF"/>
    <w:rsid w:val="00825F7A"/>
    <w:rsid w:val="0082681C"/>
    <w:rsid w:val="00827868"/>
    <w:rsid w:val="00834177"/>
    <w:rsid w:val="00834E75"/>
    <w:rsid w:val="008355CD"/>
    <w:rsid w:val="00836F61"/>
    <w:rsid w:val="00841701"/>
    <w:rsid w:val="00841A8E"/>
    <w:rsid w:val="00842218"/>
    <w:rsid w:val="00844E26"/>
    <w:rsid w:val="00845AE6"/>
    <w:rsid w:val="00845B1C"/>
    <w:rsid w:val="00846226"/>
    <w:rsid w:val="008465D1"/>
    <w:rsid w:val="00846FC6"/>
    <w:rsid w:val="00851055"/>
    <w:rsid w:val="008510D7"/>
    <w:rsid w:val="008515D7"/>
    <w:rsid w:val="008533F2"/>
    <w:rsid w:val="0085390B"/>
    <w:rsid w:val="00853F09"/>
    <w:rsid w:val="00855411"/>
    <w:rsid w:val="008574D9"/>
    <w:rsid w:val="008578D2"/>
    <w:rsid w:val="008606CD"/>
    <w:rsid w:val="00860F01"/>
    <w:rsid w:val="0086131D"/>
    <w:rsid w:val="00862002"/>
    <w:rsid w:val="00862028"/>
    <w:rsid w:val="0086222E"/>
    <w:rsid w:val="00862E03"/>
    <w:rsid w:val="00864F6E"/>
    <w:rsid w:val="008654B0"/>
    <w:rsid w:val="00870B31"/>
    <w:rsid w:val="008726EC"/>
    <w:rsid w:val="008733CF"/>
    <w:rsid w:val="00874629"/>
    <w:rsid w:val="00874C61"/>
    <w:rsid w:val="00876755"/>
    <w:rsid w:val="0087744E"/>
    <w:rsid w:val="00880ADD"/>
    <w:rsid w:val="0088282E"/>
    <w:rsid w:val="008838DA"/>
    <w:rsid w:val="0088470A"/>
    <w:rsid w:val="00885129"/>
    <w:rsid w:val="00885460"/>
    <w:rsid w:val="00886C89"/>
    <w:rsid w:val="00887681"/>
    <w:rsid w:val="00887D61"/>
    <w:rsid w:val="0089000D"/>
    <w:rsid w:val="00890575"/>
    <w:rsid w:val="0089077D"/>
    <w:rsid w:val="00893444"/>
    <w:rsid w:val="00893771"/>
    <w:rsid w:val="0089394E"/>
    <w:rsid w:val="00897A55"/>
    <w:rsid w:val="008A1D83"/>
    <w:rsid w:val="008A555F"/>
    <w:rsid w:val="008A6D16"/>
    <w:rsid w:val="008B14B5"/>
    <w:rsid w:val="008B275D"/>
    <w:rsid w:val="008B4D3D"/>
    <w:rsid w:val="008B4E34"/>
    <w:rsid w:val="008B6479"/>
    <w:rsid w:val="008B67C6"/>
    <w:rsid w:val="008C1420"/>
    <w:rsid w:val="008C618B"/>
    <w:rsid w:val="008C71DE"/>
    <w:rsid w:val="008D2EF5"/>
    <w:rsid w:val="008D341E"/>
    <w:rsid w:val="008D3A0E"/>
    <w:rsid w:val="008D4165"/>
    <w:rsid w:val="008D49C5"/>
    <w:rsid w:val="008E10CB"/>
    <w:rsid w:val="008E15A2"/>
    <w:rsid w:val="008E4B1F"/>
    <w:rsid w:val="008E526D"/>
    <w:rsid w:val="008E6244"/>
    <w:rsid w:val="008E6E23"/>
    <w:rsid w:val="008F02E1"/>
    <w:rsid w:val="008F17BA"/>
    <w:rsid w:val="008F2CF7"/>
    <w:rsid w:val="008F4D4F"/>
    <w:rsid w:val="008F5202"/>
    <w:rsid w:val="008F7711"/>
    <w:rsid w:val="008F7ADA"/>
    <w:rsid w:val="009035ED"/>
    <w:rsid w:val="00906AE6"/>
    <w:rsid w:val="009116A5"/>
    <w:rsid w:val="00913074"/>
    <w:rsid w:val="00915F6B"/>
    <w:rsid w:val="00916D84"/>
    <w:rsid w:val="00917215"/>
    <w:rsid w:val="00920592"/>
    <w:rsid w:val="00921766"/>
    <w:rsid w:val="00922200"/>
    <w:rsid w:val="00924080"/>
    <w:rsid w:val="00925097"/>
    <w:rsid w:val="00926898"/>
    <w:rsid w:val="00931ED6"/>
    <w:rsid w:val="009336D1"/>
    <w:rsid w:val="009342B1"/>
    <w:rsid w:val="0093733D"/>
    <w:rsid w:val="00937EB7"/>
    <w:rsid w:val="00941AEB"/>
    <w:rsid w:val="009436FD"/>
    <w:rsid w:val="009449B4"/>
    <w:rsid w:val="0094717E"/>
    <w:rsid w:val="0094721B"/>
    <w:rsid w:val="00953718"/>
    <w:rsid w:val="00953BC4"/>
    <w:rsid w:val="00954EBB"/>
    <w:rsid w:val="00955B1D"/>
    <w:rsid w:val="0095642E"/>
    <w:rsid w:val="00960D55"/>
    <w:rsid w:val="00961625"/>
    <w:rsid w:val="0096322A"/>
    <w:rsid w:val="009635E0"/>
    <w:rsid w:val="00964F3C"/>
    <w:rsid w:val="009650E3"/>
    <w:rsid w:val="009661AF"/>
    <w:rsid w:val="00966F74"/>
    <w:rsid w:val="00967D45"/>
    <w:rsid w:val="0097035A"/>
    <w:rsid w:val="00973AA2"/>
    <w:rsid w:val="009755C6"/>
    <w:rsid w:val="00977159"/>
    <w:rsid w:val="0097721B"/>
    <w:rsid w:val="00977A2C"/>
    <w:rsid w:val="00977E08"/>
    <w:rsid w:val="00984A01"/>
    <w:rsid w:val="00984A4D"/>
    <w:rsid w:val="0098503A"/>
    <w:rsid w:val="00986A00"/>
    <w:rsid w:val="00990FDE"/>
    <w:rsid w:val="00995824"/>
    <w:rsid w:val="00995825"/>
    <w:rsid w:val="0099709F"/>
    <w:rsid w:val="00997D3A"/>
    <w:rsid w:val="009A073D"/>
    <w:rsid w:val="009A089A"/>
    <w:rsid w:val="009A1929"/>
    <w:rsid w:val="009A193A"/>
    <w:rsid w:val="009A679B"/>
    <w:rsid w:val="009A6C91"/>
    <w:rsid w:val="009A6CF8"/>
    <w:rsid w:val="009A7138"/>
    <w:rsid w:val="009A7594"/>
    <w:rsid w:val="009A76B0"/>
    <w:rsid w:val="009B0024"/>
    <w:rsid w:val="009B05F9"/>
    <w:rsid w:val="009B4DD9"/>
    <w:rsid w:val="009C21F9"/>
    <w:rsid w:val="009C40AB"/>
    <w:rsid w:val="009C57A5"/>
    <w:rsid w:val="009C5AD1"/>
    <w:rsid w:val="009C6FE1"/>
    <w:rsid w:val="009D1F1F"/>
    <w:rsid w:val="009D2449"/>
    <w:rsid w:val="009D2FA5"/>
    <w:rsid w:val="009D43C7"/>
    <w:rsid w:val="009D52E8"/>
    <w:rsid w:val="009D58CB"/>
    <w:rsid w:val="009E1231"/>
    <w:rsid w:val="009E228E"/>
    <w:rsid w:val="009E2F1F"/>
    <w:rsid w:val="009E51F9"/>
    <w:rsid w:val="009E5398"/>
    <w:rsid w:val="009E57F1"/>
    <w:rsid w:val="009E70C6"/>
    <w:rsid w:val="009F236D"/>
    <w:rsid w:val="009F2C4D"/>
    <w:rsid w:val="009F39CD"/>
    <w:rsid w:val="009F469A"/>
    <w:rsid w:val="009F5658"/>
    <w:rsid w:val="009F6F30"/>
    <w:rsid w:val="009F786F"/>
    <w:rsid w:val="00A001AC"/>
    <w:rsid w:val="00A008D9"/>
    <w:rsid w:val="00A01EE8"/>
    <w:rsid w:val="00A05C90"/>
    <w:rsid w:val="00A06BA1"/>
    <w:rsid w:val="00A06BAC"/>
    <w:rsid w:val="00A07326"/>
    <w:rsid w:val="00A11579"/>
    <w:rsid w:val="00A1198B"/>
    <w:rsid w:val="00A12C73"/>
    <w:rsid w:val="00A12FF0"/>
    <w:rsid w:val="00A15119"/>
    <w:rsid w:val="00A159D3"/>
    <w:rsid w:val="00A161C5"/>
    <w:rsid w:val="00A16AA9"/>
    <w:rsid w:val="00A20A69"/>
    <w:rsid w:val="00A20E39"/>
    <w:rsid w:val="00A220B3"/>
    <w:rsid w:val="00A22179"/>
    <w:rsid w:val="00A22B34"/>
    <w:rsid w:val="00A23538"/>
    <w:rsid w:val="00A2395A"/>
    <w:rsid w:val="00A23C14"/>
    <w:rsid w:val="00A24512"/>
    <w:rsid w:val="00A249D0"/>
    <w:rsid w:val="00A2569C"/>
    <w:rsid w:val="00A273F6"/>
    <w:rsid w:val="00A27474"/>
    <w:rsid w:val="00A27A3B"/>
    <w:rsid w:val="00A30837"/>
    <w:rsid w:val="00A3126D"/>
    <w:rsid w:val="00A316FC"/>
    <w:rsid w:val="00A348A5"/>
    <w:rsid w:val="00A350A4"/>
    <w:rsid w:val="00A3649C"/>
    <w:rsid w:val="00A36884"/>
    <w:rsid w:val="00A36E9D"/>
    <w:rsid w:val="00A36FD7"/>
    <w:rsid w:val="00A3718D"/>
    <w:rsid w:val="00A43934"/>
    <w:rsid w:val="00A4458F"/>
    <w:rsid w:val="00A44EA5"/>
    <w:rsid w:val="00A51E02"/>
    <w:rsid w:val="00A527D2"/>
    <w:rsid w:val="00A53580"/>
    <w:rsid w:val="00A548B5"/>
    <w:rsid w:val="00A54BF5"/>
    <w:rsid w:val="00A56B62"/>
    <w:rsid w:val="00A572FB"/>
    <w:rsid w:val="00A57B92"/>
    <w:rsid w:val="00A60DEE"/>
    <w:rsid w:val="00A636C4"/>
    <w:rsid w:val="00A65BA2"/>
    <w:rsid w:val="00A6762D"/>
    <w:rsid w:val="00A70DCE"/>
    <w:rsid w:val="00A72A57"/>
    <w:rsid w:val="00A752F2"/>
    <w:rsid w:val="00A81FC3"/>
    <w:rsid w:val="00A8298E"/>
    <w:rsid w:val="00A8322C"/>
    <w:rsid w:val="00A83876"/>
    <w:rsid w:val="00A86B86"/>
    <w:rsid w:val="00A8758C"/>
    <w:rsid w:val="00A8792C"/>
    <w:rsid w:val="00A906E8"/>
    <w:rsid w:val="00A91A96"/>
    <w:rsid w:val="00A91DB6"/>
    <w:rsid w:val="00A92D78"/>
    <w:rsid w:val="00A937D2"/>
    <w:rsid w:val="00A93CCB"/>
    <w:rsid w:val="00A94715"/>
    <w:rsid w:val="00A94BE3"/>
    <w:rsid w:val="00A94E8E"/>
    <w:rsid w:val="00A96449"/>
    <w:rsid w:val="00A97C79"/>
    <w:rsid w:val="00AA0FA4"/>
    <w:rsid w:val="00AA1314"/>
    <w:rsid w:val="00AA1B7C"/>
    <w:rsid w:val="00AA3CC9"/>
    <w:rsid w:val="00AA7073"/>
    <w:rsid w:val="00AA74E2"/>
    <w:rsid w:val="00AA7E7A"/>
    <w:rsid w:val="00AB00AF"/>
    <w:rsid w:val="00AB0435"/>
    <w:rsid w:val="00AB05F3"/>
    <w:rsid w:val="00AB10EC"/>
    <w:rsid w:val="00AB1658"/>
    <w:rsid w:val="00AB22A3"/>
    <w:rsid w:val="00AB30AD"/>
    <w:rsid w:val="00AB4172"/>
    <w:rsid w:val="00AB793C"/>
    <w:rsid w:val="00AC00FB"/>
    <w:rsid w:val="00AC0AFE"/>
    <w:rsid w:val="00AC1FD2"/>
    <w:rsid w:val="00AC2A77"/>
    <w:rsid w:val="00AC3328"/>
    <w:rsid w:val="00AC504A"/>
    <w:rsid w:val="00AC51D6"/>
    <w:rsid w:val="00AC573D"/>
    <w:rsid w:val="00AC731A"/>
    <w:rsid w:val="00AC76CC"/>
    <w:rsid w:val="00AD0DD1"/>
    <w:rsid w:val="00AD5178"/>
    <w:rsid w:val="00AD5387"/>
    <w:rsid w:val="00AD7B85"/>
    <w:rsid w:val="00AE0FE5"/>
    <w:rsid w:val="00AE21AA"/>
    <w:rsid w:val="00AE4458"/>
    <w:rsid w:val="00AE5855"/>
    <w:rsid w:val="00AE5C7A"/>
    <w:rsid w:val="00AE6862"/>
    <w:rsid w:val="00AE6B9D"/>
    <w:rsid w:val="00AE7DFB"/>
    <w:rsid w:val="00AF0FB9"/>
    <w:rsid w:val="00AF203C"/>
    <w:rsid w:val="00AF41E7"/>
    <w:rsid w:val="00AF5A73"/>
    <w:rsid w:val="00B00C44"/>
    <w:rsid w:val="00B01690"/>
    <w:rsid w:val="00B01ED8"/>
    <w:rsid w:val="00B0511E"/>
    <w:rsid w:val="00B051B0"/>
    <w:rsid w:val="00B051D1"/>
    <w:rsid w:val="00B0614F"/>
    <w:rsid w:val="00B07714"/>
    <w:rsid w:val="00B07D9A"/>
    <w:rsid w:val="00B07E77"/>
    <w:rsid w:val="00B15CB4"/>
    <w:rsid w:val="00B16DE9"/>
    <w:rsid w:val="00B16E95"/>
    <w:rsid w:val="00B20F1A"/>
    <w:rsid w:val="00B217CB"/>
    <w:rsid w:val="00B22902"/>
    <w:rsid w:val="00B2324D"/>
    <w:rsid w:val="00B23528"/>
    <w:rsid w:val="00B237F9"/>
    <w:rsid w:val="00B26C6F"/>
    <w:rsid w:val="00B27324"/>
    <w:rsid w:val="00B2775A"/>
    <w:rsid w:val="00B27EE2"/>
    <w:rsid w:val="00B30BB2"/>
    <w:rsid w:val="00B32616"/>
    <w:rsid w:val="00B33850"/>
    <w:rsid w:val="00B341A7"/>
    <w:rsid w:val="00B36F5B"/>
    <w:rsid w:val="00B40965"/>
    <w:rsid w:val="00B42B10"/>
    <w:rsid w:val="00B44D97"/>
    <w:rsid w:val="00B46971"/>
    <w:rsid w:val="00B46B0F"/>
    <w:rsid w:val="00B47972"/>
    <w:rsid w:val="00B5030E"/>
    <w:rsid w:val="00B524C7"/>
    <w:rsid w:val="00B52E84"/>
    <w:rsid w:val="00B553D2"/>
    <w:rsid w:val="00B60547"/>
    <w:rsid w:val="00B6229A"/>
    <w:rsid w:val="00B62B53"/>
    <w:rsid w:val="00B67AD0"/>
    <w:rsid w:val="00B71C14"/>
    <w:rsid w:val="00B72A0A"/>
    <w:rsid w:val="00B75274"/>
    <w:rsid w:val="00B800F6"/>
    <w:rsid w:val="00B80E1B"/>
    <w:rsid w:val="00B83563"/>
    <w:rsid w:val="00B83C20"/>
    <w:rsid w:val="00B84307"/>
    <w:rsid w:val="00B84AA8"/>
    <w:rsid w:val="00B85C76"/>
    <w:rsid w:val="00B86869"/>
    <w:rsid w:val="00B91889"/>
    <w:rsid w:val="00B91BF3"/>
    <w:rsid w:val="00B936BC"/>
    <w:rsid w:val="00B96203"/>
    <w:rsid w:val="00B9622A"/>
    <w:rsid w:val="00B9777A"/>
    <w:rsid w:val="00B97BD1"/>
    <w:rsid w:val="00BA020B"/>
    <w:rsid w:val="00BA18DC"/>
    <w:rsid w:val="00BA2D87"/>
    <w:rsid w:val="00BA2E5B"/>
    <w:rsid w:val="00BA61AB"/>
    <w:rsid w:val="00BB11D4"/>
    <w:rsid w:val="00BB1D83"/>
    <w:rsid w:val="00BB3728"/>
    <w:rsid w:val="00BB45B7"/>
    <w:rsid w:val="00BB5B9C"/>
    <w:rsid w:val="00BB6BE5"/>
    <w:rsid w:val="00BB6E42"/>
    <w:rsid w:val="00BB7C15"/>
    <w:rsid w:val="00BC132C"/>
    <w:rsid w:val="00BC2AD8"/>
    <w:rsid w:val="00BC33C7"/>
    <w:rsid w:val="00BC3604"/>
    <w:rsid w:val="00BC4C76"/>
    <w:rsid w:val="00BC57D7"/>
    <w:rsid w:val="00BD0B60"/>
    <w:rsid w:val="00BD3C2F"/>
    <w:rsid w:val="00BD5F93"/>
    <w:rsid w:val="00BD6ABB"/>
    <w:rsid w:val="00BD765A"/>
    <w:rsid w:val="00BE0991"/>
    <w:rsid w:val="00BE47E7"/>
    <w:rsid w:val="00BE5957"/>
    <w:rsid w:val="00BF1197"/>
    <w:rsid w:val="00BF186B"/>
    <w:rsid w:val="00BF6EC7"/>
    <w:rsid w:val="00C00919"/>
    <w:rsid w:val="00C02217"/>
    <w:rsid w:val="00C03D07"/>
    <w:rsid w:val="00C048B5"/>
    <w:rsid w:val="00C04C22"/>
    <w:rsid w:val="00C05943"/>
    <w:rsid w:val="00C06901"/>
    <w:rsid w:val="00C111C5"/>
    <w:rsid w:val="00C1400C"/>
    <w:rsid w:val="00C14D66"/>
    <w:rsid w:val="00C16632"/>
    <w:rsid w:val="00C17315"/>
    <w:rsid w:val="00C17E2C"/>
    <w:rsid w:val="00C21A50"/>
    <w:rsid w:val="00C21ADC"/>
    <w:rsid w:val="00C228E8"/>
    <w:rsid w:val="00C2327F"/>
    <w:rsid w:val="00C23CB8"/>
    <w:rsid w:val="00C266AD"/>
    <w:rsid w:val="00C302ED"/>
    <w:rsid w:val="00C30F34"/>
    <w:rsid w:val="00C31A53"/>
    <w:rsid w:val="00C33091"/>
    <w:rsid w:val="00C3405D"/>
    <w:rsid w:val="00C3502F"/>
    <w:rsid w:val="00C36815"/>
    <w:rsid w:val="00C36ADE"/>
    <w:rsid w:val="00C37821"/>
    <w:rsid w:val="00C37883"/>
    <w:rsid w:val="00C37D65"/>
    <w:rsid w:val="00C40098"/>
    <w:rsid w:val="00C41C08"/>
    <w:rsid w:val="00C42420"/>
    <w:rsid w:val="00C43ABC"/>
    <w:rsid w:val="00C445C1"/>
    <w:rsid w:val="00C45C9E"/>
    <w:rsid w:val="00C46737"/>
    <w:rsid w:val="00C46C96"/>
    <w:rsid w:val="00C46D21"/>
    <w:rsid w:val="00C4715E"/>
    <w:rsid w:val="00C50DD8"/>
    <w:rsid w:val="00C50F49"/>
    <w:rsid w:val="00C53DFF"/>
    <w:rsid w:val="00C54090"/>
    <w:rsid w:val="00C5548F"/>
    <w:rsid w:val="00C5557F"/>
    <w:rsid w:val="00C5710B"/>
    <w:rsid w:val="00C60098"/>
    <w:rsid w:val="00C629AB"/>
    <w:rsid w:val="00C63A7E"/>
    <w:rsid w:val="00C63B16"/>
    <w:rsid w:val="00C640CD"/>
    <w:rsid w:val="00C664DD"/>
    <w:rsid w:val="00C67EA8"/>
    <w:rsid w:val="00C72D02"/>
    <w:rsid w:val="00C73CED"/>
    <w:rsid w:val="00C73DED"/>
    <w:rsid w:val="00C73FEE"/>
    <w:rsid w:val="00C747A2"/>
    <w:rsid w:val="00C74BC7"/>
    <w:rsid w:val="00C7527B"/>
    <w:rsid w:val="00C7565E"/>
    <w:rsid w:val="00C765F6"/>
    <w:rsid w:val="00C76A5E"/>
    <w:rsid w:val="00C76BBA"/>
    <w:rsid w:val="00C7753F"/>
    <w:rsid w:val="00C776DE"/>
    <w:rsid w:val="00C77E83"/>
    <w:rsid w:val="00C8137F"/>
    <w:rsid w:val="00C826D3"/>
    <w:rsid w:val="00C84A97"/>
    <w:rsid w:val="00C84B70"/>
    <w:rsid w:val="00C85B03"/>
    <w:rsid w:val="00C90C89"/>
    <w:rsid w:val="00C916C8"/>
    <w:rsid w:val="00C91D7F"/>
    <w:rsid w:val="00C93DBD"/>
    <w:rsid w:val="00C94C97"/>
    <w:rsid w:val="00C96882"/>
    <w:rsid w:val="00C971B2"/>
    <w:rsid w:val="00C97722"/>
    <w:rsid w:val="00CA25C3"/>
    <w:rsid w:val="00CA3243"/>
    <w:rsid w:val="00CA7C14"/>
    <w:rsid w:val="00CB0986"/>
    <w:rsid w:val="00CB2A72"/>
    <w:rsid w:val="00CB3808"/>
    <w:rsid w:val="00CB558C"/>
    <w:rsid w:val="00CB7A31"/>
    <w:rsid w:val="00CC046E"/>
    <w:rsid w:val="00CC0D61"/>
    <w:rsid w:val="00CC2626"/>
    <w:rsid w:val="00CC4A92"/>
    <w:rsid w:val="00CC5FD9"/>
    <w:rsid w:val="00CC610A"/>
    <w:rsid w:val="00CC77C8"/>
    <w:rsid w:val="00CC7D33"/>
    <w:rsid w:val="00CD1E0F"/>
    <w:rsid w:val="00CD2C2B"/>
    <w:rsid w:val="00CD2E93"/>
    <w:rsid w:val="00CD45FE"/>
    <w:rsid w:val="00CE0990"/>
    <w:rsid w:val="00CE0CDF"/>
    <w:rsid w:val="00CE12A0"/>
    <w:rsid w:val="00CE13C9"/>
    <w:rsid w:val="00CE6A63"/>
    <w:rsid w:val="00CE7BBA"/>
    <w:rsid w:val="00CF27A9"/>
    <w:rsid w:val="00CF4715"/>
    <w:rsid w:val="00CF5BAB"/>
    <w:rsid w:val="00D00A2B"/>
    <w:rsid w:val="00D0112C"/>
    <w:rsid w:val="00D049C3"/>
    <w:rsid w:val="00D0523F"/>
    <w:rsid w:val="00D062A7"/>
    <w:rsid w:val="00D06B98"/>
    <w:rsid w:val="00D12081"/>
    <w:rsid w:val="00D120C8"/>
    <w:rsid w:val="00D14545"/>
    <w:rsid w:val="00D14A31"/>
    <w:rsid w:val="00D17ECD"/>
    <w:rsid w:val="00D21A5F"/>
    <w:rsid w:val="00D22181"/>
    <w:rsid w:val="00D23B81"/>
    <w:rsid w:val="00D23C63"/>
    <w:rsid w:val="00D244F6"/>
    <w:rsid w:val="00D27565"/>
    <w:rsid w:val="00D27DE5"/>
    <w:rsid w:val="00D31B6D"/>
    <w:rsid w:val="00D31E43"/>
    <w:rsid w:val="00D33365"/>
    <w:rsid w:val="00D34C27"/>
    <w:rsid w:val="00D357F2"/>
    <w:rsid w:val="00D359FA"/>
    <w:rsid w:val="00D35A6C"/>
    <w:rsid w:val="00D4055F"/>
    <w:rsid w:val="00D40E91"/>
    <w:rsid w:val="00D41255"/>
    <w:rsid w:val="00D433DC"/>
    <w:rsid w:val="00D43AEA"/>
    <w:rsid w:val="00D447AB"/>
    <w:rsid w:val="00D47F45"/>
    <w:rsid w:val="00D50DAD"/>
    <w:rsid w:val="00D51242"/>
    <w:rsid w:val="00D5481B"/>
    <w:rsid w:val="00D57722"/>
    <w:rsid w:val="00D60041"/>
    <w:rsid w:val="00D6161A"/>
    <w:rsid w:val="00D64DB5"/>
    <w:rsid w:val="00D65491"/>
    <w:rsid w:val="00D668DF"/>
    <w:rsid w:val="00D70771"/>
    <w:rsid w:val="00D71BEF"/>
    <w:rsid w:val="00D71EE1"/>
    <w:rsid w:val="00D73284"/>
    <w:rsid w:val="00D750DA"/>
    <w:rsid w:val="00D76151"/>
    <w:rsid w:val="00D778C4"/>
    <w:rsid w:val="00D77D85"/>
    <w:rsid w:val="00D77E17"/>
    <w:rsid w:val="00D809B3"/>
    <w:rsid w:val="00D81BE9"/>
    <w:rsid w:val="00D81ED0"/>
    <w:rsid w:val="00D81FB0"/>
    <w:rsid w:val="00D82297"/>
    <w:rsid w:val="00D82381"/>
    <w:rsid w:val="00D83DB9"/>
    <w:rsid w:val="00D84B2F"/>
    <w:rsid w:val="00D84B85"/>
    <w:rsid w:val="00D86943"/>
    <w:rsid w:val="00D87A35"/>
    <w:rsid w:val="00D87EA8"/>
    <w:rsid w:val="00D9493E"/>
    <w:rsid w:val="00D95204"/>
    <w:rsid w:val="00D958F9"/>
    <w:rsid w:val="00D9721F"/>
    <w:rsid w:val="00DA2F71"/>
    <w:rsid w:val="00DA415F"/>
    <w:rsid w:val="00DA4E8B"/>
    <w:rsid w:val="00DA6809"/>
    <w:rsid w:val="00DB0233"/>
    <w:rsid w:val="00DB027F"/>
    <w:rsid w:val="00DB13C1"/>
    <w:rsid w:val="00DB21BE"/>
    <w:rsid w:val="00DB2C82"/>
    <w:rsid w:val="00DB361B"/>
    <w:rsid w:val="00DB60EA"/>
    <w:rsid w:val="00DB648A"/>
    <w:rsid w:val="00DB65E2"/>
    <w:rsid w:val="00DB752E"/>
    <w:rsid w:val="00DB78EB"/>
    <w:rsid w:val="00DC19D6"/>
    <w:rsid w:val="00DC6301"/>
    <w:rsid w:val="00DD0926"/>
    <w:rsid w:val="00DD1A29"/>
    <w:rsid w:val="00DD3BF2"/>
    <w:rsid w:val="00DD5AF8"/>
    <w:rsid w:val="00DD695C"/>
    <w:rsid w:val="00DE040D"/>
    <w:rsid w:val="00DE3444"/>
    <w:rsid w:val="00DE35DB"/>
    <w:rsid w:val="00DE3838"/>
    <w:rsid w:val="00DE6BF5"/>
    <w:rsid w:val="00DE76DA"/>
    <w:rsid w:val="00DF01DD"/>
    <w:rsid w:val="00DF0B2A"/>
    <w:rsid w:val="00DF1495"/>
    <w:rsid w:val="00DF1D3B"/>
    <w:rsid w:val="00DF2651"/>
    <w:rsid w:val="00DF39B9"/>
    <w:rsid w:val="00DF3A83"/>
    <w:rsid w:val="00DF4BFC"/>
    <w:rsid w:val="00DF56C5"/>
    <w:rsid w:val="00DF6CCC"/>
    <w:rsid w:val="00DF709B"/>
    <w:rsid w:val="00DF7CF1"/>
    <w:rsid w:val="00E054A7"/>
    <w:rsid w:val="00E05CD1"/>
    <w:rsid w:val="00E06C96"/>
    <w:rsid w:val="00E07583"/>
    <w:rsid w:val="00E11784"/>
    <w:rsid w:val="00E13EE3"/>
    <w:rsid w:val="00E21728"/>
    <w:rsid w:val="00E21BFC"/>
    <w:rsid w:val="00E21F0B"/>
    <w:rsid w:val="00E26A01"/>
    <w:rsid w:val="00E27B45"/>
    <w:rsid w:val="00E31D83"/>
    <w:rsid w:val="00E31E12"/>
    <w:rsid w:val="00E336A3"/>
    <w:rsid w:val="00E33B06"/>
    <w:rsid w:val="00E345F0"/>
    <w:rsid w:val="00E34EFB"/>
    <w:rsid w:val="00E35B37"/>
    <w:rsid w:val="00E430CA"/>
    <w:rsid w:val="00E47332"/>
    <w:rsid w:val="00E51A9D"/>
    <w:rsid w:val="00E51C52"/>
    <w:rsid w:val="00E52215"/>
    <w:rsid w:val="00E537A4"/>
    <w:rsid w:val="00E54913"/>
    <w:rsid w:val="00E54EE0"/>
    <w:rsid w:val="00E577B3"/>
    <w:rsid w:val="00E61DE7"/>
    <w:rsid w:val="00E62C28"/>
    <w:rsid w:val="00E62EFF"/>
    <w:rsid w:val="00E638AB"/>
    <w:rsid w:val="00E65000"/>
    <w:rsid w:val="00E6520F"/>
    <w:rsid w:val="00E65DC8"/>
    <w:rsid w:val="00E660AF"/>
    <w:rsid w:val="00E66DE9"/>
    <w:rsid w:val="00E72766"/>
    <w:rsid w:val="00E734E7"/>
    <w:rsid w:val="00E779AE"/>
    <w:rsid w:val="00E77A7F"/>
    <w:rsid w:val="00E77DC0"/>
    <w:rsid w:val="00E80694"/>
    <w:rsid w:val="00E830C3"/>
    <w:rsid w:val="00E83890"/>
    <w:rsid w:val="00E84894"/>
    <w:rsid w:val="00E85BEB"/>
    <w:rsid w:val="00E865AA"/>
    <w:rsid w:val="00E8773C"/>
    <w:rsid w:val="00E912A4"/>
    <w:rsid w:val="00E9266D"/>
    <w:rsid w:val="00E94F20"/>
    <w:rsid w:val="00E96309"/>
    <w:rsid w:val="00EA0C11"/>
    <w:rsid w:val="00EA2475"/>
    <w:rsid w:val="00EA262F"/>
    <w:rsid w:val="00EA2DAB"/>
    <w:rsid w:val="00EA3CC6"/>
    <w:rsid w:val="00EA3F14"/>
    <w:rsid w:val="00EA42FF"/>
    <w:rsid w:val="00EA4840"/>
    <w:rsid w:val="00EA7549"/>
    <w:rsid w:val="00EA771D"/>
    <w:rsid w:val="00EA79F6"/>
    <w:rsid w:val="00EB0A51"/>
    <w:rsid w:val="00EB0C43"/>
    <w:rsid w:val="00EB3A13"/>
    <w:rsid w:val="00EB3D59"/>
    <w:rsid w:val="00EB3D7B"/>
    <w:rsid w:val="00EB62CA"/>
    <w:rsid w:val="00EB6939"/>
    <w:rsid w:val="00EB7952"/>
    <w:rsid w:val="00EC080C"/>
    <w:rsid w:val="00EC08CC"/>
    <w:rsid w:val="00EC163F"/>
    <w:rsid w:val="00EC4A3D"/>
    <w:rsid w:val="00EC4DEF"/>
    <w:rsid w:val="00EC6706"/>
    <w:rsid w:val="00EC76DA"/>
    <w:rsid w:val="00ED10E2"/>
    <w:rsid w:val="00ED1E8B"/>
    <w:rsid w:val="00ED2E38"/>
    <w:rsid w:val="00ED4455"/>
    <w:rsid w:val="00ED63DD"/>
    <w:rsid w:val="00ED6FA4"/>
    <w:rsid w:val="00EE1004"/>
    <w:rsid w:val="00EE22EC"/>
    <w:rsid w:val="00EE251E"/>
    <w:rsid w:val="00EE424E"/>
    <w:rsid w:val="00EE7173"/>
    <w:rsid w:val="00F01071"/>
    <w:rsid w:val="00F0138F"/>
    <w:rsid w:val="00F01BD4"/>
    <w:rsid w:val="00F0277A"/>
    <w:rsid w:val="00F03EA6"/>
    <w:rsid w:val="00F04C36"/>
    <w:rsid w:val="00F05D29"/>
    <w:rsid w:val="00F066BC"/>
    <w:rsid w:val="00F07A9B"/>
    <w:rsid w:val="00F10E12"/>
    <w:rsid w:val="00F12866"/>
    <w:rsid w:val="00F151FC"/>
    <w:rsid w:val="00F16B13"/>
    <w:rsid w:val="00F1712A"/>
    <w:rsid w:val="00F17C67"/>
    <w:rsid w:val="00F21726"/>
    <w:rsid w:val="00F22085"/>
    <w:rsid w:val="00F24113"/>
    <w:rsid w:val="00F25417"/>
    <w:rsid w:val="00F255BF"/>
    <w:rsid w:val="00F25C5E"/>
    <w:rsid w:val="00F25E3C"/>
    <w:rsid w:val="00F27B50"/>
    <w:rsid w:val="00F31C3D"/>
    <w:rsid w:val="00F3262A"/>
    <w:rsid w:val="00F327BA"/>
    <w:rsid w:val="00F372D8"/>
    <w:rsid w:val="00F4364E"/>
    <w:rsid w:val="00F44F71"/>
    <w:rsid w:val="00F45F7C"/>
    <w:rsid w:val="00F47251"/>
    <w:rsid w:val="00F4760F"/>
    <w:rsid w:val="00F4762D"/>
    <w:rsid w:val="00F5288D"/>
    <w:rsid w:val="00F53553"/>
    <w:rsid w:val="00F53834"/>
    <w:rsid w:val="00F53FE2"/>
    <w:rsid w:val="00F5570B"/>
    <w:rsid w:val="00F57019"/>
    <w:rsid w:val="00F60FF3"/>
    <w:rsid w:val="00F62A26"/>
    <w:rsid w:val="00F63B0D"/>
    <w:rsid w:val="00F65876"/>
    <w:rsid w:val="00F67070"/>
    <w:rsid w:val="00F716F6"/>
    <w:rsid w:val="00F7532D"/>
    <w:rsid w:val="00F77BC8"/>
    <w:rsid w:val="00F807BE"/>
    <w:rsid w:val="00F80E28"/>
    <w:rsid w:val="00F81B22"/>
    <w:rsid w:val="00F83769"/>
    <w:rsid w:val="00F83CC0"/>
    <w:rsid w:val="00F840FD"/>
    <w:rsid w:val="00F848F9"/>
    <w:rsid w:val="00F84E4A"/>
    <w:rsid w:val="00F85A2B"/>
    <w:rsid w:val="00F8620F"/>
    <w:rsid w:val="00F8681A"/>
    <w:rsid w:val="00F87FAD"/>
    <w:rsid w:val="00F940F0"/>
    <w:rsid w:val="00F94A35"/>
    <w:rsid w:val="00F95A89"/>
    <w:rsid w:val="00F97A45"/>
    <w:rsid w:val="00FA09EF"/>
    <w:rsid w:val="00FA0AE8"/>
    <w:rsid w:val="00FA3ED4"/>
    <w:rsid w:val="00FA481B"/>
    <w:rsid w:val="00FA76DA"/>
    <w:rsid w:val="00FA7973"/>
    <w:rsid w:val="00FB1848"/>
    <w:rsid w:val="00FC0C22"/>
    <w:rsid w:val="00FC6C85"/>
    <w:rsid w:val="00FD0DEF"/>
    <w:rsid w:val="00FD28B3"/>
    <w:rsid w:val="00FD3CBD"/>
    <w:rsid w:val="00FD5A74"/>
    <w:rsid w:val="00FD61A0"/>
    <w:rsid w:val="00FD6573"/>
    <w:rsid w:val="00FD73D0"/>
    <w:rsid w:val="00FE01D8"/>
    <w:rsid w:val="00FE0947"/>
    <w:rsid w:val="00FE0FBD"/>
    <w:rsid w:val="00FE1A41"/>
    <w:rsid w:val="00FE1C59"/>
    <w:rsid w:val="00FE2340"/>
    <w:rsid w:val="00FE2BF6"/>
    <w:rsid w:val="00FE3FAD"/>
    <w:rsid w:val="00FE4583"/>
    <w:rsid w:val="00FE520C"/>
    <w:rsid w:val="00FE67A0"/>
    <w:rsid w:val="00FE6A65"/>
    <w:rsid w:val="00FF0850"/>
    <w:rsid w:val="00FF2EBC"/>
    <w:rsid w:val="00FF3B09"/>
    <w:rsid w:val="00FF4522"/>
    <w:rsid w:val="00FF4C0E"/>
    <w:rsid w:val="00FF5D80"/>
    <w:rsid w:val="00FF6BAE"/>
    <w:rsid w:val="00FF79F4"/>
    <w:rsid w:val="01694255"/>
    <w:rsid w:val="0DC06DDC"/>
    <w:rsid w:val="18538903"/>
    <w:rsid w:val="19BA0BE3"/>
    <w:rsid w:val="1A14BD07"/>
    <w:rsid w:val="1CFAA2D1"/>
    <w:rsid w:val="4DA65DED"/>
    <w:rsid w:val="4E38BDC3"/>
    <w:rsid w:val="50916BCC"/>
    <w:rsid w:val="550BB805"/>
    <w:rsid w:val="580B6C96"/>
    <w:rsid w:val="58A18FFB"/>
    <w:rsid w:val="6B724556"/>
    <w:rsid w:val="70F3A724"/>
  </w:rsids>
  <m:mathPr>
    <m:mathFont m:val="Cambria Math"/>
  </m:mathPr>
  <w:themeFontLang w:val="nl-NL"/>
  <w:clrSchemeMapping w:bg1="light1" w:t1="dark1" w:bg2="light2" w:t2="dark2" w:accent1="accent1" w:accent2="accent2" w:accent3="accent3" w:accent4="accent4" w:accent5="accent5" w:accent6="accent6" w:hyperlink="hyperlink" w:followedHyperlink="followedHyperlink"/>
  <w14:docId w14:val="61BEA976"/>
  <w15:docId w15:val="{C34F589A-B7EF-4E70-A85A-52C4900328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6">
    <w:lsdException w:name="heading 1" w:semiHidden="1"/>
    <w:lsdException w:name="heading 2" w:semiHidden="1" w:uiPriority="9"/>
    <w:lsdException w:name="heading 3" w:semiHidden="1" w:uiPriority="9"/>
    <w:lsdException w:name="heading 4" w:semiHidden="1" w:uiPriority="9"/>
    <w:lsdException w:name="heading 5" w:semiHidden="1" w:uiPriority="9"/>
    <w:lsdException w:name="heading 6" w:semiHidden="1" w:uiPriority="9"/>
    <w:lsdException w:name="heading 7" w:semiHidden="1" w:uiPriority="9"/>
    <w:lsdException w:name="heading 8" w:semiHidden="1" w:uiPriority="9"/>
    <w:lsdException w:name="heading 9" w:semiHidden="1"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pacing w:line="240" w:lineRule="atLeast"/>
    </w:pPr>
    <w:rPr>
      <w:rFonts w:ascii="Verdana" w:hAnsi="Verdana"/>
      <w:color w:val="000000"/>
      <w:sz w:val="18"/>
      <w:szCs w:val="18"/>
    </w:rPr>
  </w:style>
  <w:style w:type="paragraph" w:styleId="Heading1">
    <w:name w:val="heading 1"/>
    <w:basedOn w:val="Normal"/>
    <w:next w:val="Normal"/>
    <w:uiPriority w:val="1"/>
    <w:qFormat/>
    <w:pPr>
      <w:tabs>
        <w:tab w:val="left" w:pos="0"/>
      </w:tabs>
      <w:spacing w:before="240"/>
      <w:outlineLvl w:val="0"/>
    </w:pPr>
    <w:rPr>
      <w:b/>
    </w:rPr>
  </w:style>
  <w:style w:type="paragraph" w:styleId="Heading2">
    <w:name w:val="heading 2"/>
    <w:basedOn w:val="Normal"/>
    <w:next w:val="Normal"/>
    <w:uiPriority w:val="2"/>
    <w:qFormat/>
    <w:pPr>
      <w:tabs>
        <w:tab w:val="left" w:pos="0"/>
      </w:tabs>
      <w:spacing w:before="240" w:line="240" w:lineRule="exact"/>
      <w:outlineLvl w:val="1"/>
    </w:pPr>
    <w:rPr>
      <w:i/>
    </w:rPr>
  </w:style>
  <w:style w:type="paragraph" w:styleId="Heading3">
    <w:name w:val="heading 3"/>
    <w:basedOn w:val="Normal"/>
    <w:next w:val="Normal"/>
    <w:pPr>
      <w:tabs>
        <w:tab w:val="left" w:pos="0"/>
      </w:tabs>
      <w:spacing w:before="240" w:line="240" w:lineRule="exact"/>
      <w:ind w:left="-1120"/>
      <w:outlineLvl w:val="2"/>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31B78"/>
    <w:rPr>
      <w:color w:val="467886" w:themeColor="hyperlink"/>
      <w:u w:val="single"/>
    </w:rPr>
  </w:style>
  <w:style w:type="paragraph" w:customStyle="1" w:styleId="Artikelstreepje">
    <w:name w:val="Artikel streepje"/>
    <w:basedOn w:val="Normal"/>
    <w:next w:val="Normal"/>
    <w:pPr>
      <w:numPr>
        <w:ilvl w:val="3"/>
        <w:numId w:val="1"/>
      </w:numPr>
    </w:pPr>
  </w:style>
  <w:style w:type="paragraph" w:customStyle="1" w:styleId="Artikelstreepjeinspringen">
    <w:name w:val="Artikel streepje inspringen"/>
    <w:basedOn w:val="Normal"/>
    <w:next w:val="Normal"/>
    <w:pPr>
      <w:numPr>
        <w:ilvl w:val="4"/>
        <w:numId w:val="1"/>
      </w:numPr>
    </w:pPr>
  </w:style>
  <w:style w:type="paragraph" w:customStyle="1" w:styleId="Artikelnummer">
    <w:name w:val="Artikelnummer"/>
    <w:basedOn w:val="Normal"/>
    <w:pPr>
      <w:numPr>
        <w:numId w:val="1"/>
      </w:numPr>
      <w:spacing w:before="360"/>
    </w:pPr>
    <w:rPr>
      <w:b/>
    </w:rPr>
  </w:style>
  <w:style w:type="paragraph" w:customStyle="1" w:styleId="Comparitienummer">
    <w:name w:val="Comparitienummer"/>
    <w:basedOn w:val="Normal"/>
    <w:next w:val="Normal"/>
    <w:pPr>
      <w:numPr>
        <w:numId w:val="2"/>
      </w:numPr>
    </w:pPr>
  </w:style>
  <w:style w:type="numbering" w:customStyle="1" w:styleId="Genummerdelijst">
    <w:name w:val="Genummerde lijst"/>
    <w:pPr>
      <w:numPr>
        <w:numId w:val="3"/>
      </w:numPr>
    </w:pPr>
  </w:style>
  <w:style w:type="paragraph" w:styleId="TOC1">
    <w:name w:val="toc 1"/>
    <w:basedOn w:val="Normal"/>
    <w:next w:val="Normal"/>
  </w:style>
  <w:style w:type="paragraph" w:styleId="TOC2">
    <w:name w:val="toc 2"/>
    <w:basedOn w:val="TOC1"/>
    <w:next w:val="Normal"/>
    <w:pPr>
      <w:spacing w:line="240" w:lineRule="exact"/>
    </w:pPr>
  </w:style>
  <w:style w:type="paragraph" w:styleId="TOC3">
    <w:name w:val="toc 3"/>
    <w:basedOn w:val="TOC2"/>
    <w:next w:val="Normal"/>
  </w:style>
  <w:style w:type="paragraph" w:styleId="TOC4">
    <w:name w:val="toc 4"/>
    <w:basedOn w:val="TOC3"/>
    <w:next w:val="Normal"/>
  </w:style>
  <w:style w:type="paragraph" w:styleId="TOC5">
    <w:name w:val="toc 5"/>
    <w:basedOn w:val="TOC4"/>
    <w:next w:val="Normal"/>
  </w:style>
  <w:style w:type="paragraph" w:styleId="TOC6">
    <w:name w:val="toc 6"/>
    <w:basedOn w:val="TOC5"/>
    <w:next w:val="Normal"/>
  </w:style>
  <w:style w:type="paragraph" w:styleId="TOC7">
    <w:name w:val="toc 7"/>
    <w:basedOn w:val="TOC6"/>
    <w:next w:val="Normal"/>
  </w:style>
  <w:style w:type="paragraph" w:styleId="TOC8">
    <w:name w:val="toc 8"/>
    <w:basedOn w:val="TOC7"/>
    <w:next w:val="Normal"/>
  </w:style>
  <w:style w:type="paragraph" w:styleId="TOC9">
    <w:name w:val="toc 9"/>
    <w:basedOn w:val="TOC8"/>
    <w:next w:val="Normal"/>
  </w:style>
  <w:style w:type="paragraph" w:customStyle="1" w:styleId="KixBarcode">
    <w:name w:val="Kix Barcode"/>
    <w:basedOn w:val="Normal"/>
    <w:next w:val="Normal"/>
    <w:pPr>
      <w:spacing w:before="120"/>
    </w:pPr>
    <w:rPr>
      <w:rFonts w:ascii="KIX Barcode" w:hAnsi="KIX Barcode"/>
      <w:sz w:val="20"/>
      <w:szCs w:val="20"/>
    </w:rPr>
  </w:style>
  <w:style w:type="paragraph" w:customStyle="1" w:styleId="Lidnummer">
    <w:name w:val="Lidnummer"/>
    <w:basedOn w:val="Normal"/>
    <w:pPr>
      <w:numPr>
        <w:ilvl w:val="1"/>
        <w:numId w:val="1"/>
      </w:numPr>
      <w:tabs>
        <w:tab w:val="left" w:pos="419"/>
      </w:tabs>
    </w:pPr>
  </w:style>
  <w:style w:type="paragraph" w:customStyle="1" w:styleId="Lidnummerabc">
    <w:name w:val="Lidnummer abc"/>
    <w:basedOn w:val="Normal"/>
    <w:pPr>
      <w:numPr>
        <w:ilvl w:val="2"/>
        <w:numId w:val="1"/>
      </w:numPr>
      <w:tabs>
        <w:tab w:val="left" w:pos="402"/>
      </w:tabs>
    </w:pPr>
  </w:style>
  <w:style w:type="numbering" w:customStyle="1" w:styleId="Lijstmetopsommingstekens">
    <w:name w:val="Lijst met opsommingstekens"/>
    <w:pPr>
      <w:numPr>
        <w:numId w:val="4"/>
      </w:numPr>
    </w:pPr>
  </w:style>
  <w:style w:type="paragraph" w:customStyle="1" w:styleId="Nummering">
    <w:name w:val="Nummering"/>
    <w:basedOn w:val="Normal"/>
    <w:uiPriority w:val="3"/>
    <w:qFormat/>
    <w:pPr>
      <w:numPr>
        <w:numId w:val="3"/>
      </w:numPr>
    </w:pPr>
  </w:style>
  <w:style w:type="paragraph" w:styleId="Subtitle">
    <w:name w:val="Subtitle"/>
    <w:basedOn w:val="Normal"/>
    <w:next w:val="Normal"/>
    <w:pPr>
      <w:spacing w:line="320" w:lineRule="atLeast"/>
    </w:pPr>
    <w:rPr>
      <w:sz w:val="24"/>
      <w:szCs w:val="24"/>
    </w:rPr>
  </w:style>
  <w:style w:type="paragraph" w:customStyle="1" w:styleId="Opsomming">
    <w:name w:val="Opsomming"/>
    <w:basedOn w:val="Normal"/>
    <w:uiPriority w:val="3"/>
    <w:qFormat/>
    <w:pPr>
      <w:numPr>
        <w:numId w:val="4"/>
      </w:numPr>
    </w:pPr>
  </w:style>
  <w:style w:type="paragraph" w:customStyle="1" w:styleId="Pagina-eindeKop1">
    <w:name w:val="Pagina-einde Kop 1"/>
    <w:basedOn w:val="Normal"/>
    <w:next w:val="Normal"/>
    <w:pPr>
      <w:pageBreakBefore/>
      <w:spacing w:line="240" w:lineRule="exact"/>
      <w:outlineLvl w:val="0"/>
    </w:pPr>
    <w:rPr>
      <w:b/>
    </w:rPr>
  </w:style>
  <w:style w:type="paragraph" w:customStyle="1" w:styleId="Referentiegegevens">
    <w:name w:val="Referentiegegevens"/>
    <w:basedOn w:val="Normal"/>
    <w:next w:val="Normal"/>
    <w:pPr>
      <w:spacing w:line="180" w:lineRule="exact"/>
      <w:outlineLvl w:val="4"/>
    </w:pPr>
    <w:rPr>
      <w:sz w:val="13"/>
      <w:szCs w:val="13"/>
    </w:rPr>
  </w:style>
  <w:style w:type="paragraph" w:customStyle="1" w:styleId="Referentiegegevensbold">
    <w:name w:val="Referentiegegevens bold"/>
    <w:basedOn w:val="Normal"/>
    <w:next w:val="Normal"/>
    <w:pPr>
      <w:spacing w:line="180" w:lineRule="exact"/>
      <w:outlineLvl w:val="4"/>
    </w:pPr>
    <w:rPr>
      <w:b/>
      <w:sz w:val="13"/>
      <w:szCs w:val="13"/>
    </w:rPr>
  </w:style>
  <w:style w:type="paragraph" w:customStyle="1" w:styleId="Referentiegegevenscursief">
    <w:name w:val="Referentiegegevens cursief"/>
    <w:basedOn w:val="Normal"/>
    <w:next w:val="Normal"/>
    <w:pPr>
      <w:spacing w:line="180" w:lineRule="exact"/>
      <w:outlineLvl w:val="4"/>
    </w:pPr>
    <w:rPr>
      <w:i/>
      <w:sz w:val="13"/>
      <w:szCs w:val="13"/>
    </w:rPr>
  </w:style>
  <w:style w:type="paragraph" w:customStyle="1" w:styleId="Referentiegegevensrechtsuitgelijnd">
    <w:name w:val="Referentiegegevens rechts uitgelijnd"/>
    <w:basedOn w:val="Normal"/>
    <w:next w:val="Normal"/>
    <w:pPr>
      <w:spacing w:line="180" w:lineRule="exact"/>
      <w:jc w:val="right"/>
      <w:outlineLvl w:val="4"/>
    </w:pPr>
    <w:rPr>
      <w:sz w:val="13"/>
      <w:szCs w:val="13"/>
    </w:rPr>
  </w:style>
  <w:style w:type="paragraph" w:customStyle="1" w:styleId="Rubricering">
    <w:name w:val="Rubricering"/>
    <w:basedOn w:val="Normal"/>
    <w:next w:val="Normal"/>
    <w:pPr>
      <w:spacing w:line="180" w:lineRule="exact"/>
    </w:pPr>
    <w:rPr>
      <w:b/>
      <w:caps/>
      <w:sz w:val="13"/>
      <w:szCs w:val="13"/>
    </w:rPr>
  </w:style>
  <w:style w:type="paragraph" w:customStyle="1" w:styleId="Standaardcursief">
    <w:name w:val="Standaard cursief"/>
    <w:basedOn w:val="Normal"/>
    <w:next w:val="Normal"/>
    <w:qFormat/>
    <w:pPr>
      <w:spacing w:line="240" w:lineRule="exact"/>
    </w:pPr>
    <w:rPr>
      <w:i/>
    </w:rPr>
  </w:style>
  <w:style w:type="paragraph" w:customStyle="1" w:styleId="StandaarddeDE">
    <w:name w:val="Standaard de_DE"/>
    <w:basedOn w:val="Normal"/>
    <w:next w:val="Normal"/>
    <w:rPr>
      <w:lang w:val="de-DE"/>
    </w:rPr>
  </w:style>
  <w:style w:type="paragraph" w:customStyle="1" w:styleId="StandaardenGB">
    <w:name w:val="Standaard en_GB"/>
    <w:basedOn w:val="Normal"/>
    <w:next w:val="Normal"/>
    <w:rPr>
      <w:lang w:val="en-GB"/>
    </w:rPr>
  </w:style>
  <w:style w:type="paragraph" w:customStyle="1" w:styleId="StandaardesES">
    <w:name w:val="Standaard es_ES"/>
    <w:basedOn w:val="Normal"/>
    <w:next w:val="Normal"/>
    <w:rPr>
      <w:lang w:val="es-ES"/>
    </w:rPr>
  </w:style>
  <w:style w:type="paragraph" w:customStyle="1" w:styleId="StandaardfrFR">
    <w:name w:val="Standaard fr_FR"/>
    <w:basedOn w:val="Normal"/>
    <w:next w:val="Normal"/>
    <w:rPr>
      <w:lang w:val="fr-FR"/>
    </w:rPr>
  </w:style>
  <w:style w:type="paragraph" w:customStyle="1" w:styleId="Standaardvet">
    <w:name w:val="Standaard vet"/>
    <w:basedOn w:val="Normal"/>
    <w:next w:val="Normal"/>
    <w:qFormat/>
    <w:pPr>
      <w:spacing w:line="240" w:lineRule="exact"/>
    </w:pPr>
    <w:rPr>
      <w:b/>
    </w:rPr>
  </w:style>
  <w:style w:type="table" w:customStyle="1" w:styleId="TabelRijkshuisstijl">
    <w:name w:val="Tabel Rijkshuisstijl"/>
    <w:rPr>
      <w:rFonts w:ascii="Verdana" w:hAnsi="Verdana"/>
      <w:sz w:val="18"/>
      <w:szCs w:val="18"/>
    </w:rPr>
    <w:tblPr>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CellMar>
        <w:top w:w="100" w:type="dxa"/>
        <w:left w:w="56" w:type="dxa"/>
        <w:bottom w:w="100" w:type="dxa"/>
        <w:right w:w="0" w:type="dxa"/>
      </w:tblCellMar>
    </w:tblPr>
    <w:tblStylePr w:type="firstRow">
      <w:rPr>
        <w:b/>
      </w:rPr>
    </w:tblStylePr>
  </w:style>
  <w:style w:type="table" w:customStyle="1" w:styleId="Tabelzonderranden">
    <w:name w:val="Tabel zonder randen"/>
    <w:rPr>
      <w:rFonts w:ascii="Verdana" w:hAnsi="Verdana"/>
      <w:color w:val="000000"/>
      <w:sz w:val="24"/>
      <w:szCs w:val="24"/>
    </w:rPr>
    <w:tblPr>
      <w:tblBorders>
        <w:top w:val="single" w:sz="0" w:space="0" w:color="FFFFFF"/>
        <w:left w:val="single" w:sz="0" w:space="0" w:color="FFFFFF"/>
        <w:bottom w:val="single" w:sz="0" w:space="0" w:color="FFFFFF"/>
        <w:right w:val="single" w:sz="0" w:space="0" w:color="FFFFFF"/>
        <w:insideH w:val="single" w:sz="0" w:space="0" w:color="FFFFFF"/>
        <w:insideV w:val="single" w:sz="0" w:space="0" w:color="FFFFFF"/>
      </w:tblBorders>
      <w:tblCellMar>
        <w:top w:w="0" w:type="dxa"/>
        <w:left w:w="0" w:type="dxa"/>
        <w:bottom w:w="0" w:type="dxa"/>
        <w:right w:w="0" w:type="dxa"/>
      </w:tblCellMar>
    </w:tblPr>
  </w:style>
  <w:style w:type="table" w:styleId="TableGrid">
    <w:name w:val="Table Grid"/>
    <w:uiPriority w:val="39"/>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0" w:type="dxa"/>
        <w:bottom w:w="0" w:type="dxa"/>
        <w:right w:w="0" w:type="dxa"/>
      </w:tblCellMar>
    </w:tblPr>
  </w:style>
  <w:style w:type="paragraph" w:styleId="Title">
    <w:name w:val="Title"/>
    <w:basedOn w:val="Normal"/>
    <w:next w:val="Normal"/>
    <w:pPr>
      <w:spacing w:line="320" w:lineRule="atLeast"/>
    </w:pPr>
    <w:rPr>
      <w:b/>
      <w:sz w:val="24"/>
      <w:szCs w:val="24"/>
    </w:rPr>
  </w:style>
  <w:style w:type="paragraph" w:customStyle="1" w:styleId="WitregelW1">
    <w:name w:val="Witregel W1"/>
    <w:basedOn w:val="Normal"/>
    <w:next w:val="Normal"/>
    <w:pPr>
      <w:spacing w:line="90" w:lineRule="exact"/>
    </w:pPr>
    <w:rPr>
      <w:sz w:val="9"/>
      <w:szCs w:val="9"/>
    </w:rPr>
  </w:style>
  <w:style w:type="paragraph" w:customStyle="1" w:styleId="WitregelW1bodytekst">
    <w:name w:val="Witregel W1 (bodytekst)"/>
    <w:basedOn w:val="Normal"/>
    <w:next w:val="Normal"/>
    <w:pPr>
      <w:spacing w:line="240" w:lineRule="exact"/>
    </w:pPr>
  </w:style>
  <w:style w:type="paragraph" w:customStyle="1" w:styleId="WitregelW2">
    <w:name w:val="Witregel W2"/>
    <w:basedOn w:val="Normal"/>
    <w:next w:val="Normal"/>
    <w:pPr>
      <w:spacing w:line="270" w:lineRule="exact"/>
    </w:pPr>
    <w:rPr>
      <w:sz w:val="27"/>
      <w:szCs w:val="27"/>
    </w:rPr>
  </w:style>
  <w:style w:type="paragraph" w:styleId="Header">
    <w:name w:val="header"/>
    <w:basedOn w:val="Normal"/>
    <w:link w:val="KoptekstChar"/>
    <w:uiPriority w:val="99"/>
    <w:unhideWhenUsed/>
    <w:rsid w:val="00B44D97"/>
    <w:pPr>
      <w:tabs>
        <w:tab w:val="center" w:pos="4536"/>
        <w:tab w:val="right" w:pos="9072"/>
      </w:tabs>
      <w:spacing w:line="240" w:lineRule="auto"/>
    </w:pPr>
  </w:style>
  <w:style w:type="character" w:customStyle="1" w:styleId="KoptekstChar">
    <w:name w:val="Koptekst Char"/>
    <w:basedOn w:val="DefaultParagraphFont"/>
    <w:link w:val="Header"/>
    <w:uiPriority w:val="99"/>
    <w:rsid w:val="00B44D97"/>
    <w:rPr>
      <w:rFonts w:ascii="Verdana" w:hAnsi="Verdana"/>
      <w:color w:val="000000"/>
      <w:sz w:val="18"/>
      <w:szCs w:val="18"/>
    </w:rPr>
  </w:style>
  <w:style w:type="paragraph" w:styleId="Footer">
    <w:name w:val="footer"/>
    <w:basedOn w:val="Normal"/>
    <w:link w:val="VoettekstChar"/>
    <w:uiPriority w:val="99"/>
    <w:unhideWhenUsed/>
    <w:rsid w:val="00B44D97"/>
    <w:pPr>
      <w:tabs>
        <w:tab w:val="center" w:pos="4536"/>
        <w:tab w:val="right" w:pos="9072"/>
      </w:tabs>
      <w:spacing w:line="240" w:lineRule="auto"/>
    </w:pPr>
  </w:style>
  <w:style w:type="character" w:customStyle="1" w:styleId="VoettekstChar">
    <w:name w:val="Voettekst Char"/>
    <w:basedOn w:val="DefaultParagraphFont"/>
    <w:link w:val="Footer"/>
    <w:uiPriority w:val="99"/>
    <w:rsid w:val="00B44D97"/>
    <w:rPr>
      <w:rFonts w:ascii="Verdana" w:hAnsi="Verdana"/>
      <w:color w:val="000000"/>
      <w:sz w:val="18"/>
      <w:szCs w:val="18"/>
    </w:rPr>
  </w:style>
  <w:style w:type="paragraph" w:styleId="ListParagraph">
    <w:name w:val="List Paragraph"/>
    <w:basedOn w:val="Normal"/>
    <w:uiPriority w:val="34"/>
    <w:qFormat/>
    <w:rsid w:val="00B44D97"/>
    <w:pPr>
      <w:ind w:left="720"/>
      <w:contextualSpacing/>
    </w:pPr>
  </w:style>
  <w:style w:type="paragraph" w:styleId="FootnoteText">
    <w:name w:val="footnote text"/>
    <w:basedOn w:val="Normal"/>
    <w:link w:val="VoetnoottekstChar"/>
    <w:uiPriority w:val="99"/>
    <w:semiHidden/>
    <w:unhideWhenUsed/>
    <w:rsid w:val="005D4D5E"/>
    <w:pPr>
      <w:spacing w:line="240" w:lineRule="auto"/>
    </w:pPr>
    <w:rPr>
      <w:sz w:val="20"/>
      <w:szCs w:val="20"/>
    </w:rPr>
  </w:style>
  <w:style w:type="character" w:customStyle="1" w:styleId="VoetnoottekstChar">
    <w:name w:val="Voetnoottekst Char"/>
    <w:basedOn w:val="DefaultParagraphFont"/>
    <w:link w:val="FootnoteText"/>
    <w:uiPriority w:val="99"/>
    <w:semiHidden/>
    <w:rsid w:val="005D4D5E"/>
    <w:rPr>
      <w:rFonts w:ascii="Verdana" w:hAnsi="Verdana"/>
      <w:color w:val="000000"/>
    </w:rPr>
  </w:style>
  <w:style w:type="character" w:styleId="FootnoteReference">
    <w:name w:val="footnote reference"/>
    <w:basedOn w:val="DefaultParagraphFont"/>
    <w:uiPriority w:val="99"/>
    <w:semiHidden/>
    <w:unhideWhenUsed/>
    <w:rsid w:val="005D4D5E"/>
    <w:rPr>
      <w:vertAlign w:val="superscript"/>
    </w:rPr>
  </w:style>
  <w:style w:type="character" w:styleId="CommentReference">
    <w:name w:val="annotation reference"/>
    <w:basedOn w:val="DefaultParagraphFont"/>
    <w:uiPriority w:val="99"/>
    <w:semiHidden/>
    <w:unhideWhenUsed/>
    <w:rsid w:val="00DB752E"/>
    <w:rPr>
      <w:sz w:val="16"/>
      <w:szCs w:val="16"/>
    </w:rPr>
  </w:style>
  <w:style w:type="paragraph" w:styleId="CommentText">
    <w:name w:val="annotation text"/>
    <w:basedOn w:val="Normal"/>
    <w:link w:val="TekstopmerkingChar"/>
    <w:uiPriority w:val="99"/>
    <w:unhideWhenUsed/>
    <w:rsid w:val="00DB752E"/>
    <w:pPr>
      <w:spacing w:line="240" w:lineRule="auto"/>
    </w:pPr>
    <w:rPr>
      <w:sz w:val="20"/>
      <w:szCs w:val="20"/>
    </w:rPr>
  </w:style>
  <w:style w:type="character" w:customStyle="1" w:styleId="TekstopmerkingChar">
    <w:name w:val="Tekst opmerking Char"/>
    <w:basedOn w:val="DefaultParagraphFont"/>
    <w:link w:val="CommentText"/>
    <w:uiPriority w:val="99"/>
    <w:rsid w:val="00DB752E"/>
    <w:rPr>
      <w:rFonts w:ascii="Verdana" w:hAnsi="Verdana"/>
      <w:color w:val="000000"/>
    </w:rPr>
  </w:style>
  <w:style w:type="paragraph" w:styleId="CommentSubject">
    <w:name w:val="annotation subject"/>
    <w:basedOn w:val="CommentText"/>
    <w:next w:val="CommentText"/>
    <w:link w:val="OnderwerpvanopmerkingChar"/>
    <w:uiPriority w:val="99"/>
    <w:semiHidden/>
    <w:unhideWhenUsed/>
    <w:rsid w:val="00DB752E"/>
    <w:rPr>
      <w:b/>
      <w:bCs/>
    </w:rPr>
  </w:style>
  <w:style w:type="character" w:customStyle="1" w:styleId="OnderwerpvanopmerkingChar">
    <w:name w:val="Onderwerp van opmerking Char"/>
    <w:basedOn w:val="TekstopmerkingChar"/>
    <w:link w:val="CommentSubject"/>
    <w:uiPriority w:val="99"/>
    <w:semiHidden/>
    <w:rsid w:val="00DB752E"/>
    <w:rPr>
      <w:rFonts w:ascii="Verdana" w:hAnsi="Verdana"/>
      <w:b/>
      <w:bCs/>
      <w:color w:val="000000"/>
    </w:rPr>
  </w:style>
  <w:style w:type="paragraph" w:styleId="NormalWeb">
    <w:name w:val="Normal (Web)"/>
    <w:basedOn w:val="Normal"/>
    <w:uiPriority w:val="99"/>
    <w:unhideWhenUsed/>
    <w:rsid w:val="002B7E85"/>
    <w:pPr>
      <w:autoSpaceDN/>
      <w:spacing w:before="100" w:beforeAutospacing="1" w:after="100" w:afterAutospacing="1" w:line="240" w:lineRule="auto"/>
      <w:textAlignment w:val="auto"/>
    </w:pPr>
    <w:rPr>
      <w:rFonts w:ascii="Times New Roman" w:eastAsia="Times New Roman" w:hAnsi="Times New Roman" w:cs="Times New Roman"/>
      <w:color w:val="auto"/>
      <w:sz w:val="24"/>
      <w:szCs w:val="24"/>
    </w:rPr>
  </w:style>
  <w:style w:type="character" w:styleId="Strong">
    <w:name w:val="Strong"/>
    <w:basedOn w:val="DefaultParagraphFont"/>
    <w:uiPriority w:val="22"/>
    <w:qFormat/>
    <w:rsid w:val="002B7E85"/>
    <w:rPr>
      <w:b/>
      <w:bCs/>
    </w:rPr>
  </w:style>
  <w:style w:type="paragraph" w:styleId="Revision">
    <w:name w:val="Revision"/>
    <w:hidden/>
    <w:uiPriority w:val="99"/>
    <w:semiHidden/>
    <w:rsid w:val="00D43AEA"/>
    <w:pPr>
      <w:autoSpaceDN/>
      <w:textAlignment w:val="auto"/>
    </w:pPr>
    <w:rPr>
      <w:rFonts w:ascii="Verdana" w:hAnsi="Verdana"/>
      <w:color w:val="000000"/>
      <w:sz w:val="18"/>
      <w:szCs w:val="18"/>
    </w:rPr>
  </w:style>
  <w:style w:type="paragraph" w:styleId="Caption">
    <w:name w:val="caption"/>
    <w:basedOn w:val="Normal"/>
    <w:next w:val="Normal"/>
    <w:uiPriority w:val="35"/>
    <w:semiHidden/>
    <w:unhideWhenUsed/>
    <w:qFormat/>
    <w:rsid w:val="009E70C6"/>
    <w:pPr>
      <w:spacing w:after="200" w:line="240" w:lineRule="auto"/>
    </w:pPr>
    <w:rPr>
      <w:i/>
      <w:iCs/>
      <w:color w:val="0E2841" w:themeColor="text2"/>
    </w:rPr>
  </w:style>
  <w:style w:type="character" w:styleId="FollowedHyperlink">
    <w:name w:val="FollowedHyperlink"/>
    <w:basedOn w:val="DefaultParagraphFont"/>
    <w:uiPriority w:val="99"/>
    <w:semiHidden/>
    <w:unhideWhenUsed/>
    <w:rsid w:val="008F7ADA"/>
    <w:rPr>
      <w:color w:val="96607D" w:themeColor="followedHyperlink"/>
      <w:u w:val="single"/>
    </w:rPr>
  </w:style>
  <w:style w:type="character" w:styleId="UnresolvedMention">
    <w:name w:val="Unresolved Mention"/>
    <w:basedOn w:val="DefaultParagraphFont"/>
    <w:uiPriority w:val="99"/>
    <w:semiHidden/>
    <w:unhideWhenUsed/>
    <w:rsid w:val="008733C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&#65279;<?xml version="1.0" encoding="utf-8"?><Relationships xmlns="http://schemas.openxmlformats.org/package/2006/relationships"><Relationship Type="http://schemas.openxmlformats.org/officeDocument/2006/relationships/footnotes" Target="footnotes.xml" Id="rId1" /><Relationship Type="http://schemas.openxmlformats.org/officeDocument/2006/relationships/image" Target="media/image1.png" Id="rId11" /><Relationship Type="http://schemas.openxmlformats.org/officeDocument/2006/relationships/image" Target="media/image2.png" Id="rId12" /><Relationship Type="http://schemas.openxmlformats.org/officeDocument/2006/relationships/image" Target="media/image3.png" Id="rId13" /><Relationship Type="http://schemas.openxmlformats.org/officeDocument/2006/relationships/header" Target="header1.xml" Id="rId14" /><Relationship Type="http://schemas.openxmlformats.org/officeDocument/2006/relationships/footer" Target="footer1.xml" Id="rId15" /><Relationship Type="http://schemas.openxmlformats.org/officeDocument/2006/relationships/header" Target="header2.xml" Id="rId16" /><Relationship Type="http://schemas.openxmlformats.org/officeDocument/2006/relationships/theme" Target="theme/theme1.xml" Id="rId17" /><Relationship Type="http://schemas.openxmlformats.org/officeDocument/2006/relationships/numbering" Target="numbering.xml" Id="rId18" /><Relationship Type="http://schemas.openxmlformats.org/officeDocument/2006/relationships/styles" Target="styles.xml" Id="rId19" /><Relationship Type="http://schemas.openxmlformats.org/officeDocument/2006/relationships/settings" Target="settings.xml" Id="rId2" /><Relationship Type="http://schemas.openxmlformats.org/officeDocument/2006/relationships/webSettings" Target="webSettings.xml" Id="rId3" /><Relationship Type="http://schemas.openxmlformats.org/officeDocument/2006/relationships/fontTable" Target="fontTable.xml" Id="rId4" /></Relationships>
</file>

<file path=word/_rels/footnotes.xml.rels><?xml version="1.0" encoding="utf-8" standalone="yes"?><Relationships xmlns="http://schemas.openxmlformats.org/package/2006/relationships"><Relationship Id="rId1" Type="http://schemas.openxmlformats.org/officeDocument/2006/relationships/hyperlink" Target="https://zoek.officielebekendmakingen.nl/kst-36496-73.html" TargetMode="External" /><Relationship Id="rId2" Type="http://schemas.openxmlformats.org/officeDocument/2006/relationships/hyperlink" Target="https://www.kences.nl/nieuws/steeds-minder-studentenkamers-in-de-grote-steden/" TargetMode="External" /><Relationship Id="rId3" Type="http://schemas.openxmlformats.org/officeDocument/2006/relationships/hyperlink" Target="https://www.cbs.nl/nl-nl/nieuws/2025/41/krimp-private-huursector-in-2024-door-minder-verhuur-door-particulieren" TargetMode="External" /><Relationship Id="rId4" Type="http://schemas.openxmlformats.org/officeDocument/2006/relationships/hyperlink" Target="https://opendata.cbs.nl/" TargetMode="External" /></Relationships>
</file>

<file path=word/_rels/header2.xml.rels><?xml version="1.0" encoding="utf-8" standalone="yes"?><Relationships xmlns="http://schemas.openxmlformats.org/package/2006/relationships"><Relationship Id="rId1" Type="http://schemas.openxmlformats.org/officeDocument/2006/relationships/image" Target="media/image4.png" /><Relationship Id="rId2" Type="http://schemas.openxmlformats.org/officeDocument/2006/relationships/image" Target="media/image5.png" /></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Pages>16</ap:Pages>
  <ap:Words>5856</ap:Words>
  <ap:Characters>32212</ap:Characters>
  <ap:DocSecurity>0</ap:DocSecurity>
  <ap:Lines>268</ap:Lines>
  <ap:Paragraphs>75</ap:Paragraphs>
  <ap:ScaleCrop>false</ap:ScaleCrop>
  <ap:HeadingPairs>
    <vt:vector baseType="variant" size="2">
      <vt:variant>
        <vt:lpstr>Titel</vt:lpstr>
      </vt:variant>
      <vt:variant>
        <vt:i4>1</vt:i4>
      </vt:variant>
    </vt:vector>
  </ap:HeadingPairs>
  <ap:TitlesOfParts>
    <vt:vector baseType="lpstr" size="1">
      <vt:lpstr>Brief - Ontwikkelingen huursector</vt:lpstr>
    </vt:vector>
  </ap:TitlesOfParts>
  <ap:LinksUpToDate>false</ap:LinksUpToDate>
  <ap:CharactersWithSpaces>37993</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revision/>
  <dcterms:created xsi:type="dcterms:W3CDTF">2025-11-20T12:13:00.0000000Z</dcterms:created>
  <dcterms:modified xsi:type="dcterms:W3CDTF">2025-11-20T12:13:00.0000000Z</dcterms:modified>
  <dc:creator/>
  <lastModifiedBy/>
  <dc:description>------------------------</dc:description>
  <dc:subject/>
  <keywords/>
  <version/>
  <category/>
</coreProperties>
</file>