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2025Z20178</w:t>
        <w:br/>
      </w:r>
      <w:proofErr w:type="spellEnd"/>
    </w:p>
    <w:p>
      <w:pPr>
        <w:pStyle w:val="Normal"/>
        <w:rPr>
          <w:b w:val="1"/>
          <w:bCs w:val="1"/>
        </w:rPr>
      </w:pPr>
      <w:r w:rsidR="250AE766">
        <w:rPr>
          <w:b w:val="0"/>
          <w:bCs w:val="0"/>
        </w:rPr>
        <w:t>(ingezonden 20 november 2025)</w:t>
        <w:br/>
      </w:r>
    </w:p>
    <w:p>
      <w:r>
        <w:t xml:space="preserve">Vragen van het lid Ceder (ChristenUnie) aan de minister van Binnenlandse Zaken en Koninkrijksrelaties over de lancering van de Discriminatietoets door de Staatscommissie tegen Discriminatie en Racisme</w:t>
      </w:r>
      <w:r>
        <w:br/>
      </w:r>
    </w:p>
    <w:p>
      <w:r>
        <w:t xml:space="preserve"> </w:t>
      </w:r>
      <w:r>
        <w:br/>
      </w:r>
    </w:p>
    <w:p>
      <w:pPr>
        <w:pStyle w:val="ListParagraph"/>
        <w:numPr>
          <w:ilvl w:val="0"/>
          <w:numId w:val="100490640"/>
        </w:numPr>
        <w:ind w:left="360"/>
      </w:pPr>
      <w:r>
        <w:t xml:space="preserve">Bent u bekend met de lancering van de Discriminatietoets Publieke Dienstverlening en bent u het met de Staatscommissie eens dat de Discriminatietoets “een concreet instrument” is waarmee overheidsorganisaties structureel discriminatierisico's kunnen signaleren en aanpakken?</w:t>
      </w:r>
      <w:r>
        <w:br/>
      </w:r>
    </w:p>
    <w:p>
      <w:pPr>
        <w:pStyle w:val="ListParagraph"/>
        <w:numPr>
          <w:ilvl w:val="0"/>
          <w:numId w:val="100490640"/>
        </w:numPr>
        <w:ind w:left="360"/>
      </w:pPr>
      <w:r>
        <w:t xml:space="preserve">Welke rol ziet u voor de Rijksoverheid (ministeries, uitvoeringsorganisaties) in het gebruik van deze toets? Op welke wijze wordt het gebruik van de toets gestimuleerd?</w:t>
      </w:r>
      <w:r>
        <w:br/>
      </w:r>
    </w:p>
    <w:p>
      <w:pPr>
        <w:pStyle w:val="ListParagraph"/>
        <w:numPr>
          <w:ilvl w:val="0"/>
          <w:numId w:val="100490640"/>
        </w:numPr>
        <w:ind w:left="360"/>
      </w:pPr>
      <w:r>
        <w:t xml:space="preserve">Hoe ondersteunt de Rijksoverheid het gebruik van de Discriminatietoets? Stelt het ministerie middelen beschikbaar om publieke organisaties te ondersteunen bij het toepassen van deze toets?</w:t>
      </w:r>
      <w:r>
        <w:br/>
      </w:r>
    </w:p>
    <w:p>
      <w:pPr>
        <w:pStyle w:val="ListParagraph"/>
        <w:numPr>
          <w:ilvl w:val="0"/>
          <w:numId w:val="100490640"/>
        </w:numPr>
        <w:ind w:left="360"/>
      </w:pPr>
      <w:r>
        <w:t xml:space="preserve">Bent u voornemens om de Discriminatietoets (op termijn) wettelijk te verankeren, zodat gebruik niet vrijblijvend blijft? Zo nee, waarom niet?</w:t>
      </w:r>
      <w:r>
        <w:br/>
      </w:r>
    </w:p>
    <w:p>
      <w:pPr>
        <w:pStyle w:val="ListParagraph"/>
        <w:numPr>
          <w:ilvl w:val="0"/>
          <w:numId w:val="100490640"/>
        </w:numPr>
        <w:ind w:left="360"/>
      </w:pPr>
      <w:r>
        <w:t xml:space="preserve">Hoe gaat het ministerie monitoren of de Discriminatietoets daadwerkelijk leidt tot minder discriminatie in de praktijk?</w:t>
      </w:r>
      <w:r>
        <w:br/>
      </w:r>
    </w:p>
    <w:p>
      <w:pPr>
        <w:pStyle w:val="ListParagraph"/>
        <w:numPr>
          <w:ilvl w:val="0"/>
          <w:numId w:val="100490640"/>
        </w:numPr>
        <w:ind w:left="360"/>
      </w:pPr>
      <w:r>
        <w:t xml:space="preserve">Wordt de motie van het lid Ceder c.s. uitgevoerd op zodanige wijze dat inmiddels in alle uitvoeringstoetsen het risico op discriminatie beoordeeld wordt? Zo nee, waarom niet? Op welke termijn zal dit naar verwachting wel ingebed zijn in de standaard onderdelen van een uitvoeringstoets? 1)</w:t>
      </w:r>
      <w:r>
        <w:br/>
      </w:r>
    </w:p>
    <w:p>
      <w:pPr>
        <w:pStyle w:val="ListParagraph"/>
        <w:numPr>
          <w:ilvl w:val="0"/>
          <w:numId w:val="100490640"/>
        </w:numPr>
        <w:ind w:left="360"/>
      </w:pPr>
      <w:r>
        <w:t xml:space="preserve">Op welke wijze wordt de motie van de leden Ceder en Azarkan uitgevoerd die verzocht om in het Integraal Afwegingskader een discriminatietoets op te nemen? Is een dergelijke discriminatietoets inmiddels standaard opgenomen in het Integraal Afwegingskader? Zo nee, op welke termijn wordt dit geïmplementeerd? 2)</w:t>
      </w:r>
      <w:r>
        <w:br/>
      </w:r>
    </w:p>
    <w:p>
      <w:pPr>
        <w:pStyle w:val="ListParagraph"/>
        <w:numPr>
          <w:ilvl w:val="0"/>
          <w:numId w:val="100490640"/>
        </w:numPr>
        <w:ind w:left="360"/>
      </w:pPr>
      <w:r>
        <w:t xml:space="preserve">Kunt u deze vragen afzonderlijk beantwoorden ruim voor de behandeling van de begroting Binnenlandse Zaken en Koninkrijksrelaties?</w:t>
      </w:r>
      <w:r>
        <w:br/>
      </w:r>
    </w:p>
    <w:p>
      <w:r>
        <w:t xml:space="preserve">
          <w:br/>
          1) Kamerstuk 30950, nr. 437. 
          <w:br/>
          2) Kamerstuk 30950, nr. 233.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