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2025Z20183</w:t>
        <w:br/>
      </w:r>
      <w:proofErr w:type="spellEnd"/>
    </w:p>
    <w:p>
      <w:pPr>
        <w:pStyle w:val="Normal"/>
        <w:rPr>
          <w:b w:val="1"/>
          <w:bCs w:val="1"/>
        </w:rPr>
      </w:pPr>
      <w:r w:rsidR="250AE766">
        <w:rPr>
          <w:b w:val="0"/>
          <w:bCs w:val="0"/>
        </w:rPr>
        <w:t>(ingezonden 20 november 2025)</w:t>
        <w:br/>
      </w:r>
    </w:p>
    <w:p>
      <w:r>
        <w:t xml:space="preserve">Vragen van het lid Ceder (ChristenUnie) aan de staatssecretarissen van Justitie en Veiligheid en van Volksgezondheid, Welzijn en Sport over het artikel 'Pleegkinderen geslagen, aan oren getrokken en door hond gebeten'</w:t>
      </w:r>
      <w:r>
        <w:br/>
      </w:r>
    </w:p>
    <w:p>
      <w:pPr>
        <w:pStyle w:val="ListParagraph"/>
        <w:numPr>
          <w:ilvl w:val="0"/>
          <w:numId w:val="100490690"/>
        </w:numPr>
        <w:ind w:left="360"/>
      </w:pPr>
      <w:r>
        <w:t xml:space="preserve">Bent u bekend met het artikel 'Pleegkinderen geslagen, aan oren getrokken en door hond gebeten'? 1)</w:t>
      </w:r>
      <w:r>
        <w:br/>
      </w:r>
    </w:p>
    <w:p>
      <w:pPr>
        <w:pStyle w:val="ListParagraph"/>
        <w:numPr>
          <w:ilvl w:val="0"/>
          <w:numId w:val="100490690"/>
        </w:numPr>
        <w:ind w:left="360"/>
      </w:pPr>
      <w:r>
        <w:t xml:space="preserve">Bent u bekend met de bij deze zaak behorende beschikkingen van de rechtbank Noord Nederland? 2) 3)</w:t>
      </w:r>
      <w:r>
        <w:br/>
      </w:r>
    </w:p>
    <w:p>
      <w:pPr>
        <w:pStyle w:val="ListParagraph"/>
        <w:numPr>
          <w:ilvl w:val="0"/>
          <w:numId w:val="100490690"/>
        </w:numPr>
        <w:ind w:left="360"/>
      </w:pPr>
      <w:r>
        <w:t xml:space="preserve">Hoe kan het volgens u dat kinderen drie jaar lang ernstig fysiek zijn mishandeld, waaronder geslagen, aan de oren getrokken worden en door een hond gebeten worden, terwijl zij in dit gezinshuis geplaatst zijn door de Gecertificeerde Instelling (GI), deze GI de voogdij had en deze als gevolg hiervan ook toezicht diende te houden op het wel en wee en de veiligheid van de kinderen?  </w:t>
      </w:r>
      <w:r>
        <w:br/>
      </w:r>
    </w:p>
    <w:p>
      <w:pPr>
        <w:pStyle w:val="ListParagraph"/>
        <w:numPr>
          <w:ilvl w:val="0"/>
          <w:numId w:val="100490690"/>
        </w:numPr>
        <w:ind w:left="360"/>
      </w:pPr>
      <w:r>
        <w:t xml:space="preserve">Bent u bekend met het persbericht van de GI waarin gesteld wordt dat de jeugdbeschermers al langere tijd zorgen hadden over het pedagogisch klimaat in het gezinshuis? 4)</w:t>
      </w:r>
      <w:r>
        <w:br/>
      </w:r>
    </w:p>
    <w:p>
      <w:pPr>
        <w:pStyle w:val="ListParagraph"/>
        <w:numPr>
          <w:ilvl w:val="0"/>
          <w:numId w:val="100490690"/>
        </w:numPr>
        <w:ind w:left="360"/>
      </w:pPr>
      <w:r>
        <w:t xml:space="preserve">Wat zegt het u dat ondanks dat jeugdbeschermers al langere tijd zorgen hadden over het pedagogische klimaat in het gezinshuis, de kinderen er pas werden weggehaald na een specifieke melding? Hoe reflecteert u in dat licht op het functioneren en de daadkracht van de GI en de interne controlemechanismen, zeker gezien de duur, de herhaling en de ernst van de mishandelingen?</w:t>
      </w:r>
      <w:r>
        <w:br/>
      </w:r>
    </w:p>
    <w:p>
      <w:pPr>
        <w:pStyle w:val="ListParagraph"/>
        <w:numPr>
          <w:ilvl w:val="0"/>
          <w:numId w:val="100490690"/>
        </w:numPr>
        <w:ind w:left="360"/>
      </w:pPr>
      <w:r>
        <w:t xml:space="preserve">Erkent u dat drie jaar mishandeling niet past bij het uitgangspunt dat een GI kinderen nauwlettend moet volgen en beschermen? Zo nee, hoe verklaart u dan dat dit toch is gebeurd?</w:t>
      </w:r>
      <w:r>
        <w:br/>
      </w:r>
    </w:p>
    <w:p>
      <w:pPr>
        <w:pStyle w:val="ListParagraph"/>
        <w:numPr>
          <w:ilvl w:val="0"/>
          <w:numId w:val="100490690"/>
        </w:numPr>
        <w:ind w:left="360"/>
      </w:pPr>
      <w:r>
        <w:t xml:space="preserve">Hoe kan het dat nu blijkt dat er kinderen in een gezinshuis al jaren werden behandeld, terwijl de betrokken GI, die ook in de Vlaardingen-zaak betrokken was, heeft verklaard dat alle dossiers waren nagekeken en getoetst?</w:t>
      </w:r>
      <w:r>
        <w:br/>
      </w:r>
    </w:p>
    <w:p>
      <w:pPr>
        <w:pStyle w:val="ListParagraph"/>
        <w:numPr>
          <w:ilvl w:val="0"/>
          <w:numId w:val="100490690"/>
        </w:numPr>
        <w:ind w:left="360"/>
      </w:pPr>
      <w:r>
        <w:t xml:space="preserve">Deelt u de analyse dat er in deze casus zowel sprake is van het verwijtbaar gedrag van de gezinshuisouders, als falen van de GI die signalen had moeten opmerken, controleren en melden?</w:t>
      </w:r>
      <w:r>
        <w:br/>
      </w:r>
    </w:p>
    <w:p>
      <w:pPr>
        <w:pStyle w:val="ListParagraph"/>
        <w:numPr>
          <w:ilvl w:val="0"/>
          <w:numId w:val="100490690"/>
        </w:numPr>
        <w:ind w:left="360"/>
      </w:pPr>
      <w:r>
        <w:t xml:space="preserve">Hoe is het toezicht op gezinshuizen georganiseerd? Welke formele rechtspositie hebben de gezinshuisouders in het stelsel?</w:t>
      </w:r>
      <w:r>
        <w:br/>
      </w:r>
    </w:p>
    <w:p>
      <w:pPr>
        <w:pStyle w:val="ListParagraph"/>
        <w:numPr>
          <w:ilvl w:val="0"/>
          <w:numId w:val="100490690"/>
        </w:numPr>
        <w:ind w:left="360"/>
      </w:pPr>
      <w:r>
        <w:t xml:space="preserve">Zijn bij inspecties, meldpunten of vertrouwenspersonen meer meldingen bekend over structurele onveiligheid, geweld, misstanden of gebrek aan kwaliteit in gezinshuizen? Hoeveel sinds 2020?</w:t>
      </w:r>
      <w:r>
        <w:br/>
      </w:r>
    </w:p>
    <w:p>
      <w:pPr>
        <w:pStyle w:val="ListParagraph"/>
        <w:numPr>
          <w:ilvl w:val="0"/>
          <w:numId w:val="100490690"/>
        </w:numPr>
        <w:ind w:left="360"/>
      </w:pPr>
      <w:r>
        <w:t xml:space="preserve">Hoe staat het met de uitvoering van de motie Ceder c.s. over onderzoeken in hoeverre de bestaande bestuurdersaansprakelijkheid beter onder de aandacht gebracht kan worden bij slachtoffers (Kamerstuk 31015, nr. 289)?</w:t>
      </w:r>
      <w:r>
        <w:br/>
      </w:r>
    </w:p>
    <w:p>
      <w:pPr>
        <w:pStyle w:val="ListParagraph"/>
        <w:numPr>
          <w:ilvl w:val="0"/>
          <w:numId w:val="100490690"/>
        </w:numPr>
        <w:ind w:left="360"/>
      </w:pPr>
      <w:r>
        <w:t xml:space="preserve">Klopt het dat kinderen waarvan het gezag bij ouders is weggenomen, als gevolg van een besluit op basis van artikel 1:266 lid 1 BW, door de uitwerking van de maatregel en de uitvoering door de GI, vaak volledig aan het zicht onttrokken worden van de rechtbank? Klopt het en vindt u het wenselijk dat ouders vrijwel niet worden geïnformeerd of betrokken bij het toezicht op hun kind?</w:t>
      </w:r>
      <w:r>
        <w:br/>
      </w:r>
    </w:p>
    <w:p>
      <w:pPr>
        <w:pStyle w:val="ListParagraph"/>
        <w:numPr>
          <w:ilvl w:val="0"/>
          <w:numId w:val="100490690"/>
        </w:numPr>
        <w:ind w:left="360"/>
      </w:pPr>
      <w:r>
        <w:t xml:space="preserve">Erkent u dat ouders na een gezagsbeëindiging nauwelijks meer zicht hebben op hun kinderen en dat dit ertoe kan leiden dat zij als enige in staat zijn misstanden te signaleren maar juridisch niet gehoord worden? Hoe beoordeelt u dat in zowel de Vlaardingen-zaak als deze zaak de ouders de enige waren die de misstanden zagen, maar door hun rechtspositie genegeerd werden?</w:t>
      </w:r>
      <w:r>
        <w:br/>
      </w:r>
    </w:p>
    <w:p>
      <w:pPr>
        <w:pStyle w:val="ListParagraph"/>
        <w:numPr>
          <w:ilvl w:val="0"/>
          <w:numId w:val="100490690"/>
        </w:numPr>
        <w:ind w:left="360"/>
      </w:pPr>
      <w:r>
        <w:t xml:space="preserve">Klopt het dat door het inzetten van de gezagsbeëindigende maatregel deze kinderen ook buiten beeld komen van de rechter, waardoor een toetsing of het goed gaat met het kind in de nieuwe setting niet meer plaatsvindt? Vindt u dat wenselijk?</w:t>
      </w:r>
      <w:r>
        <w:br/>
      </w:r>
    </w:p>
    <w:p>
      <w:pPr>
        <w:pStyle w:val="ListParagraph"/>
        <w:numPr>
          <w:ilvl w:val="0"/>
          <w:numId w:val="100490690"/>
        </w:numPr>
        <w:ind w:left="360"/>
      </w:pPr>
      <w:r>
        <w:t xml:space="preserve">Wat vindt u van het feit het dat ouders, bij wie problemen zijn met het opvoeden van hun kinderen, het gezag ontnomen kan worden? Wat vindt u van het creëren van een tussenliggende maatregel waarbij de beslissingsbevoegdheid, al dan niet tijdelijk, ontnomen wordt?</w:t>
      </w:r>
      <w:r>
        <w:br/>
      </w:r>
    </w:p>
    <w:p>
      <w:pPr>
        <w:pStyle w:val="ListParagraph"/>
        <w:numPr>
          <w:ilvl w:val="0"/>
          <w:numId w:val="100490690"/>
        </w:numPr>
        <w:ind w:left="360"/>
      </w:pPr>
      <w:r>
        <w:t xml:space="preserve">Bent u bereid te onderzoeken of de rechtspositie van ouders na gezagsbeëindiging moet worden herzien, zodat hun signalen over mishandeling van hun eigen kinderen in situaties van pleegzorg, gezinshuizen of instellingen niet langer structureel kunnen worden genegeerd, mede gezien het risico dat kinderen van de radar verdwijnen binnen deze vormen van jeugdzorg?</w:t>
      </w:r>
      <w:r>
        <w:br/>
      </w:r>
    </w:p>
    <w:p>
      <w:pPr>
        <w:pStyle w:val="ListParagraph"/>
        <w:numPr>
          <w:ilvl w:val="0"/>
          <w:numId w:val="100490690"/>
        </w:numPr>
        <w:ind w:left="360"/>
      </w:pPr>
      <w:r>
        <w:t xml:space="preserve">Wilt u deze vragen beantwoorden voor het debat over de rapporten ‘Kwetsbare kinderen, kwetsbaar stelsel’ van de Inspectie Gezonheidszorg en Jeugd en ‘Als zelfs overheidsingrijpen kinderen geen bescherming biedt’ van de Inspectie Justitie en Veiligheid?</w:t>
      </w:r>
      <w:r>
        <w:br/>
      </w:r>
    </w:p>
    <w:p>
      <w:r>
        <w:t xml:space="preserve"> </w:t>
      </w:r>
      <w:r>
        <w:br/>
      </w:r>
    </w:p>
    <w:p>
      <w:r>
        <w:t xml:space="preserve">1) AD, 18 november 2025, 'Kinderen in gezinshuis geslagen, aan oren getrokken en door hond gebeten', https://www.ad.nl/binnenland/pleegkinderen-geslagen-aan-oren-getrokken-en-door-hond-gebeten~a6009c8b/</w:t>
      </w:r>
      <w:r>
        <w:br/>
      </w:r>
    </w:p>
    <w:p>
      <w:r>
        <w:t xml:space="preserve">2) ECLI:NL:RBNNE:2025:4600, https://uitspraken.rechtspraak.nl/details?id=ECLI:NL:RBNNE:2025:4600</w:t>
      </w:r>
      <w:r>
        <w:br/>
      </w:r>
    </w:p>
    <w:p>
      <w:r>
        <w:t xml:space="preserve">3) ECLI:NL:RBNNE:2025:4716, https://uitspraken.rechtspraak.nl/details?id=ECLI:NL:RBNNE:2025:4716</w:t>
      </w:r>
      <w:r>
        <w:br/>
      </w:r>
    </w:p>
    <w:p>
      <w:r>
        <w:t xml:space="preserve">4) William Schrikker Jeugdbescherming en Jeugdreclassering, 18 november 2025, 'Reactie berichtgeving uitplaatsing gezinshuiskinderen Noord-Nederland', https://williamschrikker.nl/nieuws/statement-uithuisplaatsing-noord-nederland/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