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94E51" w:rsidR="00CB3578" w:rsidTr="00F13442" w14:paraId="7C10EA47" w14:textId="77777777">
        <w:trPr>
          <w:cantSplit/>
        </w:trPr>
        <w:tc>
          <w:tcPr>
            <w:tcW w:w="9142" w:type="dxa"/>
            <w:gridSpan w:val="2"/>
            <w:tcBorders>
              <w:top w:val="nil"/>
              <w:left w:val="nil"/>
              <w:bottom w:val="nil"/>
              <w:right w:val="nil"/>
            </w:tcBorders>
          </w:tcPr>
          <w:p w:rsidRPr="00394E51" w:rsidR="00CB3578" w:rsidRDefault="00CB3578" w14:paraId="4717EDF7" w14:textId="77777777">
            <w:pPr>
              <w:pStyle w:val="Amendement"/>
              <w:jc w:val="right"/>
              <w:rPr>
                <w:rFonts w:ascii="Times New Roman" w:hAnsi="Times New Roman" w:cs="Times New Roman"/>
              </w:rPr>
            </w:pPr>
          </w:p>
        </w:tc>
      </w:tr>
      <w:tr w:rsidRPr="00394E51" w:rsidR="00CB3578" w:rsidTr="00A11E73" w14:paraId="789C7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4E51" w:rsidR="00CB3578" w:rsidRDefault="00CB3578" w14:paraId="2FF8A5EC" w14:textId="77777777">
            <w:pPr>
              <w:pStyle w:val="Amendement"/>
              <w:rPr>
                <w:rFonts w:ascii="Times New Roman" w:hAnsi="Times New Roman" w:cs="Times New Roman"/>
              </w:rPr>
            </w:pPr>
          </w:p>
        </w:tc>
        <w:tc>
          <w:tcPr>
            <w:tcW w:w="6590" w:type="dxa"/>
            <w:tcBorders>
              <w:top w:val="nil"/>
              <w:left w:val="nil"/>
              <w:bottom w:val="nil"/>
              <w:right w:val="nil"/>
            </w:tcBorders>
          </w:tcPr>
          <w:p w:rsidRPr="00394E51" w:rsidR="00CB3578" w:rsidRDefault="00CB3578" w14:paraId="71021996" w14:textId="77777777">
            <w:pPr>
              <w:tabs>
                <w:tab w:val="left" w:pos="-1440"/>
                <w:tab w:val="left" w:pos="-720"/>
              </w:tabs>
              <w:suppressAutoHyphens/>
              <w:rPr>
                <w:rFonts w:ascii="Times New Roman" w:hAnsi="Times New Roman"/>
                <w:b/>
                <w:bCs/>
                <w:sz w:val="24"/>
              </w:rPr>
            </w:pPr>
          </w:p>
        </w:tc>
      </w:tr>
      <w:tr w:rsidRPr="00394E51" w:rsidR="002A727C" w:rsidTr="00A11E73" w14:paraId="14320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4E51" w:rsidR="002A727C" w:rsidP="00F13442" w:rsidRDefault="00394E51" w14:paraId="26253550" w14:textId="20404FBE">
            <w:pPr>
              <w:rPr>
                <w:rFonts w:ascii="Times New Roman" w:hAnsi="Times New Roman"/>
                <w:b/>
                <w:sz w:val="24"/>
              </w:rPr>
            </w:pPr>
            <w:r w:rsidRPr="00394E51">
              <w:rPr>
                <w:rFonts w:ascii="Times New Roman" w:hAnsi="Times New Roman"/>
                <w:b/>
                <w:sz w:val="24"/>
              </w:rPr>
              <w:t>36 859</w:t>
            </w:r>
          </w:p>
        </w:tc>
        <w:tc>
          <w:tcPr>
            <w:tcW w:w="6590" w:type="dxa"/>
            <w:tcBorders>
              <w:top w:val="nil"/>
              <w:left w:val="nil"/>
              <w:bottom w:val="nil"/>
              <w:right w:val="nil"/>
            </w:tcBorders>
          </w:tcPr>
          <w:p w:rsidRPr="00394E51" w:rsidR="00394E51" w:rsidRDefault="00394E51" w14:paraId="601FF4B4" w14:textId="77777777">
            <w:pPr>
              <w:rPr>
                <w:rFonts w:ascii="Times New Roman" w:hAnsi="Times New Roman"/>
                <w:b/>
                <w:bCs/>
                <w:sz w:val="24"/>
              </w:rPr>
            </w:pPr>
            <w:r w:rsidRPr="00394E51">
              <w:rPr>
                <w:rFonts w:ascii="Times New Roman" w:hAnsi="Times New Roman"/>
                <w:b/>
                <w:bCs/>
                <w:sz w:val="24"/>
              </w:rPr>
              <w:t>Wijziging van de Vreemdelingenwet 2000 ter bestendiging van de bevoegdheid om biometrische gegevens van vreemdelingen af te nemen en te verwerken</w:t>
            </w:r>
          </w:p>
          <w:p w:rsidRPr="00394E51" w:rsidR="002A727C" w:rsidP="000D5BC4" w:rsidRDefault="002A727C" w14:paraId="7C7AF5BB" w14:textId="5E3FE3B2">
            <w:pPr>
              <w:rPr>
                <w:rFonts w:ascii="Times New Roman" w:hAnsi="Times New Roman"/>
                <w:b/>
                <w:sz w:val="24"/>
              </w:rPr>
            </w:pPr>
          </w:p>
        </w:tc>
      </w:tr>
      <w:tr w:rsidRPr="00394E51" w:rsidR="00CB3578" w:rsidTr="00A11E73" w14:paraId="6DDDF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4E51" w:rsidR="00CB3578" w:rsidRDefault="00CB3578" w14:paraId="5E0C3E40" w14:textId="77777777">
            <w:pPr>
              <w:pStyle w:val="Amendement"/>
              <w:rPr>
                <w:rFonts w:ascii="Times New Roman" w:hAnsi="Times New Roman" w:cs="Times New Roman"/>
              </w:rPr>
            </w:pPr>
          </w:p>
        </w:tc>
        <w:tc>
          <w:tcPr>
            <w:tcW w:w="6590" w:type="dxa"/>
            <w:tcBorders>
              <w:top w:val="nil"/>
              <w:left w:val="nil"/>
              <w:bottom w:val="nil"/>
              <w:right w:val="nil"/>
            </w:tcBorders>
          </w:tcPr>
          <w:p w:rsidRPr="00394E51" w:rsidR="00CB3578" w:rsidRDefault="00CB3578" w14:paraId="16BD0E65" w14:textId="77777777">
            <w:pPr>
              <w:pStyle w:val="Amendement"/>
              <w:rPr>
                <w:rFonts w:ascii="Times New Roman" w:hAnsi="Times New Roman" w:cs="Times New Roman"/>
              </w:rPr>
            </w:pPr>
          </w:p>
        </w:tc>
      </w:tr>
      <w:tr w:rsidRPr="00394E51" w:rsidR="00CB3578" w:rsidTr="00A11E73" w14:paraId="5BC9E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4E51" w:rsidR="00CB3578" w:rsidRDefault="00CB3578" w14:paraId="77522CED" w14:textId="77777777">
            <w:pPr>
              <w:pStyle w:val="Amendement"/>
              <w:rPr>
                <w:rFonts w:ascii="Times New Roman" w:hAnsi="Times New Roman" w:cs="Times New Roman"/>
              </w:rPr>
            </w:pPr>
          </w:p>
        </w:tc>
        <w:tc>
          <w:tcPr>
            <w:tcW w:w="6590" w:type="dxa"/>
            <w:tcBorders>
              <w:top w:val="nil"/>
              <w:left w:val="nil"/>
              <w:bottom w:val="nil"/>
              <w:right w:val="nil"/>
            </w:tcBorders>
          </w:tcPr>
          <w:p w:rsidRPr="00394E51" w:rsidR="00CB3578" w:rsidRDefault="00CB3578" w14:paraId="2692761D" w14:textId="77777777">
            <w:pPr>
              <w:pStyle w:val="Amendement"/>
              <w:rPr>
                <w:rFonts w:ascii="Times New Roman" w:hAnsi="Times New Roman" w:cs="Times New Roman"/>
              </w:rPr>
            </w:pPr>
          </w:p>
        </w:tc>
      </w:tr>
      <w:tr w:rsidRPr="00394E51" w:rsidR="00CB3578" w:rsidTr="00A11E73" w14:paraId="7587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4E51" w:rsidR="00CB3578" w:rsidRDefault="00CB3578" w14:paraId="6CA1C112" w14:textId="77777777">
            <w:pPr>
              <w:pStyle w:val="Amendement"/>
              <w:rPr>
                <w:rFonts w:ascii="Times New Roman" w:hAnsi="Times New Roman" w:cs="Times New Roman"/>
              </w:rPr>
            </w:pPr>
            <w:r w:rsidRPr="00394E51">
              <w:rPr>
                <w:rFonts w:ascii="Times New Roman" w:hAnsi="Times New Roman" w:cs="Times New Roman"/>
              </w:rPr>
              <w:t>Nr. 2</w:t>
            </w:r>
          </w:p>
        </w:tc>
        <w:tc>
          <w:tcPr>
            <w:tcW w:w="6590" w:type="dxa"/>
            <w:tcBorders>
              <w:top w:val="nil"/>
              <w:left w:val="nil"/>
              <w:bottom w:val="nil"/>
              <w:right w:val="nil"/>
            </w:tcBorders>
          </w:tcPr>
          <w:p w:rsidRPr="00394E51" w:rsidR="00CB3578" w:rsidRDefault="00CB3578" w14:paraId="1478B36C" w14:textId="77777777">
            <w:pPr>
              <w:pStyle w:val="Amendement"/>
              <w:rPr>
                <w:rFonts w:ascii="Times New Roman" w:hAnsi="Times New Roman" w:cs="Times New Roman"/>
              </w:rPr>
            </w:pPr>
            <w:r w:rsidRPr="00394E51">
              <w:rPr>
                <w:rFonts w:ascii="Times New Roman" w:hAnsi="Times New Roman" w:cs="Times New Roman"/>
              </w:rPr>
              <w:t>VOORSTEL VAN WET</w:t>
            </w:r>
          </w:p>
        </w:tc>
      </w:tr>
      <w:tr w:rsidRPr="00394E51" w:rsidR="00CB3578" w:rsidTr="00A11E73" w14:paraId="5319A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4E51" w:rsidR="00CB3578" w:rsidP="00D55648" w:rsidRDefault="00CB3578" w14:paraId="7ADB7440" w14:textId="77777777">
            <w:pPr>
              <w:pStyle w:val="Amendement"/>
              <w:rPr>
                <w:rFonts w:ascii="Times New Roman" w:hAnsi="Times New Roman" w:cs="Times New Roman"/>
              </w:rPr>
            </w:pPr>
          </w:p>
        </w:tc>
        <w:tc>
          <w:tcPr>
            <w:tcW w:w="6590" w:type="dxa"/>
            <w:tcBorders>
              <w:top w:val="nil"/>
              <w:left w:val="nil"/>
              <w:bottom w:val="nil"/>
              <w:right w:val="nil"/>
            </w:tcBorders>
          </w:tcPr>
          <w:p w:rsidRPr="00394E51" w:rsidR="00CB3578" w:rsidRDefault="00CB3578" w14:paraId="5007B78E" w14:textId="77777777">
            <w:pPr>
              <w:pStyle w:val="Amendement"/>
              <w:rPr>
                <w:rFonts w:ascii="Times New Roman" w:hAnsi="Times New Roman" w:cs="Times New Roman"/>
              </w:rPr>
            </w:pPr>
          </w:p>
        </w:tc>
      </w:tr>
    </w:tbl>
    <w:p w:rsidRPr="00394E51" w:rsidR="00394E51" w:rsidP="00394E51" w:rsidRDefault="00394E51" w14:paraId="4999C3FC"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Wij Willem-Alexander, bij de gratie Gods, Koning der Nederlanden, Prins van Oranje-Nassau, enz. enz. enz.</w:t>
      </w:r>
    </w:p>
    <w:p w:rsidRPr="00394E51" w:rsidR="00394E51" w:rsidP="00394E51" w:rsidRDefault="00394E51" w14:paraId="2B008818"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4E71C9A0"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Allen, die deze zullen of horen lezen, saluut! doen te weten:</w:t>
      </w:r>
    </w:p>
    <w:p w:rsidRPr="00394E51" w:rsidR="00394E51" w:rsidP="00394E51" w:rsidRDefault="00394E51" w14:paraId="7D1C3EDC"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Alzo Wij in overweging genomen hebben, dat het wenselijk is de bevoegdheid om biometrische gegevens van vreemdelingen af te nemen en verwerken, geregeld in artikel 106a van de Vreemdelingenwet 2000, te bestendigen en de in de vreemdelingenadministratie opgenomen biometrische kenmerken te behouden, en de voorwaarden van de verstrekking van gezichtsopnames van vreemdelingen voor de opsporing en vervolging van strafbare feiten vast te leggen;</w:t>
      </w:r>
    </w:p>
    <w:p w:rsidRPr="00394E51" w:rsidR="00394E51" w:rsidP="00394E51" w:rsidRDefault="00394E51" w14:paraId="219C0500"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Zo is het, dat Wij, de Afdeling advisering van de Raad van State gehoord, en met gemeen overleg der Staten-Generaal, hebben goedgevonden en verstaan, gelijk wij goedvinden en verstaan bij deze:</w:t>
      </w:r>
    </w:p>
    <w:p w:rsidRPr="00394E51" w:rsidR="00394E51" w:rsidP="00394E51" w:rsidRDefault="00394E51" w14:paraId="7978884B" w14:textId="77777777">
      <w:pPr>
        <w:spacing w:line="259" w:lineRule="auto"/>
        <w:rPr>
          <w:rFonts w:ascii="Times New Roman" w:hAnsi="Times New Roman" w:eastAsia="Aptos"/>
          <w:b/>
          <w:bCs/>
          <w:kern w:val="2"/>
          <w:sz w:val="24"/>
          <w:lang w:eastAsia="en-US"/>
          <w14:ligatures w14:val="standardContextual"/>
        </w:rPr>
      </w:pPr>
      <w:bookmarkStart w:name="d17e62" w:id="0"/>
      <w:bookmarkStart w:name="d17e65" w:id="1"/>
      <w:bookmarkEnd w:id="0"/>
      <w:bookmarkEnd w:id="1"/>
    </w:p>
    <w:p w:rsidRPr="00394E51" w:rsidR="00394E51" w:rsidP="00394E51" w:rsidRDefault="00394E51" w14:paraId="2011A766" w14:textId="77777777">
      <w:pPr>
        <w:spacing w:line="259" w:lineRule="auto"/>
        <w:rPr>
          <w:rFonts w:ascii="Times New Roman" w:hAnsi="Times New Roman" w:eastAsia="Aptos"/>
          <w:b/>
          <w:bCs/>
          <w:kern w:val="2"/>
          <w:sz w:val="24"/>
          <w:lang w:eastAsia="en-US"/>
          <w14:ligatures w14:val="standardContextual"/>
        </w:rPr>
      </w:pPr>
    </w:p>
    <w:p w:rsidRPr="00394E51" w:rsidR="00394E51" w:rsidP="00394E51" w:rsidRDefault="00394E51" w14:paraId="604FBB29" w14:textId="77777777">
      <w:pPr>
        <w:spacing w:line="259" w:lineRule="auto"/>
        <w:rPr>
          <w:rFonts w:ascii="Times New Roman" w:hAnsi="Times New Roman" w:eastAsia="Aptos"/>
          <w:b/>
          <w:bCs/>
          <w:kern w:val="2"/>
          <w:sz w:val="24"/>
          <w:lang w:eastAsia="en-US"/>
          <w14:ligatures w14:val="standardContextual"/>
        </w:rPr>
      </w:pPr>
      <w:r w:rsidRPr="00394E51">
        <w:rPr>
          <w:rFonts w:ascii="Times New Roman" w:hAnsi="Times New Roman" w:eastAsia="Aptos"/>
          <w:b/>
          <w:bCs/>
          <w:kern w:val="2"/>
          <w:sz w:val="24"/>
          <w:lang w:eastAsia="en-US"/>
          <w14:ligatures w14:val="standardContextual"/>
        </w:rPr>
        <w:t>ARTIKEL I</w:t>
      </w:r>
    </w:p>
    <w:p w:rsidRPr="00394E51" w:rsidR="00394E51" w:rsidP="00394E51" w:rsidRDefault="00394E51" w14:paraId="6DCBFC31" w14:textId="77777777">
      <w:pPr>
        <w:spacing w:line="259" w:lineRule="auto"/>
        <w:rPr>
          <w:rFonts w:ascii="Times New Roman" w:hAnsi="Times New Roman" w:eastAsia="Aptos"/>
          <w:b/>
          <w:bCs/>
          <w:kern w:val="2"/>
          <w:sz w:val="24"/>
          <w:lang w:eastAsia="en-US"/>
          <w14:ligatures w14:val="standardContextual"/>
        </w:rPr>
      </w:pPr>
    </w:p>
    <w:p w:rsidRPr="00394E51" w:rsidR="00394E51" w:rsidP="00394E51" w:rsidRDefault="00394E51" w14:paraId="4596DE02"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 xml:space="preserve">De Vreemdelingenwet 2000 wordt als volgt gewijzigd: </w:t>
      </w:r>
    </w:p>
    <w:p w:rsidRPr="00394E51" w:rsidR="00394E51" w:rsidP="00394E51" w:rsidRDefault="00394E51" w14:paraId="47CFD675"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0B631748" w14:textId="77777777">
      <w:pPr>
        <w:spacing w:line="259" w:lineRule="auto"/>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A</w:t>
      </w:r>
    </w:p>
    <w:p w:rsidRPr="00394E51" w:rsidR="00394E51" w:rsidP="00394E51" w:rsidRDefault="00394E51" w14:paraId="7380D149"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2FE9DD33"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In artikel 107, zesde lid, wordt “de vingerafdrukken” vervangen door “de gezichtsopname of de vingerafdrukken”.</w:t>
      </w:r>
    </w:p>
    <w:p w:rsidRPr="00394E51" w:rsidR="00394E51" w:rsidP="00394E51" w:rsidRDefault="00394E51" w14:paraId="39D7B4C9"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233F52E5" w14:textId="77777777">
      <w:pPr>
        <w:spacing w:line="259" w:lineRule="auto"/>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B</w:t>
      </w:r>
    </w:p>
    <w:p w:rsidRPr="00394E51" w:rsidR="00394E51" w:rsidP="00394E51" w:rsidRDefault="00394E51" w14:paraId="4F5BE6CB"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13B1DE27"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Artikel 115 vervalt.</w:t>
      </w:r>
    </w:p>
    <w:p w:rsidR="00394E51" w:rsidP="00394E51" w:rsidRDefault="00394E51" w14:paraId="29A440EE" w14:textId="77777777">
      <w:pPr>
        <w:spacing w:line="259" w:lineRule="auto"/>
        <w:rPr>
          <w:rFonts w:ascii="Times New Roman" w:hAnsi="Times New Roman" w:eastAsia="Aptos"/>
          <w:b/>
          <w:bCs/>
          <w:kern w:val="2"/>
          <w:sz w:val="24"/>
          <w:lang w:eastAsia="en-US"/>
          <w14:ligatures w14:val="standardContextual"/>
        </w:rPr>
      </w:pPr>
      <w:bookmarkStart w:name="d17e70" w:id="2"/>
      <w:bookmarkEnd w:id="2"/>
    </w:p>
    <w:p w:rsidRPr="00394E51" w:rsidR="00394E51" w:rsidP="00394E51" w:rsidRDefault="00394E51" w14:paraId="59622311" w14:textId="77777777">
      <w:pPr>
        <w:spacing w:line="259" w:lineRule="auto"/>
        <w:rPr>
          <w:rFonts w:ascii="Times New Roman" w:hAnsi="Times New Roman" w:eastAsia="Aptos"/>
          <w:b/>
          <w:bCs/>
          <w:kern w:val="2"/>
          <w:sz w:val="24"/>
          <w:lang w:eastAsia="en-US"/>
          <w14:ligatures w14:val="standardContextual"/>
        </w:rPr>
      </w:pPr>
    </w:p>
    <w:p w:rsidRPr="00394E51" w:rsidR="00394E51" w:rsidP="00394E51" w:rsidRDefault="00394E51" w14:paraId="1D5BBE3C" w14:textId="77777777">
      <w:pPr>
        <w:spacing w:line="259" w:lineRule="auto"/>
        <w:rPr>
          <w:rFonts w:ascii="Times New Roman" w:hAnsi="Times New Roman" w:eastAsia="Aptos"/>
          <w:b/>
          <w:bCs/>
          <w:kern w:val="2"/>
          <w:sz w:val="24"/>
          <w:lang w:eastAsia="en-US"/>
          <w14:ligatures w14:val="standardContextual"/>
        </w:rPr>
      </w:pPr>
      <w:r w:rsidRPr="00394E51">
        <w:rPr>
          <w:rFonts w:ascii="Times New Roman" w:hAnsi="Times New Roman" w:eastAsia="Aptos"/>
          <w:b/>
          <w:bCs/>
          <w:kern w:val="2"/>
          <w:sz w:val="24"/>
          <w:lang w:eastAsia="en-US"/>
          <w14:ligatures w14:val="standardContextual"/>
        </w:rPr>
        <w:t>ARTIKEL II</w:t>
      </w:r>
    </w:p>
    <w:p w:rsidRPr="00394E51" w:rsidR="00394E51" w:rsidP="00394E51" w:rsidRDefault="00394E51" w14:paraId="639DBA1E" w14:textId="77777777">
      <w:pPr>
        <w:spacing w:line="259" w:lineRule="auto"/>
        <w:rPr>
          <w:rFonts w:ascii="Times New Roman" w:hAnsi="Times New Roman" w:eastAsia="Aptos"/>
          <w:b/>
          <w:bCs/>
          <w:kern w:val="2"/>
          <w:sz w:val="24"/>
          <w:lang w:eastAsia="en-US"/>
          <w14:ligatures w14:val="standardContextual"/>
        </w:rPr>
      </w:pPr>
    </w:p>
    <w:p w:rsidRPr="00394E51" w:rsidR="00394E51" w:rsidP="00394E51" w:rsidRDefault="00394E51" w14:paraId="34FA0530"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 xml:space="preserve">Onze Minister van Asiel en Migratie zendt binnen drie jaar na de inwerkingtreding van deze wet aan de Staten-Generaal een verslag over de verwerking en vernietiging van biometrische gegevens van vreemdelingen in de vreemdelingenadministratie. </w:t>
      </w:r>
    </w:p>
    <w:p w:rsidR="00394E51" w:rsidP="00394E51" w:rsidRDefault="00394E51" w14:paraId="76A5D8AD" w14:textId="77777777">
      <w:pPr>
        <w:spacing w:line="259" w:lineRule="auto"/>
        <w:rPr>
          <w:rFonts w:ascii="Times New Roman" w:hAnsi="Times New Roman" w:eastAsia="Aptos"/>
          <w:b/>
          <w:bCs/>
          <w:i/>
          <w:iCs/>
          <w:kern w:val="2"/>
          <w:sz w:val="24"/>
          <w:lang w:eastAsia="en-US"/>
          <w14:ligatures w14:val="standardContextual"/>
        </w:rPr>
      </w:pPr>
    </w:p>
    <w:p w:rsidRPr="00394E51" w:rsidR="00394E51" w:rsidP="00394E51" w:rsidRDefault="00394E51" w14:paraId="7823CED2" w14:textId="77777777">
      <w:pPr>
        <w:spacing w:line="259" w:lineRule="auto"/>
        <w:rPr>
          <w:rFonts w:ascii="Times New Roman" w:hAnsi="Times New Roman" w:eastAsia="Aptos"/>
          <w:b/>
          <w:bCs/>
          <w:i/>
          <w:iCs/>
          <w:kern w:val="2"/>
          <w:sz w:val="24"/>
          <w:lang w:eastAsia="en-US"/>
          <w14:ligatures w14:val="standardContextual"/>
        </w:rPr>
      </w:pPr>
    </w:p>
    <w:p w:rsidRPr="00394E51" w:rsidR="00394E51" w:rsidP="00394E51" w:rsidRDefault="00394E51" w14:paraId="537667AC" w14:textId="77777777">
      <w:pPr>
        <w:spacing w:line="259" w:lineRule="auto"/>
        <w:rPr>
          <w:rFonts w:ascii="Times New Roman" w:hAnsi="Times New Roman" w:eastAsia="Aptos"/>
          <w:b/>
          <w:bCs/>
          <w:kern w:val="2"/>
          <w:sz w:val="24"/>
          <w:lang w:eastAsia="en-US"/>
          <w14:ligatures w14:val="standardContextual"/>
        </w:rPr>
      </w:pPr>
      <w:r w:rsidRPr="00394E51">
        <w:rPr>
          <w:rFonts w:ascii="Times New Roman" w:hAnsi="Times New Roman" w:eastAsia="Aptos"/>
          <w:b/>
          <w:bCs/>
          <w:kern w:val="2"/>
          <w:sz w:val="24"/>
          <w:lang w:eastAsia="en-US"/>
          <w14:ligatures w14:val="standardContextual"/>
        </w:rPr>
        <w:lastRenderedPageBreak/>
        <w:t>ARTIKEL III</w:t>
      </w:r>
    </w:p>
    <w:p w:rsidRPr="00394E51" w:rsidR="00394E51" w:rsidP="00394E51" w:rsidRDefault="00394E51" w14:paraId="00741106" w14:textId="77777777">
      <w:pPr>
        <w:spacing w:line="259" w:lineRule="auto"/>
        <w:rPr>
          <w:rFonts w:ascii="Times New Roman" w:hAnsi="Times New Roman" w:eastAsia="Aptos"/>
          <w:kern w:val="2"/>
          <w:sz w:val="24"/>
          <w:lang w:eastAsia="en-US"/>
          <w14:ligatures w14:val="standardContextual"/>
        </w:rPr>
      </w:pPr>
      <w:bookmarkStart w:name="d17e79" w:id="3"/>
      <w:bookmarkEnd w:id="3"/>
    </w:p>
    <w:p w:rsidRPr="00394E51" w:rsidR="00394E51" w:rsidP="00394E51" w:rsidRDefault="00394E51" w14:paraId="7FBDB6FE"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Deze wet treedt in werking met ingang van de dag na de datum van uitgifte van het Staatsblad waarin zij wordt geplaatst.</w:t>
      </w:r>
    </w:p>
    <w:p w:rsidRPr="00394E51" w:rsidR="00394E51" w:rsidP="00394E51" w:rsidRDefault="00394E51" w14:paraId="2C2227BC"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355B273F" w14:textId="77777777">
      <w:pPr>
        <w:spacing w:line="259" w:lineRule="auto"/>
        <w:rPr>
          <w:rFonts w:ascii="Times New Roman" w:hAnsi="Times New Roman" w:eastAsia="Aptos"/>
          <w:kern w:val="2"/>
          <w:sz w:val="24"/>
          <w:lang w:eastAsia="en-US"/>
          <w14:ligatures w14:val="standardContextual"/>
        </w:rPr>
      </w:pPr>
      <w:bookmarkStart w:name="d17e85" w:id="4"/>
      <w:bookmarkEnd w:id="4"/>
    </w:p>
    <w:p w:rsidRPr="00394E51" w:rsidR="00394E51" w:rsidP="00394E51" w:rsidRDefault="00394E51" w14:paraId="18B88EC0" w14:textId="77777777">
      <w:pPr>
        <w:spacing w:line="259" w:lineRule="auto"/>
        <w:ind w:firstLine="284"/>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Lasten en bevelen dat deze in het Staatsblad zal worden geplaatst en dat alle ministeries, autoriteiten, colleges en ambtenaren die zulks aangaat, aan de nauwkeurige uitvoering de hand zullen houden.</w:t>
      </w:r>
    </w:p>
    <w:p w:rsidRPr="00394E51" w:rsidR="00394E51" w:rsidP="00394E51" w:rsidRDefault="00394E51" w14:paraId="7B492481" w14:textId="77777777">
      <w:pPr>
        <w:spacing w:line="259" w:lineRule="auto"/>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 xml:space="preserve"> </w:t>
      </w:r>
    </w:p>
    <w:p w:rsidRPr="00394E51" w:rsidR="00394E51" w:rsidP="00394E51" w:rsidRDefault="00394E51" w14:paraId="400A5104"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66D2CC82" w14:textId="77777777">
      <w:pPr>
        <w:spacing w:line="259" w:lineRule="auto"/>
        <w:rPr>
          <w:rFonts w:ascii="Times New Roman" w:hAnsi="Times New Roman" w:eastAsia="Aptos"/>
          <w:kern w:val="2"/>
          <w:sz w:val="24"/>
          <w:lang w:eastAsia="en-US"/>
          <w14:ligatures w14:val="standardContextual"/>
        </w:rPr>
      </w:pPr>
      <w:r w:rsidRPr="00394E51">
        <w:rPr>
          <w:rFonts w:ascii="Times New Roman" w:hAnsi="Times New Roman" w:eastAsia="Aptos"/>
          <w:kern w:val="2"/>
          <w:sz w:val="24"/>
          <w:lang w:eastAsia="en-US"/>
          <w14:ligatures w14:val="standardContextual"/>
        </w:rPr>
        <w:t xml:space="preserve">Gegeven </w:t>
      </w:r>
    </w:p>
    <w:p w:rsidRPr="00394E51" w:rsidR="00394E51" w:rsidP="00394E51" w:rsidRDefault="00394E51" w14:paraId="3FFC910F"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5755D3A0"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12A47F8A"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4BBD7F83"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3FD1AF23"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6A38B6CA"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1CC964DD" w14:textId="77777777">
      <w:pPr>
        <w:spacing w:line="259" w:lineRule="auto"/>
        <w:rPr>
          <w:rFonts w:ascii="Times New Roman" w:hAnsi="Times New Roman" w:eastAsia="Aptos"/>
          <w:kern w:val="2"/>
          <w:sz w:val="24"/>
          <w:lang w:eastAsia="en-US"/>
          <w14:ligatures w14:val="standardContextual"/>
        </w:rPr>
      </w:pPr>
    </w:p>
    <w:p w:rsidR="00394E51" w:rsidP="00394E51" w:rsidRDefault="00394E51" w14:paraId="752F20F6"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06E5C525" w14:textId="77777777">
      <w:pPr>
        <w:spacing w:line="259" w:lineRule="auto"/>
        <w:rPr>
          <w:rFonts w:ascii="Times New Roman" w:hAnsi="Times New Roman" w:eastAsia="Aptos"/>
          <w:kern w:val="2"/>
          <w:sz w:val="24"/>
          <w:lang w:eastAsia="en-US"/>
          <w14:ligatures w14:val="standardContextual"/>
        </w:rPr>
      </w:pPr>
    </w:p>
    <w:p w:rsidRPr="00394E51" w:rsidR="00394E51" w:rsidP="00394E51" w:rsidRDefault="00394E51" w14:paraId="2C1083CA" w14:textId="77777777">
      <w:pPr>
        <w:spacing w:line="259" w:lineRule="auto"/>
        <w:rPr>
          <w:rFonts w:ascii="Times New Roman" w:hAnsi="Times New Roman" w:eastAsia="Aptos"/>
          <w:bCs/>
          <w:kern w:val="2"/>
          <w:sz w:val="24"/>
          <w:lang w:eastAsia="en-US"/>
          <w14:ligatures w14:val="standardContextual"/>
        </w:rPr>
      </w:pPr>
      <w:r w:rsidRPr="00394E51">
        <w:rPr>
          <w:rFonts w:ascii="Times New Roman" w:hAnsi="Times New Roman" w:eastAsia="Aptos"/>
          <w:bCs/>
          <w:kern w:val="2"/>
          <w:sz w:val="24"/>
          <w:lang w:eastAsia="en-US"/>
          <w14:ligatures w14:val="standardContextual"/>
        </w:rPr>
        <w:t>De Minister van Asiel en Migratie,</w:t>
      </w:r>
    </w:p>
    <w:p w:rsidRPr="00394E51" w:rsidR="00CB3578" w:rsidP="00A11E73" w:rsidRDefault="00CB3578" w14:paraId="1A8CBC83" w14:textId="77777777">
      <w:pPr>
        <w:tabs>
          <w:tab w:val="left" w:pos="284"/>
          <w:tab w:val="left" w:pos="567"/>
          <w:tab w:val="left" w:pos="851"/>
        </w:tabs>
        <w:ind w:right="1848"/>
        <w:rPr>
          <w:rFonts w:ascii="Times New Roman" w:hAnsi="Times New Roman"/>
          <w:sz w:val="24"/>
        </w:rPr>
      </w:pPr>
    </w:p>
    <w:sectPr w:rsidRPr="00394E51"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87D0" w14:textId="77777777" w:rsidR="00394E51" w:rsidRDefault="00394E51">
      <w:pPr>
        <w:spacing w:line="20" w:lineRule="exact"/>
      </w:pPr>
    </w:p>
  </w:endnote>
  <w:endnote w:type="continuationSeparator" w:id="0">
    <w:p w14:paraId="6D0C0191" w14:textId="77777777" w:rsidR="00394E51" w:rsidRDefault="00394E51">
      <w:pPr>
        <w:pStyle w:val="Amendement"/>
      </w:pPr>
      <w:r>
        <w:rPr>
          <w:b w:val="0"/>
          <w:bCs w:val="0"/>
        </w:rPr>
        <w:t xml:space="preserve"> </w:t>
      </w:r>
    </w:p>
  </w:endnote>
  <w:endnote w:type="continuationNotice" w:id="1">
    <w:p w14:paraId="59219E04" w14:textId="77777777" w:rsidR="00394E51" w:rsidRDefault="00394E5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9A7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C6814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CFA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956A" w14:textId="77777777" w:rsidR="00394E51" w:rsidRDefault="00394E51">
      <w:pPr>
        <w:pStyle w:val="Amendement"/>
      </w:pPr>
      <w:r>
        <w:rPr>
          <w:b w:val="0"/>
          <w:bCs w:val="0"/>
        </w:rPr>
        <w:separator/>
      </w:r>
    </w:p>
  </w:footnote>
  <w:footnote w:type="continuationSeparator" w:id="0">
    <w:p w14:paraId="6055D172" w14:textId="77777777" w:rsidR="00394E51" w:rsidRDefault="00394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51"/>
    <w:rsid w:val="00012DBE"/>
    <w:rsid w:val="000A1D81"/>
    <w:rsid w:val="00111ED3"/>
    <w:rsid w:val="001C190E"/>
    <w:rsid w:val="002168F4"/>
    <w:rsid w:val="002A727C"/>
    <w:rsid w:val="00394E51"/>
    <w:rsid w:val="005D2707"/>
    <w:rsid w:val="005F6C92"/>
    <w:rsid w:val="00606255"/>
    <w:rsid w:val="006B607A"/>
    <w:rsid w:val="007D451C"/>
    <w:rsid w:val="00826224"/>
    <w:rsid w:val="008267B2"/>
    <w:rsid w:val="00920653"/>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6712A"/>
  <w15:docId w15:val="{87F29468-29F3-468D-ACDF-412DF15D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286</ap:Words>
  <ap:Characters>1574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2025-11-25T15:05:00.0000000Z</dcterms:created>
  <dcterms:modified xsi:type="dcterms:W3CDTF">2025-11-25T15:05:00.0000000Z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