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6E3" w:rsidP="007716E3" w:rsidRDefault="007716E3" w14:paraId="45945F57" w14:textId="7F23A5E4">
      <w:pPr>
        <w:pStyle w:val="Geenafstand"/>
      </w:pPr>
      <w:r>
        <w:t>AH 432</w:t>
      </w:r>
    </w:p>
    <w:p w:rsidR="007716E3" w:rsidP="007716E3" w:rsidRDefault="007716E3" w14:paraId="3874A6B2" w14:textId="7092942D">
      <w:pPr>
        <w:pStyle w:val="Geenafstand"/>
      </w:pPr>
      <w:r>
        <w:t>2025Z19373</w:t>
      </w:r>
    </w:p>
    <w:p w:rsidR="007716E3" w:rsidP="007716E3" w:rsidRDefault="007716E3" w14:paraId="00B09A4C" w14:textId="77777777">
      <w:pPr>
        <w:pStyle w:val="Geenafstand"/>
      </w:pPr>
    </w:p>
    <w:p w:rsidRPr="007716E3" w:rsidR="007716E3" w:rsidP="00427BA1" w:rsidRDefault="007716E3" w14:paraId="577CDB1E" w14:textId="4919FE0D">
      <w:pPr>
        <w:rPr>
          <w:sz w:val="24"/>
          <w:szCs w:val="24"/>
        </w:rPr>
      </w:pPr>
      <w:r w:rsidRPr="00533806">
        <w:rPr>
          <w:sz w:val="24"/>
          <w:szCs w:val="24"/>
        </w:rPr>
        <w:t>Antwoord van minister Paul (Sociale Zaken en Werkgelegenheid)</w:t>
      </w:r>
      <w:r>
        <w:rPr>
          <w:sz w:val="24"/>
          <w:szCs w:val="24"/>
        </w:rPr>
        <w:t xml:space="preserve">, mede namens de </w:t>
      </w:r>
      <w:r w:rsidRPr="007716E3">
        <w:rPr>
          <w:rFonts w:ascii="Times New Roman" w:hAnsi="Times New Roman"/>
          <w:sz w:val="24"/>
          <w:szCs w:val="24"/>
        </w:rPr>
        <w:t>minister van Volkshuisvesting en Ruimtelijke Ordening</w:t>
      </w:r>
      <w:r>
        <w:rPr>
          <w:rFonts w:ascii="Times New Roman" w:hAnsi="Times New Roman"/>
          <w:sz w:val="24"/>
          <w:szCs w:val="24"/>
        </w:rPr>
        <w:t xml:space="preserve"> </w:t>
      </w:r>
      <w:r w:rsidRPr="00533806">
        <w:rPr>
          <w:sz w:val="24"/>
          <w:szCs w:val="24"/>
        </w:rPr>
        <w:t>(ontvangen</w:t>
      </w:r>
      <w:r>
        <w:rPr>
          <w:sz w:val="24"/>
          <w:szCs w:val="24"/>
        </w:rPr>
        <w:t xml:space="preserve"> 20 november 2025)</w:t>
      </w:r>
    </w:p>
    <w:p w:rsidR="007716E3" w:rsidP="007716E3" w:rsidRDefault="007716E3" w14:paraId="621C182A" w14:textId="711F43E7"/>
    <w:p w:rsidRPr="005C559B" w:rsidR="007716E3" w:rsidP="007716E3" w:rsidRDefault="007716E3" w14:paraId="681A5FA0" w14:textId="77777777">
      <w:pPr>
        <w:pStyle w:val="WitregelW1bodytekst"/>
        <w:rPr>
          <w:b/>
          <w:bCs/>
        </w:rPr>
      </w:pPr>
      <w:r w:rsidRPr="005C559B">
        <w:rPr>
          <w:b/>
          <w:bCs/>
        </w:rPr>
        <w:t>Vraag 1: Kunt u een nadere toelichting geven op uw besluit om niet door te gaan met de afschaffing, als uw streven is om grip op migratie te krijgen? </w:t>
      </w:r>
    </w:p>
    <w:p w:rsidRPr="005C559B" w:rsidR="007716E3" w:rsidP="007716E3" w:rsidRDefault="007716E3" w14:paraId="56D36F3D" w14:textId="77777777">
      <w:pPr>
        <w:pStyle w:val="WitregelW1bodytekst"/>
      </w:pPr>
    </w:p>
    <w:p w:rsidR="007716E3" w:rsidP="007716E3" w:rsidRDefault="007716E3" w14:paraId="085F6981" w14:textId="77777777">
      <w:pPr>
        <w:spacing w:line="276" w:lineRule="auto"/>
      </w:pPr>
      <w:r w:rsidRPr="005C559B">
        <w:t xml:space="preserve">Antwoord 1: De bescherming van de arbeidsmigrant staat voorop. </w:t>
      </w:r>
    </w:p>
    <w:p w:rsidRPr="008F2B09" w:rsidR="007716E3" w:rsidP="007716E3" w:rsidRDefault="007716E3" w14:paraId="4F5F3462" w14:textId="77777777">
      <w:pPr>
        <w:spacing w:line="276" w:lineRule="auto"/>
      </w:pPr>
      <w:r>
        <w:t xml:space="preserve">Zoals aangegeven in mijn brief van 30 oktober jl. heeft het </w:t>
      </w:r>
      <w:r w:rsidRPr="008F2B09">
        <w:t xml:space="preserve">loslaten van de mogelijkheid om in te houden op het </w:t>
      </w:r>
      <w:r>
        <w:t>minimum</w:t>
      </w:r>
      <w:r w:rsidRPr="008F2B09">
        <w:t xml:space="preserve">loon voor huisvesting op dit moment meer nadelige dan positieve gevolgen voor de arbeidsmigrant. </w:t>
      </w:r>
    </w:p>
    <w:p w:rsidRPr="005C559B" w:rsidR="007716E3" w:rsidP="007716E3" w:rsidRDefault="007716E3" w14:paraId="12696820" w14:textId="77777777">
      <w:pPr>
        <w:pStyle w:val="WitregelW1bodytekst"/>
      </w:pPr>
      <w:r w:rsidRPr="005C559B">
        <w:t>Het kabinet heeft</w:t>
      </w:r>
      <w:r>
        <w:t xml:space="preserve"> daarom</w:t>
      </w:r>
      <w:r w:rsidRPr="005C559B">
        <w:t xml:space="preserve"> besloten dat werkgevers vooralsnog maximaal 25% van het Wettelijk minimumloon in rekening mogen blijven brengen voor huisvestingskosten. De geplande start van de afbouw van deze regeling gaat </w:t>
      </w:r>
      <w:r>
        <w:t xml:space="preserve">daarom </w:t>
      </w:r>
      <w:r w:rsidRPr="005C559B">
        <w:t xml:space="preserve">per 1 januari 2026 niet door. </w:t>
      </w:r>
      <w:bookmarkStart w:name="_Hlk213055665" w:id="0"/>
    </w:p>
    <w:p w:rsidRPr="005C559B" w:rsidR="007716E3" w:rsidP="007716E3" w:rsidRDefault="007716E3" w14:paraId="70CC42E7" w14:textId="77777777">
      <w:pPr>
        <w:pStyle w:val="WitregelW1bodytekst"/>
      </w:pPr>
    </w:p>
    <w:p w:rsidRPr="005C559B" w:rsidR="007716E3" w:rsidP="007716E3" w:rsidRDefault="007716E3" w14:paraId="672F895B" w14:textId="77777777">
      <w:pPr>
        <w:pStyle w:val="WitregelW1bodytekst"/>
      </w:pPr>
      <w:r w:rsidRPr="005C559B">
        <w:t>Mijn voorganger schreef reeds dat het niet gemakkelijk is om een eenduidig oordeel te geven over de werking van de inhoudingsmogelijkheid ten aanzien van huisvesting.</w:t>
      </w:r>
      <w:r w:rsidRPr="005C559B">
        <w:rPr>
          <w:vertAlign w:val="superscript"/>
        </w:rPr>
        <w:footnoteReference w:id="1"/>
      </w:r>
      <w:r w:rsidRPr="005C559B">
        <w:t xml:space="preserve"> Aan de inhoudingsregeling voor huisvesting zitten verschillende kanten, zoals een eerdere verkenning laat zien.</w:t>
      </w:r>
      <w:r w:rsidRPr="005C559B">
        <w:rPr>
          <w:vertAlign w:val="superscript"/>
        </w:rPr>
        <w:footnoteReference w:id="2"/>
      </w:r>
      <w:r w:rsidRPr="005C559B">
        <w:t xml:space="preserve"> Enerzijds draagt de inhoudingsmogelijkheid voor huisvesting eraan bij dat werkgevers huisvesting regelen voor werknemers</w:t>
      </w:r>
      <w:r>
        <w:t xml:space="preserve">, </w:t>
      </w:r>
      <w:r w:rsidRPr="005C559B">
        <w:t xml:space="preserve">met name arbeidsmigranten. Gelet op de huidige situatie op de woningmarkt zijn arbeidsmigranten nu </w:t>
      </w:r>
      <w:r>
        <w:t xml:space="preserve">voor hun huisvesting </w:t>
      </w:r>
      <w:r w:rsidRPr="005C559B">
        <w:t xml:space="preserve">vaak afhankelijk van hun werkgever, helemaal als zij nieuw zijn in Nederland. De inhoudingsregeling faciliteert dat werkgevers huisvesting regelen. </w:t>
      </w:r>
      <w:r>
        <w:t>Dit gebeurt o</w:t>
      </w:r>
      <w:r w:rsidRPr="005C559B">
        <w:t>p een transparante wijze</w:t>
      </w:r>
      <w:r>
        <w:t xml:space="preserve"> (zichtbaar op het loonstrookje)</w:t>
      </w:r>
      <w:r w:rsidRPr="005C559B">
        <w:t xml:space="preserve">, </w:t>
      </w:r>
      <w:r>
        <w:t xml:space="preserve">voor een gemaximeerd deel van het </w:t>
      </w:r>
      <w:proofErr w:type="spellStart"/>
      <w:r>
        <w:t>Wml</w:t>
      </w:r>
      <w:proofErr w:type="spellEnd"/>
      <w:r>
        <w:t xml:space="preserve"> (25%) </w:t>
      </w:r>
      <w:r w:rsidRPr="005C559B">
        <w:t xml:space="preserve">en </w:t>
      </w:r>
      <w:r>
        <w:t>alleen voor gecertificeerde huisvesting of huisvesting door een woningcorporatie</w:t>
      </w:r>
      <w:r w:rsidRPr="005C559B">
        <w:t xml:space="preserve">. De inhoudingsmogelijkheid maakt het voor werkgevers en werknemers makkelijker om de huurbetaling vooraf te regelen en beperkt incassorisico’s voor de aanbieders van huisvesting. In die zin kan de inhoudingsmogelijkheid zowel de arbeidsmigrant, als de aanbieder van huisvesting ontzorgen. De Arbeidsinspectie controleert op de voorwaarden van de inhoudingsregeling op het minimumloon. Anderzijds toont de verkenning ook aan dat er werkgevers zijn die de regeling misbruiken. De regeling vergroot de afhankelijkheid voor arbeidsmigranten van werkgevers en kan bijdragen aan een onwenselijk verdienmodel. </w:t>
      </w:r>
      <w:r>
        <w:t xml:space="preserve">Alles overwegende, is het oordeel </w:t>
      </w:r>
      <w:r w:rsidRPr="005C559B">
        <w:t xml:space="preserve">dat het afschaffen </w:t>
      </w:r>
      <w:r>
        <w:t xml:space="preserve">van de inhoudingsmogelijkheid </w:t>
      </w:r>
      <w:r w:rsidRPr="005C559B">
        <w:t>op dit moment meer nadelen dan voordelen voor de arbeidsmigrant heeft.</w:t>
      </w:r>
      <w:r w:rsidRPr="00A57A3B">
        <w:t xml:space="preserve"> </w:t>
      </w:r>
      <w:r>
        <w:t xml:space="preserve">Tegelijkertijd geldt dat misstanden nooit volledig zijn uit </w:t>
      </w:r>
      <w:r>
        <w:lastRenderedPageBreak/>
        <w:t>te sluiten. Het blijft belangrijk om beleid te maken dat rekening houdt met de kwetsbare positie van veel arbeidsmigranten.</w:t>
      </w:r>
    </w:p>
    <w:p w:rsidR="007716E3" w:rsidP="007716E3" w:rsidRDefault="007716E3" w14:paraId="25B56890" w14:textId="77777777">
      <w:pPr>
        <w:pStyle w:val="WitregelW1bodytekst"/>
      </w:pPr>
    </w:p>
    <w:p w:rsidRPr="005C559B" w:rsidR="007716E3" w:rsidP="007716E3" w:rsidRDefault="007716E3" w14:paraId="3B79237F" w14:textId="77777777">
      <w:pPr>
        <w:pStyle w:val="WitregelW1bodytekst"/>
      </w:pPr>
      <w:r w:rsidRPr="005C559B">
        <w:t>Daar</w:t>
      </w:r>
      <w:r>
        <w:t>om</w:t>
      </w:r>
      <w:r w:rsidRPr="005C559B">
        <w:t xml:space="preserve"> </w:t>
      </w:r>
      <w:r>
        <w:t>zet het kabinet zich in om de positie van arbeidsmigranten te verbeteren door uitvoering te geven aan</w:t>
      </w:r>
      <w:r w:rsidRPr="005C559B">
        <w:t xml:space="preserve"> verschillende </w:t>
      </w:r>
      <w:r>
        <w:t>aanbevelingen</w:t>
      </w:r>
      <w:r w:rsidRPr="005C559B">
        <w:t xml:space="preserve"> van het Aanjaagteam Bescherming Arbeidsmigranten</w:t>
      </w:r>
      <w:r>
        <w:t xml:space="preserve"> (hierna: Aanjaagteam), ook</w:t>
      </w:r>
      <w:r w:rsidRPr="005C559B">
        <w:t xml:space="preserve"> op het terrein van huisvesting</w:t>
      </w:r>
      <w:r>
        <w:t xml:space="preserve">. </w:t>
      </w:r>
      <w:r w:rsidRPr="001C0A69">
        <w:t xml:space="preserve">Die maatregelen gaan ervoor zorgen dat op termijn afschaffing van de inhoudingsregeling minder nadelen krijgt en de weging anders uit kan pakken. </w:t>
      </w:r>
    </w:p>
    <w:p w:rsidRPr="005C559B" w:rsidR="007716E3" w:rsidP="007716E3" w:rsidRDefault="007716E3" w14:paraId="3153880B" w14:textId="77777777">
      <w:pPr>
        <w:pStyle w:val="WitregelW1bodytekst"/>
      </w:pPr>
    </w:p>
    <w:bookmarkEnd w:id="0"/>
    <w:p w:rsidR="007716E3" w:rsidP="007716E3" w:rsidRDefault="007716E3" w14:paraId="6C96DDB8" w14:textId="77777777">
      <w:pPr>
        <w:pStyle w:val="WitregelW1bodytekst"/>
      </w:pPr>
      <w:r>
        <w:t>Hierin is van belang dat s</w:t>
      </w:r>
      <w:r w:rsidRPr="005C559B">
        <w:t>inds 1 januari 2024</w:t>
      </w:r>
      <w:r>
        <w:t xml:space="preserve"> </w:t>
      </w:r>
      <w:r w:rsidRPr="005C559B">
        <w:t xml:space="preserve">een landelijk netwerk van informatiepunten </w:t>
      </w:r>
      <w:r>
        <w:t xml:space="preserve">wordt </w:t>
      </w:r>
      <w:r w:rsidRPr="005C559B">
        <w:t xml:space="preserve">gerealiseerd, </w:t>
      </w:r>
      <w:r>
        <w:t xml:space="preserve">de </w:t>
      </w:r>
      <w:proofErr w:type="spellStart"/>
      <w:r w:rsidRPr="005C559B">
        <w:t>Work</w:t>
      </w:r>
      <w:proofErr w:type="spellEnd"/>
      <w:r w:rsidRPr="005C559B">
        <w:t xml:space="preserve"> in NL-informatiepunten</w:t>
      </w:r>
      <w:r>
        <w:t>,</w:t>
      </w:r>
      <w:r w:rsidRPr="005C559B">
        <w:t xml:space="preserve"> waarbij ook meer specialistische hulp </w:t>
      </w:r>
      <w:r>
        <w:t xml:space="preserve">en juridische begeleiding vanuit het Juridisch Loket </w:t>
      </w:r>
      <w:r w:rsidRPr="005C559B">
        <w:t xml:space="preserve">beschikbaar </w:t>
      </w:r>
      <w:r>
        <w:t>is</w:t>
      </w:r>
      <w:r w:rsidRPr="005C559B">
        <w:t>.</w:t>
      </w:r>
      <w:r w:rsidRPr="005C559B">
        <w:rPr>
          <w:vertAlign w:val="superscript"/>
        </w:rPr>
        <w:footnoteReference w:id="3"/>
      </w:r>
      <w:r w:rsidRPr="005C559B">
        <w:rPr>
          <w:vertAlign w:val="superscript"/>
        </w:rPr>
        <w:t xml:space="preserve"> </w:t>
      </w:r>
    </w:p>
    <w:p w:rsidRPr="005C559B" w:rsidR="007716E3" w:rsidP="007716E3" w:rsidRDefault="007716E3" w14:paraId="72C4BFDF" w14:textId="77777777">
      <w:pPr>
        <w:pStyle w:val="WitregelW1bodytekst"/>
      </w:pPr>
    </w:p>
    <w:p w:rsidR="007716E3" w:rsidP="007716E3" w:rsidRDefault="007716E3" w14:paraId="0101BABD" w14:textId="77777777">
      <w:pPr>
        <w:pStyle w:val="WitregelW1bodytekst"/>
      </w:pPr>
      <w:r>
        <w:t>D</w:t>
      </w:r>
      <w:r w:rsidRPr="005C559B">
        <w:t xml:space="preserve">e minister van Volkshuisvesting en Ruimtelijke Ordening (VRO) </w:t>
      </w:r>
      <w:r>
        <w:t xml:space="preserve">werkt daarnaast </w:t>
      </w:r>
      <w:r w:rsidRPr="005C559B">
        <w:t xml:space="preserve">aan een wetsvoorstel </w:t>
      </w:r>
      <w:r>
        <w:t xml:space="preserve">dat moet zorgen voor een in de praktijk werkbare en verbeterde huurbescherming voor zowel arbeidsmigranten als verhuurders. </w:t>
      </w:r>
      <w:r w:rsidRPr="005C559B">
        <w:t xml:space="preserve">De </w:t>
      </w:r>
      <w:r>
        <w:t>Kamer is daar recent over geïnformeerd</w:t>
      </w:r>
      <w:r>
        <w:rPr>
          <w:rStyle w:val="Voetnootmarkering"/>
        </w:rPr>
        <w:footnoteReference w:id="4"/>
      </w:r>
      <w:r>
        <w:t xml:space="preserve">, de verwachting is </w:t>
      </w:r>
      <w:r w:rsidRPr="005C559B">
        <w:t xml:space="preserve">dat er in 2026 een </w:t>
      </w:r>
      <w:r>
        <w:t>wet</w:t>
      </w:r>
      <w:r w:rsidRPr="005C559B">
        <w:t xml:space="preserve">voorstel </w:t>
      </w:r>
      <w:r>
        <w:t>voor</w:t>
      </w:r>
      <w:r w:rsidRPr="005C559B">
        <w:t xml:space="preserve"> consultatie wordt voorgelegd.</w:t>
      </w:r>
      <w:r w:rsidRPr="005C559B" w:rsidDel="008B7209">
        <w:t xml:space="preserve"> </w:t>
      </w:r>
      <w:r w:rsidRPr="005C559B">
        <w:t xml:space="preserve">Het wetsvoorstel Versterking regie op de volkshuisvesting van de Minister van VRO zal daarnaast door middel van een verplicht volkshuisvestingsprogramma voor Rijk, provincies en gemeenten moeten leiden tot meer huisvesting voor doelgroepen waaronder arbeidsmigranten. Dit wetsvoorstel ligt in </w:t>
      </w:r>
      <w:r>
        <w:t>bij de Raad van State voor advisering</w:t>
      </w:r>
      <w:r w:rsidRPr="005C559B">
        <w:t>.</w:t>
      </w:r>
      <w:r>
        <w:t xml:space="preserve"> Daarnaast heeft de Eerste Kamer op 11 november 2025 de Wet </w:t>
      </w:r>
      <w:r w:rsidRPr="005C559B">
        <w:t>toelating terbeschikkingstelling van arbeidskrachten (</w:t>
      </w:r>
      <w:proofErr w:type="spellStart"/>
      <w:r w:rsidRPr="005C559B">
        <w:t>Wtta</w:t>
      </w:r>
      <w:proofErr w:type="spellEnd"/>
      <w:r w:rsidRPr="005C559B">
        <w:t xml:space="preserve">) </w:t>
      </w:r>
      <w:r>
        <w:t xml:space="preserve">aangenomen. Daarmee </w:t>
      </w:r>
      <w:r w:rsidRPr="005C559B">
        <w:t xml:space="preserve">pakken we malafide uitleners aan waardoor ook de positie van kwetsbare arbeidskrachten </w:t>
      </w:r>
      <w:r>
        <w:t xml:space="preserve">zoals arbeidsmigranten </w:t>
      </w:r>
      <w:r w:rsidRPr="005C559B">
        <w:t>verbetert.</w:t>
      </w:r>
      <w:r>
        <w:t xml:space="preserve"> </w:t>
      </w:r>
    </w:p>
    <w:p w:rsidR="007716E3" w:rsidP="007716E3" w:rsidRDefault="007716E3" w14:paraId="3A65875A" w14:textId="77777777">
      <w:pPr>
        <w:pStyle w:val="WitregelW1bodytekst"/>
      </w:pPr>
    </w:p>
    <w:p w:rsidRPr="005C559B" w:rsidR="007716E3" w:rsidP="007716E3" w:rsidRDefault="007716E3" w14:paraId="6406655B" w14:textId="77777777">
      <w:pPr>
        <w:pStyle w:val="WitregelW1bodytekst"/>
      </w:pPr>
    </w:p>
    <w:p w:rsidRPr="005C559B" w:rsidR="007716E3" w:rsidP="007716E3" w:rsidRDefault="007716E3" w14:paraId="646B3B4F" w14:textId="77777777">
      <w:pPr>
        <w:pStyle w:val="WitregelW1bodytekst"/>
        <w:rPr>
          <w:b/>
          <w:bCs/>
        </w:rPr>
      </w:pPr>
      <w:r w:rsidRPr="005C559B">
        <w:rPr>
          <w:b/>
          <w:bCs/>
        </w:rPr>
        <w:t>Vraag 2: Op basis van welke adviezen bent u gekomen tot uw afweging?</w:t>
      </w:r>
    </w:p>
    <w:p w:rsidRPr="005C559B" w:rsidR="007716E3" w:rsidP="007716E3" w:rsidRDefault="007716E3" w14:paraId="00CF2B15" w14:textId="77777777">
      <w:pPr>
        <w:pStyle w:val="WitregelW1bodytekst"/>
      </w:pPr>
    </w:p>
    <w:p w:rsidRPr="005C559B" w:rsidR="007716E3" w:rsidP="007716E3" w:rsidRDefault="007716E3" w14:paraId="26B46EE4" w14:textId="77777777">
      <w:pPr>
        <w:pStyle w:val="WitregelW1bodytekst"/>
      </w:pPr>
      <w:r w:rsidRPr="005C559B">
        <w:t>Antwoord 2: De basis voor deze afweging is de uitgevoerde ambtelijke verkenning naar de inhoudingsmogelijkheid. Mijn voorganger heeft die verkenning op 6 februari 2025 met uw Kamer gedeeld.</w:t>
      </w:r>
      <w:r w:rsidRPr="005C559B">
        <w:rPr>
          <w:vertAlign w:val="superscript"/>
        </w:rPr>
        <w:footnoteReference w:id="5"/>
      </w:r>
      <w:r w:rsidRPr="005C559B">
        <w:t xml:space="preserve"> In deze verkenning zijn de voor- en nadelen van de inhoudingsmogelijkheid op een rij gezet. Er is destijds gesproken met de Arbeidsinspectie, vakbonden FNV, CNV en VCP, werkgeversorganisaties VNO-NCW/MKB-NL, AWVN, LTO, ABU en NBBU, werkgevers in de uitzend-, land- en tuinbouwsector.</w:t>
      </w:r>
      <w:r>
        <w:t xml:space="preserve"> </w:t>
      </w:r>
    </w:p>
    <w:p w:rsidRPr="005C559B" w:rsidR="007716E3" w:rsidP="007716E3" w:rsidRDefault="007716E3" w14:paraId="730EE563" w14:textId="77777777">
      <w:pPr>
        <w:pStyle w:val="WitregelW1bodytekst"/>
      </w:pPr>
    </w:p>
    <w:p w:rsidRPr="005C559B" w:rsidR="007716E3" w:rsidP="007716E3" w:rsidRDefault="007716E3" w14:paraId="1D82F407" w14:textId="77777777">
      <w:pPr>
        <w:pStyle w:val="WitregelW1bodytekst"/>
        <w:rPr>
          <w:b/>
          <w:bCs/>
        </w:rPr>
      </w:pPr>
      <w:r w:rsidRPr="005C559B">
        <w:rPr>
          <w:b/>
          <w:bCs/>
        </w:rPr>
        <w:t>Vraag 3: Kunt u aangeven waarom u afwijkt van het advies van de aanbevelingen van het Aanjaagteam Arbeidsmigratie?</w:t>
      </w:r>
    </w:p>
    <w:p w:rsidRPr="005C559B" w:rsidR="007716E3" w:rsidP="007716E3" w:rsidRDefault="007716E3" w14:paraId="43D85F60" w14:textId="77777777">
      <w:pPr>
        <w:pStyle w:val="WitregelW1bodytekst"/>
      </w:pPr>
    </w:p>
    <w:p w:rsidRPr="005C559B" w:rsidR="007716E3" w:rsidP="007716E3" w:rsidRDefault="007716E3" w14:paraId="5ECFAD81" w14:textId="77777777">
      <w:pPr>
        <w:pStyle w:val="WitregelW1bodytekst"/>
      </w:pPr>
      <w:r w:rsidRPr="005C559B">
        <w:t xml:space="preserve">Antwoord 3: </w:t>
      </w:r>
      <w:r w:rsidRPr="00F416EC">
        <w:t xml:space="preserve">Het Aanjaagteam heeft geen aanbeveling opgenomen die specifiek adviseert om de inhoudingsregeling voor huisvesting af te schaffen. </w:t>
      </w:r>
      <w:r>
        <w:t xml:space="preserve">Het </w:t>
      </w:r>
      <w:r w:rsidRPr="00D3316F">
        <w:t xml:space="preserve">Aanjaagteam  </w:t>
      </w:r>
      <w:r>
        <w:t xml:space="preserve">heeft in haar advies als doel gesteld </w:t>
      </w:r>
      <w:r w:rsidRPr="00D3316F">
        <w:t xml:space="preserve">om de afhankelijkheid van arbeidsmigranten van de werkgever te verminderen en hun positie te verbeteren. </w:t>
      </w:r>
      <w:r w:rsidRPr="005C559B">
        <w:t xml:space="preserve">Ten aanzien van huisvesting beval het Aanjaagteam aan om de huurbescherming voor arbeidsmigranten te verhogen en het arbeids- en huurcontract te </w:t>
      </w:r>
      <w:r w:rsidRPr="005C559B">
        <w:lastRenderedPageBreak/>
        <w:t>ontkoppelen op papier en in de praktijk.</w:t>
      </w:r>
      <w:r w:rsidRPr="005C559B">
        <w:rPr>
          <w:vertAlign w:val="superscript"/>
        </w:rPr>
        <w:footnoteReference w:id="6"/>
      </w:r>
      <w:r w:rsidRPr="005C559B">
        <w:t xml:space="preserve"> Dat is gebeurd via de per 1 juli 2023 in werking getreden Wet </w:t>
      </w:r>
      <w:r>
        <w:t>G</w:t>
      </w:r>
      <w:r w:rsidRPr="005C559B">
        <w:t xml:space="preserve">oed </w:t>
      </w:r>
      <w:proofErr w:type="spellStart"/>
      <w:r>
        <w:t>V</w:t>
      </w:r>
      <w:r w:rsidRPr="005C559B">
        <w:t>erhuurderschap</w:t>
      </w:r>
      <w:proofErr w:type="spellEnd"/>
      <w:r w:rsidRPr="005C559B">
        <w:t xml:space="preserve">. Die wet verplicht verhuurders om, in het geval van verhuur aan arbeidsmigranten, de huurovereenkomst afzonderlijk van de arbeidsovereenkomst vast te leggen. Het doel van het scheiden van de huurovereenkomst en de arbeidsovereenkomst is dat de arbeidsmigrant </w:t>
      </w:r>
      <w:r>
        <w:t>voor</w:t>
      </w:r>
      <w:r w:rsidRPr="005C559B">
        <w:t xml:space="preserve"> zijn huisvesting minder afhankelijk wordt van de werkgever. Het kan dan nog steeds zijn dat dezelfde partij deze contracten aanbiedt, maar de scheiding zorgt ervoor </w:t>
      </w:r>
      <w:r>
        <w:t xml:space="preserve">dat </w:t>
      </w:r>
      <w:r w:rsidRPr="005C559B">
        <w:t>als het arbeidscontract wordt beëindigd de huisvesting niet ook per definitie direct beëindigd wordt, omdat er een apart huurcontract is. Daarnaast werkt de minister van VRO</w:t>
      </w:r>
      <w:r>
        <w:t>,</w:t>
      </w:r>
      <w:r w:rsidRPr="005C559B">
        <w:t xml:space="preserve"> </w:t>
      </w:r>
      <w:r>
        <w:t xml:space="preserve">zoals eerder aangegeven, </w:t>
      </w:r>
      <w:r w:rsidRPr="005C559B">
        <w:t>aan een wetsvoorstel dat de huurbescherming en huurprijsbescherming voor arbeidsmigranten moet borgen.</w:t>
      </w:r>
    </w:p>
    <w:p w:rsidRPr="005C559B" w:rsidR="007716E3" w:rsidP="007716E3" w:rsidRDefault="007716E3" w14:paraId="60402094" w14:textId="77777777">
      <w:pPr>
        <w:pStyle w:val="WitregelW1bodytekst"/>
      </w:pPr>
    </w:p>
    <w:p w:rsidRPr="005C559B" w:rsidR="007716E3" w:rsidP="007716E3" w:rsidRDefault="007716E3" w14:paraId="172EAB21" w14:textId="77777777">
      <w:pPr>
        <w:pStyle w:val="WitregelW1bodytekst"/>
      </w:pPr>
      <w:r w:rsidRPr="005C559B">
        <w:t>Vooruitlopend op wetgeving worden er tussen sociale partners afspraken gemaakt</w:t>
      </w:r>
      <w:r>
        <w:t xml:space="preserve"> over huisvesting van arbeidsmigranten</w:t>
      </w:r>
      <w:r w:rsidRPr="005C559B">
        <w:t>. Zo is in de uitzend-cao geregeld dat een werknemer na het aflopen van de uitzendovereenkomst nog vier weken kan verblijven in de gehuurde huisvesting, tegen dezelfde huurprijs.</w:t>
      </w:r>
    </w:p>
    <w:p w:rsidRPr="005C559B" w:rsidR="007716E3" w:rsidP="007716E3" w:rsidRDefault="007716E3" w14:paraId="7467D0E6" w14:textId="77777777">
      <w:pPr>
        <w:pStyle w:val="WitregelW1bodytekst"/>
      </w:pPr>
    </w:p>
    <w:p w:rsidRPr="005C559B" w:rsidR="007716E3" w:rsidP="007716E3" w:rsidRDefault="007716E3" w14:paraId="4DC6056F" w14:textId="77777777">
      <w:pPr>
        <w:pStyle w:val="WitregelW1bodytekst"/>
      </w:pPr>
      <w:r w:rsidRPr="005C559B">
        <w:t>Daarnaast heeft het Aanjaagteam aanbevolen de zelfredzaamheid van arbeidsmigranten te vergroten.</w:t>
      </w:r>
      <w:r w:rsidRPr="005C559B">
        <w:rPr>
          <w:vertAlign w:val="superscript"/>
        </w:rPr>
        <w:footnoteReference w:id="7"/>
      </w:r>
      <w:r w:rsidRPr="005C559B">
        <w:t xml:space="preserve"> Daarom werken we aan de verbetering van de informatie, hulp en dienstverlening aan arbeidsmigranten</w:t>
      </w:r>
      <w:r>
        <w:t xml:space="preserve"> door middel van de eerder genoemde </w:t>
      </w:r>
      <w:proofErr w:type="spellStart"/>
      <w:r w:rsidRPr="005C559B">
        <w:t>Work</w:t>
      </w:r>
      <w:proofErr w:type="spellEnd"/>
      <w:r w:rsidRPr="005C559B">
        <w:t xml:space="preserve"> in NL-informatiepunten.</w:t>
      </w:r>
    </w:p>
    <w:p w:rsidRPr="00575A5C" w:rsidR="007716E3" w:rsidP="007716E3" w:rsidRDefault="007716E3" w14:paraId="40CB5328" w14:textId="77777777"/>
    <w:p w:rsidRPr="005C559B" w:rsidR="007716E3" w:rsidP="007716E3" w:rsidRDefault="007716E3" w14:paraId="53420B95" w14:textId="77777777">
      <w:pPr>
        <w:pStyle w:val="WitregelW1bodytekst"/>
        <w:rPr>
          <w:b/>
          <w:bCs/>
        </w:rPr>
      </w:pPr>
      <w:r w:rsidRPr="005C559B">
        <w:rPr>
          <w:b/>
          <w:bCs/>
        </w:rPr>
        <w:t>Vraag 4: Bent u er zich van bewust dat de koppeling een verdienmodel is voor de uitzendsector, ook vanwege het fiscale voordeel dat ontstaat bij aftrek van de huur van het brutoloon?</w:t>
      </w:r>
    </w:p>
    <w:p w:rsidRPr="005C559B" w:rsidR="007716E3" w:rsidP="007716E3" w:rsidRDefault="007716E3" w14:paraId="27C33C1B" w14:textId="77777777">
      <w:pPr>
        <w:pStyle w:val="WitregelW1bodytekst"/>
      </w:pPr>
    </w:p>
    <w:p w:rsidRPr="005C559B" w:rsidR="007716E3" w:rsidP="007716E3" w:rsidRDefault="007716E3" w14:paraId="07E59DA5" w14:textId="77777777">
      <w:pPr>
        <w:pStyle w:val="WitregelW1bodytekst"/>
      </w:pPr>
      <w:r w:rsidRPr="005C559B">
        <w:t xml:space="preserve">Antwoord 4: Een van die nadelen </w:t>
      </w:r>
      <w:r>
        <w:t>die uit de verkenning naar voren komt is</w:t>
      </w:r>
      <w:r w:rsidRPr="005C559B">
        <w:t xml:space="preserve"> dat de regeling gebruikt</w:t>
      </w:r>
      <w:r>
        <w:t xml:space="preserve"> kan worden </w:t>
      </w:r>
      <w:r w:rsidRPr="005C559B">
        <w:t xml:space="preserve">als verdienmodel. </w:t>
      </w:r>
      <w:r>
        <w:t>Zo zien we dat werkgevers die ter kwade trouw zijn</w:t>
      </w:r>
      <w:r w:rsidRPr="005C559B">
        <w:t xml:space="preserve"> de regeling </w:t>
      </w:r>
      <w:r>
        <w:t xml:space="preserve">misbruiken </w:t>
      </w:r>
      <w:r w:rsidRPr="005C559B">
        <w:t>om meer kosten dan gerechtvaardigd op basis van de geboden kwaliteit te verhalen op hun werknemers. Om die nadelen tegen te gaan moeten we doorgaan met het uitvoeren van de aanbevelingen van het Aanjaagteam, zeker op het terrein van huisvesting.</w:t>
      </w:r>
      <w:r>
        <w:t xml:space="preserve"> </w:t>
      </w:r>
    </w:p>
    <w:p w:rsidRPr="005C559B" w:rsidR="007716E3" w:rsidP="007716E3" w:rsidRDefault="007716E3" w14:paraId="0EDD8183" w14:textId="77777777">
      <w:pPr>
        <w:pStyle w:val="WitregelW1bodytekst"/>
        <w:rPr>
          <w:b/>
          <w:bCs/>
        </w:rPr>
      </w:pPr>
      <w:r w:rsidRPr="005C559B">
        <w:rPr>
          <w:b/>
          <w:bCs/>
        </w:rPr>
        <w:t>Vraag 5: Bent u er zich van bewust dat de Nederlandse Arbeidsinspectie al meerdere malen expliciet heeft gewaarschuwd dat het totaalpakket van loon/huisvesting als ‘verdienmodel en pressiemiddel’ wordt gebruikt en gepaard gaat met misstanden waarbij er een wanverhouding bestaat tussen de ingehouden huur en de kwaliteit van de huisvesting?</w:t>
      </w:r>
    </w:p>
    <w:p w:rsidRPr="005C559B" w:rsidR="007716E3" w:rsidP="007716E3" w:rsidRDefault="007716E3" w14:paraId="62BE2567" w14:textId="77777777">
      <w:pPr>
        <w:pStyle w:val="WitregelW1bodytekst"/>
      </w:pPr>
    </w:p>
    <w:p w:rsidRPr="005C559B" w:rsidR="007716E3" w:rsidP="007716E3" w:rsidRDefault="007716E3" w14:paraId="33ADBDB4" w14:textId="77777777">
      <w:pPr>
        <w:pStyle w:val="WitregelW1bodytekst"/>
      </w:pPr>
      <w:r w:rsidRPr="005C559B">
        <w:t xml:space="preserve">Antwoord 5: </w:t>
      </w:r>
      <w:r>
        <w:t>D</w:t>
      </w:r>
      <w:r w:rsidRPr="005C559B">
        <w:t xml:space="preserve">e Arbeidsinspectie </w:t>
      </w:r>
      <w:r>
        <w:t>maakt,</w:t>
      </w:r>
      <w:r w:rsidRPr="005C559B">
        <w:t xml:space="preserve"> </w:t>
      </w:r>
      <w:r>
        <w:t xml:space="preserve">zoals ook aangegeven in de verkenning, vanuit haar positie een andere weging. In het antwoord op vraag 1 heb ik de weging van het kabinet uiteengezet. </w:t>
      </w:r>
    </w:p>
    <w:p w:rsidRPr="005C559B" w:rsidR="007716E3" w:rsidP="007716E3" w:rsidRDefault="007716E3" w14:paraId="2B5381B3" w14:textId="77777777">
      <w:pPr>
        <w:pStyle w:val="WitregelW1bodytekst"/>
      </w:pPr>
    </w:p>
    <w:p w:rsidRPr="005C559B" w:rsidR="007716E3" w:rsidP="007716E3" w:rsidRDefault="007716E3" w14:paraId="3DA38BAA" w14:textId="77777777">
      <w:pPr>
        <w:pStyle w:val="WitregelW1bodytekst"/>
        <w:rPr>
          <w:b/>
          <w:bCs/>
        </w:rPr>
      </w:pPr>
      <w:r w:rsidRPr="005C559B">
        <w:rPr>
          <w:b/>
          <w:bCs/>
        </w:rPr>
        <w:t>Vraag 6: Heeft u uw voorgenomen besluit voorgelegd aan de SER? Zo ja, welk antwoord heeft u gehad? Zo nee, waarom heeft u uw voorgenomen besluit niet voorgelegd?</w:t>
      </w:r>
    </w:p>
    <w:p w:rsidRPr="005C559B" w:rsidR="007716E3" w:rsidP="007716E3" w:rsidRDefault="007716E3" w14:paraId="4631D837" w14:textId="77777777">
      <w:pPr>
        <w:pStyle w:val="WitregelW1bodytekst"/>
      </w:pPr>
    </w:p>
    <w:p w:rsidRPr="005C559B" w:rsidR="007716E3" w:rsidP="007716E3" w:rsidRDefault="007716E3" w14:paraId="01409F8F" w14:textId="77777777">
      <w:pPr>
        <w:pStyle w:val="WitregelW1bodytekst"/>
      </w:pPr>
      <w:r w:rsidRPr="005C559B">
        <w:t xml:space="preserve">Antwoord 6: Het besluit is kenbaar gemaakt aan sociale partners in de Stichting van de Arbeid. Gelet op </w:t>
      </w:r>
      <w:r>
        <w:t xml:space="preserve">de betrokkenheid van sociale partners bij de verkenning </w:t>
      </w:r>
      <w:r>
        <w:lastRenderedPageBreak/>
        <w:t xml:space="preserve">die is uitgevoerd en de daarin opgenomen standpunten van sociale partners, </w:t>
      </w:r>
      <w:r w:rsidRPr="005C559B">
        <w:t>is er niet opnieuw geconsulteerd.</w:t>
      </w:r>
      <w:r w:rsidRPr="005C559B">
        <w:br/>
      </w:r>
    </w:p>
    <w:p w:rsidRPr="005C559B" w:rsidR="007716E3" w:rsidP="007716E3" w:rsidRDefault="007716E3" w14:paraId="2735E1CE" w14:textId="77777777">
      <w:pPr>
        <w:pStyle w:val="WitregelW1bodytekst"/>
        <w:rPr>
          <w:b/>
          <w:bCs/>
        </w:rPr>
      </w:pPr>
      <w:r w:rsidRPr="005C559B">
        <w:rPr>
          <w:b/>
          <w:bCs/>
        </w:rPr>
        <w:t>Vraag 7: Heeft u uw voorgenomen besluit voorgelegd aan de Nederlandse Arbeidsinspectie? Zo ja, welk antwoord heeft u gehad? Zo nee, waarom heeft u uw voorgenomen besluit niet voorgelegd?</w:t>
      </w:r>
    </w:p>
    <w:p w:rsidRPr="005C559B" w:rsidR="007716E3" w:rsidP="007716E3" w:rsidRDefault="007716E3" w14:paraId="59245FCC" w14:textId="77777777">
      <w:pPr>
        <w:pStyle w:val="WitregelW1bodytekst"/>
      </w:pPr>
    </w:p>
    <w:p w:rsidRPr="005C559B" w:rsidR="007716E3" w:rsidP="007716E3" w:rsidRDefault="007716E3" w14:paraId="637BF0C8" w14:textId="77777777">
      <w:pPr>
        <w:pStyle w:val="WitregelW1bodytekst"/>
      </w:pPr>
      <w:r w:rsidRPr="005C559B">
        <w:t xml:space="preserve">Antwoord 7: Ja, de Arbeidsinspectie heeft </w:t>
      </w:r>
      <w:r>
        <w:t xml:space="preserve">in het besluitvormingsproces </w:t>
      </w:r>
      <w:r w:rsidRPr="005C559B">
        <w:t>bevestigd dat haar advies zoals verwoord in eerdere beslisnota’s (zie antwoord op vraag 5) ongewijzigd is.</w:t>
      </w:r>
    </w:p>
    <w:p w:rsidRPr="005C559B" w:rsidR="007716E3" w:rsidP="007716E3" w:rsidRDefault="007716E3" w14:paraId="24D11EBF" w14:textId="77777777">
      <w:pPr>
        <w:pStyle w:val="WitregelW1bodytekst"/>
      </w:pPr>
    </w:p>
    <w:p w:rsidRPr="005C559B" w:rsidR="007716E3" w:rsidP="007716E3" w:rsidRDefault="007716E3" w14:paraId="0595430E" w14:textId="77777777">
      <w:pPr>
        <w:pStyle w:val="WitregelW1bodytekst"/>
        <w:rPr>
          <w:b/>
          <w:bCs/>
        </w:rPr>
      </w:pPr>
      <w:r w:rsidRPr="005C559B">
        <w:rPr>
          <w:b/>
          <w:bCs/>
        </w:rPr>
        <w:t>Vraag 8: Met welke organisaties heeft u gesproken in aanloop naar uw besluitvorming?</w:t>
      </w:r>
    </w:p>
    <w:p w:rsidRPr="005C559B" w:rsidR="007716E3" w:rsidP="007716E3" w:rsidRDefault="007716E3" w14:paraId="4A3A365E" w14:textId="77777777">
      <w:pPr>
        <w:pStyle w:val="WitregelW1bodytekst"/>
      </w:pPr>
    </w:p>
    <w:p w:rsidRPr="005C559B" w:rsidR="007716E3" w:rsidP="007716E3" w:rsidRDefault="007716E3" w14:paraId="36449C86" w14:textId="77777777">
      <w:pPr>
        <w:pStyle w:val="WitregelW1bodytekst"/>
      </w:pPr>
      <w:r w:rsidRPr="005C559B">
        <w:t xml:space="preserve">Antwoord 8: Het besluit is kenbaar gemaakt aan de sociale partners in de Stichting van de Arbeid. </w:t>
      </w:r>
      <w:r>
        <w:t xml:space="preserve">Omdat de standpunten van sociale partners zijn opgenomen in de verkenning die is uitgevoerd en daarna nogmaals kenbaar zijn gemaakt via de internetconsultatie van de Algemene maatregel van Bestuur heeft plaatsgevonden, </w:t>
      </w:r>
      <w:r w:rsidRPr="005C559B">
        <w:t xml:space="preserve">heb </w:t>
      </w:r>
      <w:r>
        <w:t xml:space="preserve">ik </w:t>
      </w:r>
      <w:r w:rsidRPr="005C559B">
        <w:t>geen nadere gesprekken gevoerd om te komen tot mijn besluit.</w:t>
      </w:r>
      <w:r w:rsidRPr="005C559B">
        <w:br/>
      </w:r>
    </w:p>
    <w:p w:rsidRPr="005C559B" w:rsidR="007716E3" w:rsidP="007716E3" w:rsidRDefault="007716E3" w14:paraId="01359B7F" w14:textId="77777777">
      <w:pPr>
        <w:pStyle w:val="WitregelW1bodytekst"/>
        <w:rPr>
          <w:b/>
          <w:bCs/>
        </w:rPr>
      </w:pPr>
      <w:r w:rsidRPr="005C559B">
        <w:rPr>
          <w:b/>
          <w:bCs/>
        </w:rPr>
        <w:t>Vraag 9: Welke adviezen hebben deze organisaties u gegeven?</w:t>
      </w:r>
    </w:p>
    <w:p w:rsidR="007716E3" w:rsidP="007716E3" w:rsidRDefault="007716E3" w14:paraId="009B1050" w14:textId="77777777">
      <w:pPr>
        <w:pStyle w:val="WitregelW1bodytekst"/>
      </w:pPr>
    </w:p>
    <w:p w:rsidR="007716E3" w:rsidP="007716E3" w:rsidRDefault="007716E3" w14:paraId="57CD70E1" w14:textId="77777777">
      <w:pPr>
        <w:pStyle w:val="WitregelW1bodytekst"/>
      </w:pPr>
      <w:r>
        <w:t>A</w:t>
      </w:r>
      <w:r w:rsidRPr="005C559B">
        <w:t>ntwoord 9: Ik heb kennis genomen van de standpunten van de organisaties middels de verkenning</w:t>
      </w:r>
      <w:r w:rsidRPr="005C559B">
        <w:rPr>
          <w:vertAlign w:val="superscript"/>
        </w:rPr>
        <w:footnoteReference w:id="8"/>
      </w:r>
      <w:r w:rsidRPr="005C559B">
        <w:t xml:space="preserve"> naar de inhoudingsregeling en de internetconsultatie</w:t>
      </w:r>
      <w:r w:rsidRPr="005C559B">
        <w:rPr>
          <w:vertAlign w:val="superscript"/>
        </w:rPr>
        <w:footnoteReference w:id="9"/>
      </w:r>
      <w:r w:rsidRPr="005C559B">
        <w:t xml:space="preserve"> van de Algemene Maatregel van Bestuur.</w:t>
      </w:r>
    </w:p>
    <w:p w:rsidRPr="0060274B" w:rsidR="007716E3" w:rsidP="007716E3" w:rsidRDefault="007716E3" w14:paraId="7F704654" w14:textId="77777777"/>
    <w:p w:rsidRPr="005C559B" w:rsidR="007716E3" w:rsidP="007716E3" w:rsidRDefault="007716E3" w14:paraId="11470D43" w14:textId="77777777">
      <w:pPr>
        <w:pStyle w:val="WitregelW1bodytekst"/>
        <w:rPr>
          <w:b/>
          <w:bCs/>
        </w:rPr>
      </w:pPr>
      <w:r w:rsidRPr="005C559B">
        <w:rPr>
          <w:b/>
          <w:bCs/>
        </w:rPr>
        <w:t>Vraag 10: Hoe heeft u deze adviezen gewogen?</w:t>
      </w:r>
    </w:p>
    <w:p w:rsidRPr="005C559B" w:rsidR="007716E3" w:rsidP="007716E3" w:rsidRDefault="007716E3" w14:paraId="6DD489D8" w14:textId="77777777">
      <w:pPr>
        <w:pStyle w:val="WitregelW1bodytekst"/>
      </w:pPr>
    </w:p>
    <w:p w:rsidRPr="005C559B" w:rsidR="007716E3" w:rsidP="007716E3" w:rsidRDefault="007716E3" w14:paraId="0DB920C1" w14:textId="77777777">
      <w:pPr>
        <w:pStyle w:val="WitregelW1bodytekst"/>
      </w:pPr>
      <w:r w:rsidRPr="005C559B">
        <w:t xml:space="preserve">Antwoord 10: </w:t>
      </w:r>
      <w:r>
        <w:t xml:space="preserve">Het oordeel is </w:t>
      </w:r>
      <w:r w:rsidRPr="005C559B">
        <w:t xml:space="preserve">dat het afschaffen op dit moment meer nadelen dan voordelen voor de arbeidsmigrant heeft. Gelet op de huidige situatie op de woningmarkt zijn arbeidsmigranten nu </w:t>
      </w:r>
      <w:r>
        <w:t xml:space="preserve">voor hun huisvesting </w:t>
      </w:r>
      <w:r w:rsidRPr="005C559B">
        <w:t xml:space="preserve">vaak afhankelijk van hun werkgever, helemaal als zij nieuw zijn in Nederland. De inhoudingsregeling faciliteert dat werkgevers huisvesting regelen. Daarnaast </w:t>
      </w:r>
      <w:r>
        <w:t xml:space="preserve">blijft het kabinet zich inzetten om de positie van arbeidsmigranten te verbeteren door uitvoering te geven aan </w:t>
      </w:r>
      <w:r w:rsidRPr="005C559B">
        <w:t>verschillende maatregelen van het Aanjaagteam</w:t>
      </w:r>
      <w:r>
        <w:t>, ook</w:t>
      </w:r>
      <w:r w:rsidRPr="005C559B">
        <w:t xml:space="preserve"> op het terrein van huisvesting</w:t>
      </w:r>
      <w:r>
        <w:t xml:space="preserve">. </w:t>
      </w:r>
      <w:r w:rsidRPr="001C0A69">
        <w:t xml:space="preserve">Die maatregelen gaan ervoor zorgen dat op termijn afschaffing van de inhoudingsregeling minder nadelen krijgt en de weging anders uit kan pakken. </w:t>
      </w:r>
    </w:p>
    <w:p w:rsidRPr="005C559B" w:rsidR="007716E3" w:rsidP="007716E3" w:rsidRDefault="007716E3" w14:paraId="122A3434" w14:textId="77777777">
      <w:pPr>
        <w:pStyle w:val="WitregelW1bodytekst"/>
      </w:pPr>
    </w:p>
    <w:p w:rsidRPr="005C559B" w:rsidR="007716E3" w:rsidP="007716E3" w:rsidRDefault="007716E3" w14:paraId="7821692F" w14:textId="77777777">
      <w:pPr>
        <w:pStyle w:val="WitregelW1bodytekst"/>
        <w:rPr>
          <w:b/>
          <w:bCs/>
        </w:rPr>
      </w:pPr>
      <w:bookmarkStart w:name="_Hlk213077446" w:id="1"/>
      <w:r w:rsidRPr="005C559B">
        <w:rPr>
          <w:b/>
          <w:bCs/>
        </w:rPr>
        <w:t xml:space="preserve">Vraag 11: Kunt u aangeven hoe uw besluit zich verhoudt tot de Wet goed </w:t>
      </w:r>
      <w:proofErr w:type="spellStart"/>
      <w:r w:rsidRPr="005C559B">
        <w:rPr>
          <w:b/>
          <w:bCs/>
        </w:rPr>
        <w:t>verhuurderschap</w:t>
      </w:r>
      <w:proofErr w:type="spellEnd"/>
      <w:r w:rsidRPr="005C559B">
        <w:rPr>
          <w:b/>
          <w:bCs/>
        </w:rPr>
        <w:t>, artikel 3, lid a?</w:t>
      </w:r>
    </w:p>
    <w:p w:rsidRPr="005C559B" w:rsidR="007716E3" w:rsidP="007716E3" w:rsidRDefault="007716E3" w14:paraId="34CD160D" w14:textId="77777777">
      <w:pPr>
        <w:pStyle w:val="WitregelW1bodytekst"/>
      </w:pPr>
    </w:p>
    <w:p w:rsidRPr="005C559B" w:rsidR="007716E3" w:rsidP="007716E3" w:rsidRDefault="007716E3" w14:paraId="3AD3D2CE" w14:textId="77777777">
      <w:pPr>
        <w:pStyle w:val="WitregelW1bodytekst"/>
      </w:pPr>
      <w:r w:rsidRPr="005C559B">
        <w:t xml:space="preserve">Antwoord 11: Vermoedelijk wordt hier gedoeld op artikel 2, lid 3 onderdeel a van de Wet </w:t>
      </w:r>
      <w:r>
        <w:t>G</w:t>
      </w:r>
      <w:r w:rsidRPr="005C559B">
        <w:t xml:space="preserve">oed </w:t>
      </w:r>
      <w:proofErr w:type="spellStart"/>
      <w:r>
        <w:t>V</w:t>
      </w:r>
      <w:r w:rsidRPr="005C559B">
        <w:t>erhuurderschap</w:t>
      </w:r>
      <w:proofErr w:type="spellEnd"/>
      <w:r w:rsidRPr="005C559B">
        <w:t xml:space="preserve">. Dit artikel ziet op het afzonderlijk vastleggen van de huurovereenkomst en de arbeidsovereenkomst. Per 1 juli 2023 is de Wet Goed </w:t>
      </w:r>
      <w:proofErr w:type="spellStart"/>
      <w:r w:rsidRPr="005C559B">
        <w:t>Verhuurderschap</w:t>
      </w:r>
      <w:proofErr w:type="spellEnd"/>
      <w:r w:rsidRPr="005C559B">
        <w:t xml:space="preserve"> inwerking getreden. Die wet verplicht verhuurders om, in het geval van verhuur aan arbeidsmigranten, de huurovereenkomst afzonderlijk van </w:t>
      </w:r>
      <w:r w:rsidRPr="005C559B">
        <w:lastRenderedPageBreak/>
        <w:t>de arbeidsovereenkomst vast te leggen. Het doel van het scheiden van de huurovereenkomst en de arbeidsovereenkomst is dat de arbeidsmigrant inzake zijn huisvesting minder afhankelijk wordt van de werkgever. Het kan dan nog steeds zijn dat dezelfde partij deze contracten aanbiedt, maar de scheiding zorgt ervoor als het arbeidscontract wordt beëindigd de huisvesting niet ook per definitie direct beëindigd wordt, omdat er een apart huurcontract is. Dat draagt bij aan een sterkere positie van de arbeidsmigrant.</w:t>
      </w:r>
    </w:p>
    <w:p w:rsidRPr="005C559B" w:rsidR="007716E3" w:rsidP="007716E3" w:rsidRDefault="007716E3" w14:paraId="6B4AF9C2" w14:textId="77777777">
      <w:pPr>
        <w:pStyle w:val="WitregelW1bodytekst"/>
      </w:pPr>
    </w:p>
    <w:p w:rsidR="007716E3" w:rsidP="007716E3" w:rsidRDefault="007716E3" w14:paraId="365C67E9" w14:textId="77777777">
      <w:pPr>
        <w:pStyle w:val="WitregelW1bodytekst"/>
      </w:pPr>
      <w:r w:rsidRPr="005C559B">
        <w:t xml:space="preserve">Deze wetgeving is een goede stap in het minder afhankelijk maken van arbeidsmigranten ten </w:t>
      </w:r>
      <w:r>
        <w:t>opzichte</w:t>
      </w:r>
      <w:r w:rsidRPr="005C559B">
        <w:t xml:space="preserve"> van werkgevers. Het op termijn afschaffen van de inhoudingsmogelijkheid zou een volgende stap kunnen zijn. </w:t>
      </w:r>
      <w:r>
        <w:t>I</w:t>
      </w:r>
      <w:r w:rsidRPr="005C559B">
        <w:t xml:space="preserve">n de </w:t>
      </w:r>
      <w:r>
        <w:t>conclusie op de e</w:t>
      </w:r>
      <w:r w:rsidRPr="005C559B">
        <w:t xml:space="preserve">erder genoemde verkenning </w:t>
      </w:r>
      <w:r>
        <w:t xml:space="preserve">werd </w:t>
      </w:r>
      <w:r w:rsidRPr="005C559B">
        <w:t xml:space="preserve">geconstateerd dat er </w:t>
      </w:r>
      <w:r>
        <w:t xml:space="preserve">eerst </w:t>
      </w:r>
      <w:r w:rsidRPr="005C559B">
        <w:t xml:space="preserve">nog meer stappen op het terrein van huisvesting nodig zijn, alvorens het verantwoord </w:t>
      </w:r>
      <w:r>
        <w:t>is</w:t>
      </w:r>
      <w:r w:rsidRPr="005C559B">
        <w:t xml:space="preserve"> om de inhoudingsregeling voor huisvesting af te schaffen.</w:t>
      </w:r>
    </w:p>
    <w:bookmarkEnd w:id="1"/>
    <w:p w:rsidRPr="005C559B" w:rsidR="007716E3" w:rsidP="007716E3" w:rsidRDefault="007716E3" w14:paraId="120B26CC" w14:textId="77777777">
      <w:pPr>
        <w:pStyle w:val="WitregelW1bodytekst"/>
      </w:pPr>
    </w:p>
    <w:p w:rsidRPr="005C559B" w:rsidR="007716E3" w:rsidP="007716E3" w:rsidRDefault="007716E3" w14:paraId="50DC08B8" w14:textId="77777777">
      <w:pPr>
        <w:pStyle w:val="WitregelW1bodytekst"/>
        <w:rPr>
          <w:b/>
          <w:bCs/>
        </w:rPr>
      </w:pPr>
      <w:r w:rsidRPr="005C559B">
        <w:rPr>
          <w:b/>
          <w:bCs/>
        </w:rPr>
        <w:t>Vraag 12: Kunt u deze vragen een voor een beantwoorden?</w:t>
      </w:r>
    </w:p>
    <w:p w:rsidRPr="005C559B" w:rsidR="007716E3" w:rsidP="007716E3" w:rsidRDefault="007716E3" w14:paraId="244765EB" w14:textId="77777777">
      <w:pPr>
        <w:pStyle w:val="WitregelW1bodytekst"/>
      </w:pPr>
    </w:p>
    <w:p w:rsidR="007716E3" w:rsidP="007716E3" w:rsidRDefault="007716E3" w14:paraId="621DB180" w14:textId="77777777">
      <w:pPr>
        <w:pStyle w:val="WitregelW1bodytekst"/>
      </w:pPr>
      <w:r w:rsidRPr="005C559B">
        <w:t xml:space="preserve">Antwoord 12: Ja. </w:t>
      </w:r>
      <w:r w:rsidRPr="005C559B">
        <w:br/>
      </w:r>
    </w:p>
    <w:p w:rsidRPr="005C559B" w:rsidR="007716E3" w:rsidP="007716E3" w:rsidRDefault="007716E3" w14:paraId="282F6021" w14:textId="77777777"/>
    <w:p w:rsidR="007716E3" w:rsidP="007716E3" w:rsidRDefault="007716E3" w14:paraId="3C87A9A8" w14:textId="77777777">
      <w:r>
        <w:t xml:space="preserve">De Minister van Sociale Zaken </w:t>
      </w:r>
      <w:r>
        <w:br/>
        <w:t>en Werkgelegenheid,</w:t>
      </w:r>
    </w:p>
    <w:p w:rsidR="007716E3" w:rsidP="007716E3" w:rsidRDefault="007716E3" w14:paraId="3B845970" w14:textId="77777777"/>
    <w:p w:rsidR="007716E3" w:rsidP="007716E3" w:rsidRDefault="007716E3" w14:paraId="5F67FB7F" w14:textId="77777777"/>
    <w:p w:rsidR="007716E3" w:rsidP="007716E3" w:rsidRDefault="007716E3" w14:paraId="332820DD" w14:textId="77777777"/>
    <w:p w:rsidR="007716E3" w:rsidP="007716E3" w:rsidRDefault="007716E3" w14:paraId="25817D14" w14:textId="77777777"/>
    <w:p w:rsidR="007716E3" w:rsidP="007716E3" w:rsidRDefault="007716E3" w14:paraId="73A823FB" w14:textId="77777777"/>
    <w:p w:rsidR="007716E3" w:rsidP="007716E3" w:rsidRDefault="007716E3" w14:paraId="14794B79" w14:textId="77777777">
      <w:r>
        <w:t>Mariëlle Paul</w:t>
      </w:r>
    </w:p>
    <w:p w:rsidR="002C3023" w:rsidRDefault="002C3023" w14:paraId="0C511B08" w14:textId="77777777"/>
    <w:sectPr w:rsidR="002C3023" w:rsidSect="007716E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2B87" w14:textId="77777777" w:rsidR="007716E3" w:rsidRDefault="007716E3" w:rsidP="007716E3">
      <w:pPr>
        <w:spacing w:after="0" w:line="240" w:lineRule="auto"/>
      </w:pPr>
      <w:r>
        <w:separator/>
      </w:r>
    </w:p>
  </w:endnote>
  <w:endnote w:type="continuationSeparator" w:id="0">
    <w:p w14:paraId="0D20A246" w14:textId="77777777" w:rsidR="007716E3" w:rsidRDefault="007716E3" w:rsidP="0077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10AD" w14:textId="77777777" w:rsidR="007716E3" w:rsidRPr="007716E3" w:rsidRDefault="007716E3" w:rsidP="007716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FA8F" w14:textId="77777777" w:rsidR="007716E3" w:rsidRPr="007716E3" w:rsidRDefault="007716E3" w:rsidP="007716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C95B" w14:textId="77777777" w:rsidR="007716E3" w:rsidRPr="007716E3" w:rsidRDefault="007716E3" w:rsidP="007716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677" w14:textId="77777777" w:rsidR="007716E3" w:rsidRDefault="007716E3" w:rsidP="007716E3">
      <w:pPr>
        <w:spacing w:after="0" w:line="240" w:lineRule="auto"/>
      </w:pPr>
      <w:r>
        <w:separator/>
      </w:r>
    </w:p>
  </w:footnote>
  <w:footnote w:type="continuationSeparator" w:id="0">
    <w:p w14:paraId="1F396E1E" w14:textId="77777777" w:rsidR="007716E3" w:rsidRDefault="007716E3" w:rsidP="007716E3">
      <w:pPr>
        <w:spacing w:after="0" w:line="240" w:lineRule="auto"/>
      </w:pPr>
      <w:r>
        <w:continuationSeparator/>
      </w:r>
    </w:p>
  </w:footnote>
  <w:footnote w:id="1">
    <w:p w14:paraId="037C8F1C" w14:textId="77777777" w:rsidR="007716E3" w:rsidRPr="005C559B" w:rsidRDefault="007716E3" w:rsidP="007716E3">
      <w:pPr>
        <w:pStyle w:val="Voetnoottekst"/>
        <w:rPr>
          <w:sz w:val="16"/>
          <w:szCs w:val="16"/>
        </w:rPr>
      </w:pPr>
      <w:r w:rsidRPr="005C559B">
        <w:rPr>
          <w:rStyle w:val="Voetnootmarkering"/>
          <w:sz w:val="16"/>
          <w:szCs w:val="16"/>
        </w:rPr>
        <w:footnoteRef/>
      </w:r>
      <w:r w:rsidRPr="005C559B">
        <w:rPr>
          <w:sz w:val="16"/>
          <w:szCs w:val="16"/>
        </w:rPr>
        <w:t xml:space="preserve"> Kamerstuk: 29 861-156, </w:t>
      </w:r>
      <w:hyperlink r:id="rId1"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 w:id="2">
    <w:p w14:paraId="5C8AE8FB" w14:textId="77777777" w:rsidR="007716E3" w:rsidRPr="00790C7A" w:rsidRDefault="007716E3" w:rsidP="007716E3">
      <w:pPr>
        <w:pStyle w:val="Voetnoottekst"/>
      </w:pPr>
      <w:r w:rsidRPr="005C559B">
        <w:rPr>
          <w:rStyle w:val="Voetnootmarkering"/>
          <w:sz w:val="16"/>
          <w:szCs w:val="16"/>
        </w:rPr>
        <w:footnoteRef/>
      </w:r>
      <w:r w:rsidRPr="005C559B">
        <w:rPr>
          <w:sz w:val="16"/>
          <w:szCs w:val="16"/>
        </w:rPr>
        <w:t xml:space="preserve"> Kamerstuk: 29 861-156, </w:t>
      </w:r>
      <w:hyperlink r:id="rId2"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 w:id="3">
    <w:p w14:paraId="5818CDC8" w14:textId="77777777" w:rsidR="007716E3" w:rsidRPr="00790C7A" w:rsidRDefault="007716E3" w:rsidP="007716E3">
      <w:pPr>
        <w:pStyle w:val="Voetnoottekst"/>
      </w:pPr>
      <w:r w:rsidRPr="005C559B">
        <w:rPr>
          <w:rStyle w:val="Voetnootmarkering"/>
          <w:sz w:val="16"/>
          <w:szCs w:val="16"/>
        </w:rPr>
        <w:footnoteRef/>
      </w:r>
      <w:r w:rsidRPr="005C559B">
        <w:rPr>
          <w:sz w:val="16"/>
          <w:szCs w:val="16"/>
        </w:rPr>
        <w:t xml:space="preserve"> Kamerstukken II, 2023/24, 29 861, nr. 125.</w:t>
      </w:r>
    </w:p>
  </w:footnote>
  <w:footnote w:id="4">
    <w:p w14:paraId="4A9B6160" w14:textId="77777777" w:rsidR="007716E3" w:rsidRPr="003A613A" w:rsidRDefault="007716E3" w:rsidP="007716E3">
      <w:pPr>
        <w:pStyle w:val="Voetnoottekst"/>
        <w:rPr>
          <w:sz w:val="16"/>
          <w:szCs w:val="16"/>
        </w:rPr>
      </w:pPr>
      <w:r w:rsidRPr="003A613A">
        <w:rPr>
          <w:rStyle w:val="Voetnootmarkering"/>
          <w:sz w:val="16"/>
          <w:szCs w:val="16"/>
        </w:rPr>
        <w:footnoteRef/>
      </w:r>
      <w:r w:rsidRPr="003A613A">
        <w:rPr>
          <w:sz w:val="16"/>
          <w:szCs w:val="16"/>
        </w:rPr>
        <w:t xml:space="preserve"> Kamerstukken</w:t>
      </w:r>
      <w:r>
        <w:rPr>
          <w:sz w:val="16"/>
          <w:szCs w:val="16"/>
        </w:rPr>
        <w:t xml:space="preserve"> II</w:t>
      </w:r>
      <w:r w:rsidRPr="003A613A">
        <w:rPr>
          <w:sz w:val="16"/>
          <w:szCs w:val="16"/>
        </w:rPr>
        <w:t xml:space="preserve">, </w:t>
      </w:r>
      <w:r>
        <w:rPr>
          <w:sz w:val="16"/>
          <w:szCs w:val="16"/>
        </w:rPr>
        <w:t xml:space="preserve">2025/26, </w:t>
      </w:r>
      <w:r w:rsidRPr="003A613A">
        <w:rPr>
          <w:sz w:val="16"/>
          <w:szCs w:val="16"/>
        </w:rPr>
        <w:t>29</w:t>
      </w:r>
      <w:r>
        <w:rPr>
          <w:sz w:val="16"/>
          <w:szCs w:val="16"/>
        </w:rPr>
        <w:t xml:space="preserve"> </w:t>
      </w:r>
      <w:r w:rsidRPr="003A613A">
        <w:rPr>
          <w:sz w:val="16"/>
          <w:szCs w:val="16"/>
        </w:rPr>
        <w:t>861</w:t>
      </w:r>
      <w:r>
        <w:rPr>
          <w:sz w:val="16"/>
          <w:szCs w:val="16"/>
        </w:rPr>
        <w:t xml:space="preserve">, nr. </w:t>
      </w:r>
      <w:r w:rsidRPr="003A613A">
        <w:rPr>
          <w:sz w:val="16"/>
          <w:szCs w:val="16"/>
        </w:rPr>
        <w:t>171</w:t>
      </w:r>
    </w:p>
  </w:footnote>
  <w:footnote w:id="5">
    <w:p w14:paraId="45F3730C" w14:textId="77777777" w:rsidR="007716E3" w:rsidRPr="00790C7A" w:rsidRDefault="007716E3" w:rsidP="007716E3">
      <w:pPr>
        <w:pStyle w:val="Voetnoottekst"/>
      </w:pPr>
      <w:r w:rsidRPr="005C559B">
        <w:rPr>
          <w:rStyle w:val="Voetnootmarkering"/>
          <w:sz w:val="16"/>
          <w:szCs w:val="16"/>
        </w:rPr>
        <w:footnoteRef/>
      </w:r>
      <w:r w:rsidRPr="005C559B">
        <w:rPr>
          <w:sz w:val="16"/>
          <w:szCs w:val="16"/>
        </w:rPr>
        <w:t xml:space="preserve"> Kamerstuk</w:t>
      </w:r>
      <w:r>
        <w:rPr>
          <w:sz w:val="16"/>
          <w:szCs w:val="16"/>
        </w:rPr>
        <w:t>ken II</w:t>
      </w:r>
      <w:r w:rsidRPr="005C559B">
        <w:rPr>
          <w:sz w:val="16"/>
          <w:szCs w:val="16"/>
        </w:rPr>
        <w:t xml:space="preserve">: </w:t>
      </w:r>
      <w:r>
        <w:rPr>
          <w:sz w:val="16"/>
          <w:szCs w:val="16"/>
        </w:rPr>
        <w:t xml:space="preserve">2024/45, </w:t>
      </w:r>
      <w:r w:rsidRPr="005C559B">
        <w:rPr>
          <w:sz w:val="16"/>
          <w:szCs w:val="16"/>
        </w:rPr>
        <w:t>29 861</w:t>
      </w:r>
      <w:r>
        <w:rPr>
          <w:sz w:val="16"/>
          <w:szCs w:val="16"/>
        </w:rPr>
        <w:t xml:space="preserve">, nr. </w:t>
      </w:r>
      <w:r w:rsidRPr="005C559B">
        <w:rPr>
          <w:sz w:val="16"/>
          <w:szCs w:val="16"/>
        </w:rPr>
        <w:t>156</w:t>
      </w:r>
    </w:p>
  </w:footnote>
  <w:footnote w:id="6">
    <w:p w14:paraId="27915EAA" w14:textId="77777777" w:rsidR="007716E3" w:rsidRPr="005C559B" w:rsidRDefault="007716E3" w:rsidP="007716E3">
      <w:pPr>
        <w:pStyle w:val="Voetnoottekst"/>
        <w:rPr>
          <w:sz w:val="16"/>
          <w:szCs w:val="16"/>
        </w:rPr>
      </w:pPr>
      <w:r w:rsidRPr="005C559B">
        <w:rPr>
          <w:rStyle w:val="Voetnootmarkering"/>
          <w:sz w:val="16"/>
          <w:szCs w:val="16"/>
        </w:rPr>
        <w:footnoteRef/>
      </w:r>
      <w:r w:rsidRPr="005C559B">
        <w:rPr>
          <w:sz w:val="16"/>
          <w:szCs w:val="16"/>
        </w:rPr>
        <w:t xml:space="preserve"> </w:t>
      </w:r>
      <w:hyperlink r:id="rId3" w:history="1">
        <w:r w:rsidRPr="005C559B">
          <w:rPr>
            <w:rStyle w:val="Hyperlink"/>
            <w:sz w:val="16"/>
            <w:szCs w:val="16"/>
          </w:rPr>
          <w:t>Geen tweederangsburgers. Aanbevelingen om misstanden bij arbeidsmigranten in Nederland tegen te gaan | Rapport | Rijksoverheid.nl</w:t>
        </w:r>
      </w:hyperlink>
      <w:r w:rsidRPr="005C559B">
        <w:rPr>
          <w:sz w:val="16"/>
          <w:szCs w:val="16"/>
        </w:rPr>
        <w:t>, pagina 38.</w:t>
      </w:r>
    </w:p>
  </w:footnote>
  <w:footnote w:id="7">
    <w:p w14:paraId="0EE9684B" w14:textId="77777777" w:rsidR="007716E3" w:rsidRPr="005C559B" w:rsidRDefault="007716E3" w:rsidP="007716E3">
      <w:pPr>
        <w:pStyle w:val="Voetnoottekst"/>
        <w:rPr>
          <w:sz w:val="16"/>
          <w:szCs w:val="16"/>
        </w:rPr>
      </w:pPr>
      <w:r w:rsidRPr="005C559B">
        <w:rPr>
          <w:rStyle w:val="Voetnootmarkering"/>
          <w:sz w:val="16"/>
          <w:szCs w:val="16"/>
        </w:rPr>
        <w:footnoteRef/>
      </w:r>
      <w:r w:rsidRPr="005C559B">
        <w:rPr>
          <w:sz w:val="16"/>
          <w:szCs w:val="16"/>
        </w:rPr>
        <w:t xml:space="preserve"> </w:t>
      </w:r>
      <w:hyperlink r:id="rId4" w:history="1">
        <w:r w:rsidRPr="005C559B">
          <w:rPr>
            <w:rStyle w:val="Hyperlink"/>
            <w:sz w:val="16"/>
            <w:szCs w:val="16"/>
          </w:rPr>
          <w:t>Geen tweederangsburgers. Aanbevelingen om misstanden bij arbeidsmigranten in Nederland tegen te gaan | Rapport | Rijksoverheid.nl</w:t>
        </w:r>
      </w:hyperlink>
    </w:p>
  </w:footnote>
  <w:footnote w:id="8">
    <w:p w14:paraId="2B52B221" w14:textId="77777777" w:rsidR="007716E3" w:rsidRPr="005C559B" w:rsidRDefault="007716E3" w:rsidP="007716E3">
      <w:pPr>
        <w:pStyle w:val="Voetnoottekst"/>
        <w:rPr>
          <w:sz w:val="16"/>
          <w:szCs w:val="16"/>
        </w:rPr>
      </w:pPr>
      <w:r w:rsidRPr="005C559B">
        <w:rPr>
          <w:rStyle w:val="Voetnootmarkering"/>
          <w:sz w:val="16"/>
          <w:szCs w:val="16"/>
        </w:rPr>
        <w:footnoteRef/>
      </w:r>
      <w:r w:rsidRPr="005C559B">
        <w:rPr>
          <w:sz w:val="16"/>
          <w:szCs w:val="16"/>
        </w:rPr>
        <w:t xml:space="preserve"> Kamerstuk</w:t>
      </w:r>
      <w:r>
        <w:rPr>
          <w:sz w:val="16"/>
          <w:szCs w:val="16"/>
        </w:rPr>
        <w:t>ken II</w:t>
      </w:r>
      <w:r w:rsidRPr="005C559B">
        <w:rPr>
          <w:sz w:val="16"/>
          <w:szCs w:val="16"/>
        </w:rPr>
        <w:t xml:space="preserve">: </w:t>
      </w:r>
      <w:r>
        <w:rPr>
          <w:sz w:val="16"/>
          <w:szCs w:val="16"/>
        </w:rPr>
        <w:t xml:space="preserve">2024/45, </w:t>
      </w:r>
      <w:r w:rsidRPr="005C559B">
        <w:rPr>
          <w:sz w:val="16"/>
          <w:szCs w:val="16"/>
        </w:rPr>
        <w:t>29 861</w:t>
      </w:r>
      <w:r>
        <w:rPr>
          <w:sz w:val="16"/>
          <w:szCs w:val="16"/>
        </w:rPr>
        <w:t xml:space="preserve">, nr. </w:t>
      </w:r>
      <w:r w:rsidRPr="005C559B">
        <w:rPr>
          <w:sz w:val="16"/>
          <w:szCs w:val="16"/>
        </w:rPr>
        <w:t>156</w:t>
      </w:r>
    </w:p>
  </w:footnote>
  <w:footnote w:id="9">
    <w:p w14:paraId="1E886E43" w14:textId="77777777" w:rsidR="007716E3" w:rsidRPr="00663EE4" w:rsidRDefault="007716E3" w:rsidP="007716E3">
      <w:pPr>
        <w:pStyle w:val="Voetnoottekst"/>
        <w:rPr>
          <w:sz w:val="16"/>
          <w:szCs w:val="16"/>
        </w:rPr>
      </w:pPr>
      <w:r w:rsidRPr="005C559B">
        <w:rPr>
          <w:rStyle w:val="Voetnootmarkering"/>
          <w:sz w:val="16"/>
          <w:szCs w:val="16"/>
        </w:rPr>
        <w:footnoteRef/>
      </w:r>
      <w:r w:rsidRPr="005C559B">
        <w:rPr>
          <w:sz w:val="16"/>
          <w:szCs w:val="16"/>
        </w:rPr>
        <w:t xml:space="preserve"> </w:t>
      </w:r>
      <w:hyperlink r:id="rId5" w:history="1">
        <w:r w:rsidRPr="005C559B">
          <w:rPr>
            <w:rStyle w:val="Hyperlink"/>
            <w:sz w:val="16"/>
            <w:szCs w:val="16"/>
          </w:rPr>
          <w:t>https://www.internetconsultatie.nl/wijzigingbesluitminimumloonenminimumvakantiebijslag/b1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9D84" w14:textId="77777777" w:rsidR="007716E3" w:rsidRPr="007716E3" w:rsidRDefault="007716E3" w:rsidP="007716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396A" w14:textId="77777777" w:rsidR="007716E3" w:rsidRPr="007716E3" w:rsidRDefault="007716E3" w:rsidP="007716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6F7A" w14:textId="77777777" w:rsidR="007716E3" w:rsidRPr="007716E3" w:rsidRDefault="007716E3" w:rsidP="007716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E3"/>
    <w:rsid w:val="002348BA"/>
    <w:rsid w:val="002C3023"/>
    <w:rsid w:val="007716E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2429"/>
  <w15:chartTrackingRefBased/>
  <w15:docId w15:val="{C8F41E0A-6E33-4099-9F0A-E6DC70B9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1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16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16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16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16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6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6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6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6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6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6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6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6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6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6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6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6E3"/>
    <w:rPr>
      <w:rFonts w:eastAsiaTheme="majorEastAsia" w:cstheme="majorBidi"/>
      <w:color w:val="272727" w:themeColor="text1" w:themeTint="D8"/>
    </w:rPr>
  </w:style>
  <w:style w:type="paragraph" w:styleId="Titel">
    <w:name w:val="Title"/>
    <w:basedOn w:val="Standaard"/>
    <w:next w:val="Standaard"/>
    <w:link w:val="TitelChar"/>
    <w:uiPriority w:val="10"/>
    <w:qFormat/>
    <w:rsid w:val="00771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6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6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6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6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6E3"/>
    <w:rPr>
      <w:i/>
      <w:iCs/>
      <w:color w:val="404040" w:themeColor="text1" w:themeTint="BF"/>
    </w:rPr>
  </w:style>
  <w:style w:type="paragraph" w:styleId="Lijstalinea">
    <w:name w:val="List Paragraph"/>
    <w:basedOn w:val="Standaard"/>
    <w:uiPriority w:val="34"/>
    <w:qFormat/>
    <w:rsid w:val="007716E3"/>
    <w:pPr>
      <w:ind w:left="720"/>
      <w:contextualSpacing/>
    </w:pPr>
  </w:style>
  <w:style w:type="character" w:styleId="Intensievebenadrukking">
    <w:name w:val="Intense Emphasis"/>
    <w:basedOn w:val="Standaardalinea-lettertype"/>
    <w:uiPriority w:val="21"/>
    <w:qFormat/>
    <w:rsid w:val="007716E3"/>
    <w:rPr>
      <w:i/>
      <w:iCs/>
      <w:color w:val="0F4761" w:themeColor="accent1" w:themeShade="BF"/>
    </w:rPr>
  </w:style>
  <w:style w:type="paragraph" w:styleId="Duidelijkcitaat">
    <w:name w:val="Intense Quote"/>
    <w:basedOn w:val="Standaard"/>
    <w:next w:val="Standaard"/>
    <w:link w:val="DuidelijkcitaatChar"/>
    <w:uiPriority w:val="30"/>
    <w:qFormat/>
    <w:rsid w:val="00771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16E3"/>
    <w:rPr>
      <w:i/>
      <w:iCs/>
      <w:color w:val="0F4761" w:themeColor="accent1" w:themeShade="BF"/>
    </w:rPr>
  </w:style>
  <w:style w:type="character" w:styleId="Intensieveverwijzing">
    <w:name w:val="Intense Reference"/>
    <w:basedOn w:val="Standaardalinea-lettertype"/>
    <w:uiPriority w:val="32"/>
    <w:qFormat/>
    <w:rsid w:val="007716E3"/>
    <w:rPr>
      <w:b/>
      <w:bCs/>
      <w:smallCaps/>
      <w:color w:val="0F4761" w:themeColor="accent1" w:themeShade="BF"/>
      <w:spacing w:val="5"/>
    </w:rPr>
  </w:style>
  <w:style w:type="character" w:styleId="Hyperlink">
    <w:name w:val="Hyperlink"/>
    <w:basedOn w:val="Standaardalinea-lettertype"/>
    <w:uiPriority w:val="99"/>
    <w:unhideWhenUsed/>
    <w:rsid w:val="007716E3"/>
    <w:rPr>
      <w:color w:val="467886" w:themeColor="hyperlink"/>
      <w:u w:val="single"/>
    </w:rPr>
  </w:style>
  <w:style w:type="paragraph" w:styleId="Koptekst">
    <w:name w:val="header"/>
    <w:basedOn w:val="Standaard"/>
    <w:next w:val="Standaard"/>
    <w:link w:val="KoptekstChar"/>
    <w:rsid w:val="007716E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716E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716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716E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716E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16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16E3"/>
    <w:rPr>
      <w:rFonts w:ascii="Verdana" w:eastAsia="DejaVu Sans" w:hAnsi="Verdana" w:cs="Lohit Hindi"/>
      <w:color w:val="000000"/>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7716E3"/>
    <w:rPr>
      <w:vertAlign w:val="superscript"/>
    </w:rPr>
  </w:style>
  <w:style w:type="paragraph" w:styleId="Geenafstand">
    <w:name w:val="No Spacing"/>
    <w:uiPriority w:val="1"/>
    <w:qFormat/>
    <w:rsid w:val="0077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0/10/30/tweede-advies-aanjaagteam-bescherming-arbeidsmigranten" TargetMode="External"/><Relationship Id="rId2" Type="http://schemas.openxmlformats.org/officeDocument/2006/relationships/hyperlink" Target="https://www.rijksoverheid.nl/documenten/kamerstukken/2025/02/06/kamerbrief-verkenning-inhoudingen-op-het-minimumloon-ten-behoeve-van-huisvesting-en-zorg" TargetMode="External"/><Relationship Id="rId1" Type="http://schemas.openxmlformats.org/officeDocument/2006/relationships/hyperlink" Target="https://www.rijksoverheid.nl/documenten/kamerstukken/2025/02/06/kamerbrief-verkenning-inhoudingen-op-het-minimumloon-ten-behoeve-van-huisvesting-en-zorg" TargetMode="External"/><Relationship Id="rId5" Type="http://schemas.openxmlformats.org/officeDocument/2006/relationships/hyperlink" Target="https://www.internetconsultatie.nl/wijzigingbesluitminimumloonenminimumvakantiebijslag/b1" TargetMode="External"/><Relationship Id="rId4" Type="http://schemas.openxmlformats.org/officeDocument/2006/relationships/hyperlink" Target="https://www.rijksoverheid.nl/documenten/rapporten/2020/10/30/tweede-advies-aanjaagteam-bescherming-arbeidsmigr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1822</ap:Words>
  <ap:Characters>10026</ap:Characters>
  <ap:DocSecurity>0</ap:DocSecurity>
  <ap:Lines>83</ap:Lines>
  <ap:Paragraphs>23</ap:Paragraphs>
  <ap:ScaleCrop>false</ap:ScaleCrop>
  <ap:LinksUpToDate>false</ap:LinksUpToDate>
  <ap:CharactersWithSpaces>11825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2025-11-20T16:03:00.0000000Z</dcterms:created>
  <dcterms:modified xsi:type="dcterms:W3CDTF">2025-11-20T16:04:00.0000000Z</dcterms:modified>
  <version/>
  <category/>
</coreProperties>
</file>