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0A30" w:rsidR="00773C0D" w:rsidP="00E13D83" w:rsidRDefault="00254ADE" w14:paraId="51D639C7" w14:textId="377530EC">
      <w:pPr>
        <w:spacing w:line="276" w:lineRule="auto"/>
        <w:rPr>
          <w:rFonts w:ascii="Verdana" w:hAnsi="Verdana"/>
          <w:b/>
          <w:bCs/>
          <w:i/>
          <w:iCs/>
          <w:color w:val="000000" w:themeColor="text1"/>
          <w:sz w:val="18"/>
          <w:szCs w:val="18"/>
        </w:rPr>
      </w:pPr>
      <w:r w:rsidRPr="00F30A30">
        <w:rPr>
          <w:rFonts w:ascii="Verdana" w:hAnsi="Verdana"/>
          <w:b/>
          <w:bCs/>
          <w:i/>
          <w:iCs/>
          <w:color w:val="000000" w:themeColor="text1"/>
          <w:sz w:val="18"/>
          <w:szCs w:val="18"/>
        </w:rPr>
        <w:t>EU-wetgevingsonderhandelingen EZ</w:t>
      </w:r>
    </w:p>
    <w:p w:rsidR="00773C0D" w:rsidP="6C90CE44" w:rsidRDefault="00773C0D" w14:paraId="048EC2DF" w14:textId="0DBD7D61">
      <w:pPr>
        <w:spacing w:line="276" w:lineRule="auto"/>
        <w:rPr>
          <w:rFonts w:ascii="Verdana" w:hAnsi="Verdana" w:eastAsia="Verdana" w:cs="Verdana"/>
          <w:sz w:val="18"/>
          <w:szCs w:val="18"/>
        </w:rPr>
      </w:pPr>
      <w:r w:rsidRPr="1AF64579">
        <w:rPr>
          <w:rFonts w:ascii="Verdana" w:hAnsi="Verdana"/>
          <w:b/>
          <w:bCs/>
          <w:color w:val="000000" w:themeColor="text1"/>
          <w:sz w:val="18"/>
          <w:szCs w:val="18"/>
        </w:rPr>
        <w:t>Kwartaal</w:t>
      </w:r>
      <w:r w:rsidRPr="1AF64579" w:rsidR="00254ADE">
        <w:rPr>
          <w:rFonts w:ascii="Verdana" w:hAnsi="Verdana"/>
          <w:b/>
          <w:bCs/>
          <w:color w:val="000000" w:themeColor="text1"/>
          <w:sz w:val="18"/>
          <w:szCs w:val="18"/>
        </w:rPr>
        <w:t>rapportage,</w:t>
      </w:r>
      <w:r w:rsidRPr="1AF64579" w:rsidR="31F50F10">
        <w:rPr>
          <w:rFonts w:ascii="Verdana" w:hAnsi="Verdana" w:eastAsia="Verdana" w:cs="Verdana"/>
          <w:b/>
          <w:bCs/>
          <w:color w:val="000000" w:themeColor="text1"/>
          <w:sz w:val="18"/>
          <w:szCs w:val="18"/>
        </w:rPr>
        <w:t xml:space="preserve"> </w:t>
      </w:r>
      <w:r w:rsidR="00651124">
        <w:rPr>
          <w:rFonts w:ascii="Verdana" w:hAnsi="Verdana" w:eastAsia="Verdana" w:cs="Verdana"/>
          <w:b/>
          <w:bCs/>
          <w:color w:val="000000" w:themeColor="text1"/>
          <w:sz w:val="18"/>
          <w:szCs w:val="18"/>
        </w:rPr>
        <w:t>derde</w:t>
      </w:r>
      <w:r w:rsidRPr="1AF64579" w:rsidR="00651124">
        <w:rPr>
          <w:rFonts w:ascii="Verdana" w:hAnsi="Verdana" w:eastAsia="Verdana" w:cs="Verdana"/>
          <w:b/>
          <w:bCs/>
          <w:color w:val="000000" w:themeColor="text1"/>
          <w:sz w:val="18"/>
          <w:szCs w:val="18"/>
        </w:rPr>
        <w:t xml:space="preserve"> </w:t>
      </w:r>
      <w:r w:rsidRPr="1AF64579" w:rsidR="000D5067">
        <w:rPr>
          <w:rFonts w:ascii="Verdana" w:hAnsi="Verdana" w:eastAsia="Verdana" w:cs="Verdana"/>
          <w:b/>
          <w:bCs/>
          <w:color w:val="000000" w:themeColor="text1"/>
          <w:sz w:val="18"/>
          <w:szCs w:val="18"/>
        </w:rPr>
        <w:t>kwartaal</w:t>
      </w:r>
      <w:r w:rsidRPr="1AF64579" w:rsidR="00410E3F">
        <w:rPr>
          <w:rFonts w:ascii="Verdana" w:hAnsi="Verdana" w:eastAsia="Verdana" w:cs="Verdana"/>
          <w:b/>
          <w:bCs/>
          <w:color w:val="000000" w:themeColor="text1"/>
          <w:sz w:val="18"/>
          <w:szCs w:val="18"/>
        </w:rPr>
        <w:t xml:space="preserve"> 2025</w:t>
      </w:r>
    </w:p>
    <w:p w:rsidR="6C90CE44" w:rsidP="6C90CE44" w:rsidRDefault="6C90CE44" w14:paraId="0B311BC4" w14:textId="792F363E">
      <w:pPr>
        <w:spacing w:line="276" w:lineRule="auto"/>
        <w:rPr>
          <w:rFonts w:ascii="Verdana" w:hAnsi="Verdana"/>
          <w:b/>
          <w:bCs/>
          <w:color w:val="000000" w:themeColor="text1"/>
          <w:sz w:val="18"/>
          <w:szCs w:val="18"/>
        </w:rPr>
      </w:pPr>
    </w:p>
    <w:p w:rsidRPr="00453026" w:rsidR="00453026" w:rsidP="00E13D83" w:rsidRDefault="00453026" w14:paraId="3F594647" w14:textId="77777777">
      <w:pPr>
        <w:spacing w:line="276" w:lineRule="auto"/>
        <w:rPr>
          <w:rFonts w:ascii="Verdana" w:hAnsi="Verdana"/>
          <w:b/>
          <w:bCs/>
          <w:i/>
          <w:iCs/>
          <w:color w:val="000000" w:themeColor="text1"/>
          <w:sz w:val="18"/>
          <w:szCs w:val="18"/>
        </w:rPr>
      </w:pPr>
    </w:p>
    <w:tbl>
      <w:tblPr>
        <w:tblW w:w="14756" w:type="dxa"/>
        <w:jc w:val="center"/>
        <w:tblLayout w:type="fixed"/>
        <w:tblCellMar>
          <w:left w:w="0" w:type="dxa"/>
          <w:right w:w="0" w:type="dxa"/>
        </w:tblCellMar>
        <w:tblLook w:val="04A0" w:firstRow="1" w:lastRow="0" w:firstColumn="1" w:lastColumn="0" w:noHBand="0" w:noVBand="1"/>
      </w:tblPr>
      <w:tblGrid>
        <w:gridCol w:w="2547"/>
        <w:gridCol w:w="1675"/>
        <w:gridCol w:w="6360"/>
        <w:gridCol w:w="4102"/>
        <w:gridCol w:w="39"/>
        <w:gridCol w:w="33"/>
      </w:tblGrid>
      <w:tr w:rsidRPr="00F30A30" w:rsidR="00A94B76" w:rsidTr="00950356" w14:paraId="7C3EA7FB" w14:textId="77777777">
        <w:trPr>
          <w:trHeight w:val="453"/>
          <w:jc w:val="center"/>
        </w:trPr>
        <w:tc>
          <w:tcPr>
            <w:tcW w:w="2547" w:type="dxa"/>
            <w:tcBorders>
              <w:top w:val="single" w:color="auto" w:sz="8" w:space="0"/>
              <w:left w:val="single" w:color="auto" w:sz="4" w:space="0"/>
              <w:bottom w:val="single" w:color="auto" w:sz="8" w:space="0"/>
              <w:right w:val="single" w:color="auto" w:sz="4" w:space="0"/>
            </w:tcBorders>
            <w:shd w:val="clear" w:color="auto" w:fill="5B9BD5" w:themeFill="accent5"/>
          </w:tcPr>
          <w:p w:rsidRPr="00F30A30" w:rsidR="00C63902" w:rsidP="00E13D83" w:rsidRDefault="00C63902" w14:paraId="1F0C7755" w14:textId="1E17463D">
            <w:pPr>
              <w:spacing w:line="276" w:lineRule="auto"/>
              <w:rPr>
                <w:rFonts w:ascii="Verdana" w:hAnsi="Verdana"/>
                <w:b/>
                <w:bCs/>
                <w:color w:val="000000" w:themeColor="text1"/>
                <w:sz w:val="18"/>
                <w:szCs w:val="18"/>
              </w:rPr>
            </w:pPr>
            <w:bookmarkStart w:name="_Hlk84500630" w:id="0"/>
            <w:r w:rsidRPr="00F30A30">
              <w:rPr>
                <w:rFonts w:ascii="Verdana" w:hAnsi="Verdana"/>
                <w:b/>
                <w:bCs/>
                <w:color w:val="000000" w:themeColor="text1"/>
                <w:sz w:val="18"/>
                <w:szCs w:val="18"/>
              </w:rPr>
              <w:t>Titel</w:t>
            </w:r>
          </w:p>
        </w:tc>
        <w:tc>
          <w:tcPr>
            <w:tcW w:w="1675" w:type="dxa"/>
            <w:tcBorders>
              <w:top w:val="single" w:color="auto" w:sz="8" w:space="0"/>
              <w:left w:val="single" w:color="auto" w:sz="4" w:space="0"/>
              <w:bottom w:val="single" w:color="auto" w:sz="8" w:space="0"/>
              <w:right w:val="single" w:color="auto" w:sz="4" w:space="0"/>
            </w:tcBorders>
            <w:shd w:val="clear" w:color="auto" w:fill="5B9BD5" w:themeFill="accent5"/>
          </w:tcPr>
          <w:p w:rsidRPr="00F30A30" w:rsidR="00C63902" w:rsidP="00E13D83" w:rsidRDefault="00C63902" w14:paraId="3C4AB16D" w14:textId="7D4AC165">
            <w:pPr>
              <w:spacing w:line="276" w:lineRule="auto"/>
              <w:rPr>
                <w:rFonts w:ascii="Verdana" w:hAnsi="Verdana"/>
                <w:b/>
                <w:bCs/>
                <w:color w:val="000000" w:themeColor="text1"/>
                <w:sz w:val="18"/>
                <w:szCs w:val="18"/>
              </w:rPr>
            </w:pPr>
            <w:r w:rsidRPr="00F30A30">
              <w:rPr>
                <w:rFonts w:ascii="Verdana" w:hAnsi="Verdana"/>
                <w:b/>
                <w:bCs/>
                <w:color w:val="000000" w:themeColor="text1"/>
                <w:sz w:val="18"/>
                <w:szCs w:val="18"/>
              </w:rPr>
              <w:t>Document nummer</w:t>
            </w:r>
          </w:p>
        </w:tc>
        <w:tc>
          <w:tcPr>
            <w:tcW w:w="6360" w:type="dxa"/>
            <w:tcBorders>
              <w:top w:val="single" w:color="auto" w:sz="8" w:space="0"/>
              <w:left w:val="single" w:color="auto" w:sz="4" w:space="0"/>
              <w:bottom w:val="single" w:color="auto" w:sz="8" w:space="0"/>
              <w:right w:val="single" w:color="auto" w:sz="4" w:space="0"/>
            </w:tcBorders>
            <w:shd w:val="clear" w:color="auto" w:fill="5B9BD5" w:themeFill="accent5"/>
          </w:tcPr>
          <w:p w:rsidRPr="00F30A30" w:rsidR="00C63902" w:rsidP="00E13D83" w:rsidRDefault="00C63902" w14:paraId="18856942" w14:textId="37EA2871">
            <w:pPr>
              <w:spacing w:line="276" w:lineRule="auto"/>
              <w:rPr>
                <w:rFonts w:ascii="Verdana" w:hAnsi="Verdana"/>
                <w:b/>
                <w:bCs/>
                <w:color w:val="000000" w:themeColor="text1"/>
                <w:sz w:val="18"/>
                <w:szCs w:val="18"/>
              </w:rPr>
            </w:pPr>
            <w:r w:rsidRPr="00F30A30">
              <w:rPr>
                <w:rFonts w:ascii="Verdana" w:hAnsi="Verdana"/>
                <w:b/>
                <w:bCs/>
                <w:color w:val="000000" w:themeColor="text1"/>
                <w:sz w:val="18"/>
                <w:szCs w:val="18"/>
              </w:rPr>
              <w:t>Korte beschrijving</w:t>
            </w:r>
          </w:p>
        </w:tc>
        <w:tc>
          <w:tcPr>
            <w:tcW w:w="4102" w:type="dxa"/>
            <w:tcBorders>
              <w:top w:val="single" w:color="auto" w:sz="8" w:space="0"/>
              <w:left w:val="single" w:color="auto" w:sz="4" w:space="0"/>
              <w:bottom w:val="single" w:color="auto" w:sz="8" w:space="0"/>
              <w:right w:val="single" w:color="auto" w:sz="4" w:space="0"/>
            </w:tcBorders>
            <w:shd w:val="clear" w:color="auto" w:fill="5B9BD5" w:themeFill="accent5"/>
          </w:tcPr>
          <w:p w:rsidRPr="00F30A30" w:rsidR="00C63902" w:rsidP="00E13D83" w:rsidRDefault="00C63902" w14:paraId="7A519714" w14:textId="5828A2A7">
            <w:pPr>
              <w:spacing w:line="276" w:lineRule="auto"/>
              <w:rPr>
                <w:rFonts w:ascii="Verdana" w:hAnsi="Verdana"/>
                <w:b/>
                <w:bCs/>
                <w:color w:val="000000" w:themeColor="text1"/>
                <w:sz w:val="18"/>
                <w:szCs w:val="18"/>
              </w:rPr>
            </w:pPr>
            <w:r w:rsidRPr="00F30A30">
              <w:rPr>
                <w:rFonts w:ascii="Verdana" w:hAnsi="Verdana"/>
                <w:b/>
                <w:bCs/>
                <w:color w:val="000000" w:themeColor="text1"/>
                <w:sz w:val="18"/>
                <w:szCs w:val="18"/>
              </w:rPr>
              <w:t>Stand van Zaken</w:t>
            </w:r>
          </w:p>
        </w:tc>
        <w:tc>
          <w:tcPr>
            <w:tcW w:w="39" w:type="dxa"/>
          </w:tcPr>
          <w:p w:rsidRPr="00F30A30" w:rsidR="00C63902" w:rsidP="00E13D83" w:rsidRDefault="00C63902" w14:paraId="5F1CAD35" w14:textId="2C99DC53">
            <w:pPr>
              <w:spacing w:line="276" w:lineRule="auto"/>
              <w:rPr>
                <w:rFonts w:ascii="Verdana" w:hAnsi="Verdana"/>
                <w:color w:val="000000" w:themeColor="text1"/>
                <w:sz w:val="18"/>
                <w:szCs w:val="18"/>
              </w:rPr>
            </w:pPr>
          </w:p>
        </w:tc>
        <w:tc>
          <w:tcPr>
            <w:tcW w:w="33" w:type="dxa"/>
            <w:vAlign w:val="center"/>
            <w:hideMark/>
          </w:tcPr>
          <w:p w:rsidRPr="00F30A30" w:rsidR="00C63902" w:rsidP="00E13D83" w:rsidRDefault="00C63902" w14:paraId="3593A571" w14:textId="2105305A">
            <w:pPr>
              <w:spacing w:line="276" w:lineRule="auto"/>
              <w:rPr>
                <w:rFonts w:ascii="Verdana" w:hAnsi="Verdana"/>
                <w:color w:val="000000" w:themeColor="text1"/>
                <w:sz w:val="18"/>
                <w:szCs w:val="18"/>
              </w:rPr>
            </w:pPr>
            <w:r w:rsidRPr="00F30A30">
              <w:rPr>
                <w:rFonts w:ascii="Verdana" w:hAnsi="Verdana"/>
                <w:color w:val="000000" w:themeColor="text1"/>
                <w:sz w:val="18"/>
                <w:szCs w:val="18"/>
              </w:rPr>
              <w:t> </w:t>
            </w:r>
          </w:p>
        </w:tc>
      </w:tr>
      <w:tr w:rsidRPr="00F30A30" w:rsidR="00E42004" w:rsidTr="00950356" w14:paraId="328BA66C" w14:textId="77777777">
        <w:trPr>
          <w:gridAfter w:val="2"/>
          <w:wAfter w:w="72" w:type="dxa"/>
          <w:trHeight w:val="1399"/>
          <w:jc w:val="center"/>
        </w:trPr>
        <w:tc>
          <w:tcPr>
            <w:tcW w:w="2547" w:type="dxa"/>
            <w:tcBorders>
              <w:top w:val="single" w:color="auto" w:sz="4" w:space="0"/>
              <w:left w:val="single" w:color="auto" w:sz="4" w:space="0"/>
              <w:bottom w:val="single" w:color="auto" w:sz="4" w:space="0"/>
              <w:right w:val="single" w:color="auto" w:sz="4" w:space="0"/>
            </w:tcBorders>
          </w:tcPr>
          <w:p w:rsidRPr="00F30A30" w:rsidR="00E42004" w:rsidP="00E13D83" w:rsidRDefault="00E42004" w14:paraId="3A43A2BB" w14:textId="2031FD9A">
            <w:pPr>
              <w:spacing w:line="276" w:lineRule="auto"/>
              <w:rPr>
                <w:rFonts w:ascii="Verdana" w:hAnsi="Verdana"/>
                <w:b/>
                <w:bCs/>
                <w:color w:val="000000" w:themeColor="text1"/>
                <w:sz w:val="18"/>
                <w:szCs w:val="18"/>
              </w:rPr>
            </w:pPr>
            <w:bookmarkStart w:name="_Hlk130213396" w:id="1"/>
            <w:bookmarkEnd w:id="0"/>
            <w:r w:rsidRPr="1AF64579">
              <w:rPr>
                <w:rFonts w:ascii="Verdana" w:hAnsi="Verdana"/>
                <w:b/>
                <w:bCs/>
                <w:sz w:val="18"/>
                <w:szCs w:val="18"/>
              </w:rPr>
              <w:t>Verordening betreffende Europese statistieken over bevolking en huisvesting</w:t>
            </w:r>
            <w:bookmarkEnd w:id="1"/>
          </w:p>
        </w:tc>
        <w:tc>
          <w:tcPr>
            <w:tcW w:w="1675" w:type="dxa"/>
            <w:tcBorders>
              <w:top w:val="single" w:color="auto" w:sz="4" w:space="0"/>
              <w:left w:val="single" w:color="auto" w:sz="4" w:space="0"/>
              <w:bottom w:val="single" w:color="auto" w:sz="4" w:space="0"/>
              <w:right w:val="single" w:color="auto" w:sz="4" w:space="0"/>
            </w:tcBorders>
          </w:tcPr>
          <w:p w:rsidRPr="00E13D83" w:rsidR="00E42004" w:rsidP="00E13D83" w:rsidRDefault="00E42004" w14:paraId="4FC6C35D" w14:textId="0D10CF70">
            <w:pPr>
              <w:spacing w:line="276" w:lineRule="auto"/>
              <w:rPr>
                <w:rFonts w:ascii="Verdana" w:hAnsi="Verdana"/>
                <w:sz w:val="18"/>
                <w:szCs w:val="18"/>
              </w:rPr>
            </w:pPr>
            <w:r w:rsidRPr="00F30A30">
              <w:rPr>
                <w:rFonts w:ascii="Verdana" w:hAnsi="Verdana"/>
                <w:sz w:val="18"/>
                <w:szCs w:val="18"/>
              </w:rPr>
              <w:t>COM(2023)31</w:t>
            </w:r>
          </w:p>
        </w:tc>
        <w:tc>
          <w:tcPr>
            <w:tcW w:w="6360" w:type="dxa"/>
            <w:tcBorders>
              <w:top w:val="single" w:color="auto" w:sz="4" w:space="0"/>
              <w:left w:val="single" w:color="auto" w:sz="4" w:space="0"/>
              <w:bottom w:val="single" w:color="auto" w:sz="4" w:space="0"/>
              <w:right w:val="single" w:color="auto" w:sz="4" w:space="0"/>
            </w:tcBorders>
          </w:tcPr>
          <w:p w:rsidRPr="00F30A30" w:rsidR="00E42004" w:rsidP="00E13D83" w:rsidRDefault="00E42004" w14:paraId="1741A20D" w14:textId="5AF596A6">
            <w:pPr>
              <w:spacing w:line="276" w:lineRule="auto"/>
              <w:rPr>
                <w:rFonts w:ascii="Verdana" w:hAnsi="Verdana"/>
                <w:color w:val="000000" w:themeColor="text1"/>
                <w:sz w:val="18"/>
                <w:szCs w:val="18"/>
              </w:rPr>
            </w:pPr>
            <w:r w:rsidRPr="002900DB">
              <w:rPr>
                <w:rFonts w:ascii="Verdana" w:hAnsi="Verdana"/>
                <w:color w:val="000000"/>
                <w:sz w:val="18"/>
                <w:szCs w:val="18"/>
              </w:rPr>
              <w:t>Het voorstel betreft een verordening voor een gemeenschappelijk rechtskader voor de ontwikkeling, productie en verspreiding van Europese statistieken over bevolking en huisvesting.</w:t>
            </w:r>
          </w:p>
        </w:tc>
        <w:tc>
          <w:tcPr>
            <w:tcW w:w="4102" w:type="dxa"/>
            <w:tcBorders>
              <w:top w:val="single" w:color="auto" w:sz="4" w:space="0"/>
              <w:left w:val="single" w:color="auto" w:sz="4" w:space="0"/>
              <w:bottom w:val="single" w:color="auto" w:sz="4" w:space="0"/>
              <w:right w:val="single" w:color="auto" w:sz="4" w:space="0"/>
            </w:tcBorders>
          </w:tcPr>
          <w:p w:rsidRPr="00F30A30" w:rsidR="00E42004" w:rsidP="00E13D83" w:rsidRDefault="614F3C0A" w14:paraId="4BF28957" w14:textId="156D1EBB">
            <w:pPr>
              <w:spacing w:line="276" w:lineRule="auto"/>
              <w:rPr>
                <w:rFonts w:ascii="Verdana" w:hAnsi="Verdana" w:eastAsia="Times New Roman"/>
                <w:sz w:val="18"/>
                <w:szCs w:val="18"/>
              </w:rPr>
            </w:pPr>
            <w:r w:rsidRPr="1AF64579">
              <w:rPr>
                <w:rFonts w:ascii="Verdana" w:hAnsi="Verdana" w:eastAsia="Verdana" w:cs="Verdana"/>
                <w:sz w:val="18"/>
                <w:szCs w:val="18"/>
              </w:rPr>
              <w:t xml:space="preserve">De onderhandelingen in triloog zijn afgerond en er is een politiek akkoord bereikt tussen de Commissie, de Raad en het Europees Parlement. Het voorstel zit in de afrondende procedurele fase. </w:t>
            </w:r>
          </w:p>
        </w:tc>
      </w:tr>
      <w:tr w:rsidRPr="00F30A30" w:rsidR="00E42004" w:rsidTr="00950356" w14:paraId="020C6D9A" w14:textId="77777777">
        <w:trPr>
          <w:gridAfter w:val="2"/>
          <w:wAfter w:w="72" w:type="dxa"/>
          <w:trHeight w:val="1263"/>
          <w:jc w:val="center"/>
        </w:trPr>
        <w:tc>
          <w:tcPr>
            <w:tcW w:w="2547" w:type="dxa"/>
            <w:tcBorders>
              <w:top w:val="single" w:color="auto" w:sz="4" w:space="0"/>
              <w:left w:val="single" w:color="auto" w:sz="4" w:space="0"/>
              <w:bottom w:val="single" w:color="auto" w:sz="4" w:space="0"/>
              <w:right w:val="single" w:color="auto" w:sz="4" w:space="0"/>
            </w:tcBorders>
          </w:tcPr>
          <w:p w:rsidRPr="002B138A" w:rsidR="00E42004" w:rsidP="00E13D83" w:rsidRDefault="00E42004" w14:paraId="6A51AB8B" w14:textId="4A1E5F49">
            <w:pPr>
              <w:spacing w:line="276" w:lineRule="auto"/>
              <w:rPr>
                <w:rFonts w:ascii="Verdana" w:hAnsi="Verdana"/>
                <w:b/>
                <w:bCs/>
                <w:sz w:val="18"/>
                <w:szCs w:val="18"/>
              </w:rPr>
            </w:pPr>
            <w:r w:rsidRPr="1AF64579">
              <w:rPr>
                <w:rFonts w:ascii="Verdana" w:hAnsi="Verdana"/>
                <w:b/>
                <w:bCs/>
                <w:sz w:val="18"/>
                <w:szCs w:val="18"/>
              </w:rPr>
              <w:t>Verordeningen aanvullende beschermingscertificaten (ABC’s)</w:t>
            </w:r>
          </w:p>
        </w:tc>
        <w:tc>
          <w:tcPr>
            <w:tcW w:w="1675" w:type="dxa"/>
            <w:tcBorders>
              <w:top w:val="single" w:color="auto" w:sz="4" w:space="0"/>
              <w:left w:val="single" w:color="auto" w:sz="4" w:space="0"/>
              <w:bottom w:val="single" w:color="auto" w:sz="4" w:space="0"/>
              <w:right w:val="single" w:color="auto" w:sz="4" w:space="0"/>
            </w:tcBorders>
          </w:tcPr>
          <w:p w:rsidRPr="00F30A30" w:rsidR="00E42004" w:rsidP="00E13D83" w:rsidRDefault="00E42004" w14:paraId="5A2EF678" w14:textId="7080BD7A">
            <w:pPr>
              <w:spacing w:line="276" w:lineRule="auto"/>
              <w:rPr>
                <w:rFonts w:ascii="Verdana" w:hAnsi="Verdana"/>
                <w:sz w:val="18"/>
                <w:szCs w:val="18"/>
              </w:rPr>
            </w:pPr>
            <w:r>
              <w:rPr>
                <w:rFonts w:ascii="Verdana" w:hAnsi="Verdana"/>
                <w:sz w:val="18"/>
                <w:szCs w:val="18"/>
              </w:rPr>
              <w:t>COM(2023)221, COM(2023)222, COM(2023)223, COM(2023)231</w:t>
            </w:r>
          </w:p>
        </w:tc>
        <w:tc>
          <w:tcPr>
            <w:tcW w:w="6360" w:type="dxa"/>
            <w:tcBorders>
              <w:top w:val="single" w:color="auto" w:sz="4" w:space="0"/>
              <w:left w:val="single" w:color="auto" w:sz="4" w:space="0"/>
              <w:bottom w:val="single" w:color="auto" w:sz="4" w:space="0"/>
              <w:right w:val="single" w:color="auto" w:sz="4" w:space="0"/>
            </w:tcBorders>
          </w:tcPr>
          <w:p w:rsidRPr="00F30A30" w:rsidR="00E42004" w:rsidP="00E13D83" w:rsidRDefault="00E42004" w14:paraId="56B246EA" w14:textId="02E183D7">
            <w:pPr>
              <w:spacing w:line="276" w:lineRule="auto"/>
              <w:rPr>
                <w:rFonts w:ascii="Verdana" w:hAnsi="Verdana"/>
                <w:color w:val="000000"/>
                <w:sz w:val="18"/>
                <w:szCs w:val="18"/>
              </w:rPr>
            </w:pPr>
            <w:r>
              <w:rPr>
                <w:rFonts w:ascii="Verdana" w:hAnsi="Verdana" w:cs="Verdana"/>
                <w:sz w:val="18"/>
                <w:szCs w:val="18"/>
              </w:rPr>
              <w:t>Aanvullende beschermingscertificaten (ABC’s)</w:t>
            </w:r>
            <w:r w:rsidRPr="00CC4AC4">
              <w:rPr>
                <w:rFonts w:ascii="Verdana" w:hAnsi="Verdana" w:cs="Verdana"/>
                <w:sz w:val="18"/>
                <w:szCs w:val="18"/>
              </w:rPr>
              <w:t xml:space="preserve"> zijn intellectuele eigendomsrechten die de beschermingsduur van octrooien voor geneesmiddelen of gewasbeschermingsmiddelen met maximaal 5 jaar verlengen. Dit pakket beoogt het ABC-systeem van de EU te vereenvoudigen, evenals de transparantie en efficiëntie ervan te verbeteren, door een gecentraliseerde procedure en een unitair ABC voor genees- en gewasbeschermingsmiddelen te creëren.</w:t>
            </w:r>
          </w:p>
        </w:tc>
        <w:tc>
          <w:tcPr>
            <w:tcW w:w="4102" w:type="dxa"/>
            <w:tcBorders>
              <w:top w:val="single" w:color="auto" w:sz="4" w:space="0"/>
              <w:left w:val="single" w:color="auto" w:sz="4" w:space="0"/>
              <w:bottom w:val="single" w:color="auto" w:sz="4" w:space="0"/>
              <w:right w:val="single" w:color="auto" w:sz="4" w:space="0"/>
            </w:tcBorders>
          </w:tcPr>
          <w:p w:rsidRPr="00F30A30" w:rsidR="00E42004" w:rsidP="00E13D83" w:rsidRDefault="00E42004" w14:paraId="10575960" w14:textId="252B6823">
            <w:pPr>
              <w:spacing w:line="276" w:lineRule="auto"/>
              <w:rPr>
                <w:rFonts w:ascii="Verdana" w:hAnsi="Verdana" w:eastAsia="Times New Roman"/>
                <w:sz w:val="18"/>
                <w:szCs w:val="18"/>
              </w:rPr>
            </w:pPr>
            <w:r w:rsidRPr="507AC0F1">
              <w:rPr>
                <w:rFonts w:ascii="Verdana" w:hAnsi="Verdana" w:eastAsia="Times New Roman"/>
                <w:sz w:val="18"/>
                <w:szCs w:val="18"/>
              </w:rPr>
              <w:t>Voorstel wordt besproken op ambtelijk EU-niveau in Raadskader.</w:t>
            </w:r>
          </w:p>
        </w:tc>
      </w:tr>
      <w:tr w:rsidRPr="00F30A30" w:rsidR="00E42004" w:rsidTr="00950356" w14:paraId="21FBBC69" w14:textId="77777777">
        <w:trPr>
          <w:gridAfter w:val="2"/>
          <w:wAfter w:w="72" w:type="dxa"/>
          <w:trHeight w:val="1263"/>
          <w:jc w:val="center"/>
        </w:trPr>
        <w:tc>
          <w:tcPr>
            <w:tcW w:w="2547" w:type="dxa"/>
            <w:tcBorders>
              <w:top w:val="single" w:color="auto" w:sz="4" w:space="0"/>
              <w:left w:val="single" w:color="auto" w:sz="4" w:space="0"/>
              <w:bottom w:val="single" w:color="auto" w:sz="4" w:space="0"/>
              <w:right w:val="single" w:color="auto" w:sz="4" w:space="0"/>
            </w:tcBorders>
          </w:tcPr>
          <w:p w:rsidRPr="00FD14C5" w:rsidR="00E42004" w:rsidP="00E13D83" w:rsidRDefault="00E42004" w14:paraId="01A8E86D" w14:textId="0019EAB5">
            <w:pPr>
              <w:spacing w:line="276" w:lineRule="auto"/>
              <w:rPr>
                <w:rFonts w:ascii="Verdana" w:hAnsi="Verdana"/>
                <w:b/>
                <w:bCs/>
                <w:sz w:val="18"/>
                <w:szCs w:val="18"/>
              </w:rPr>
            </w:pPr>
            <w:r w:rsidRPr="1AF64579">
              <w:rPr>
                <w:rFonts w:ascii="Verdana" w:hAnsi="Verdana"/>
                <w:b/>
                <w:bCs/>
                <w:sz w:val="18"/>
                <w:szCs w:val="18"/>
              </w:rPr>
              <w:t>Verordening inzake standaard essentiële octrooien</w:t>
            </w:r>
          </w:p>
        </w:tc>
        <w:tc>
          <w:tcPr>
            <w:tcW w:w="1675" w:type="dxa"/>
            <w:tcBorders>
              <w:top w:val="single" w:color="auto" w:sz="4" w:space="0"/>
              <w:left w:val="single" w:color="auto" w:sz="4" w:space="0"/>
              <w:bottom w:val="single" w:color="auto" w:sz="4" w:space="0"/>
              <w:right w:val="single" w:color="auto" w:sz="4" w:space="0"/>
            </w:tcBorders>
          </w:tcPr>
          <w:p w:rsidRPr="00950356" w:rsidR="00E42004" w:rsidP="00E13D83" w:rsidRDefault="00E42004" w14:paraId="47E93C18" w14:textId="5CB753E2">
            <w:pPr>
              <w:spacing w:line="276" w:lineRule="auto"/>
              <w:rPr>
                <w:rFonts w:ascii="Verdana" w:hAnsi="Verdana"/>
                <w:sz w:val="18"/>
                <w:szCs w:val="18"/>
              </w:rPr>
            </w:pPr>
            <w:r w:rsidRPr="1AF64579">
              <w:rPr>
                <w:rFonts w:ascii="Verdana" w:hAnsi="Verdana"/>
                <w:sz w:val="18"/>
                <w:szCs w:val="18"/>
              </w:rPr>
              <w:t>COM(2023)232</w:t>
            </w:r>
          </w:p>
        </w:tc>
        <w:tc>
          <w:tcPr>
            <w:tcW w:w="6360" w:type="dxa"/>
            <w:tcBorders>
              <w:top w:val="single" w:color="auto" w:sz="4" w:space="0"/>
              <w:left w:val="single" w:color="auto" w:sz="4" w:space="0"/>
              <w:bottom w:val="single" w:color="auto" w:sz="4" w:space="0"/>
              <w:right w:val="single" w:color="auto" w:sz="4" w:space="0"/>
            </w:tcBorders>
          </w:tcPr>
          <w:p w:rsidRPr="00580D26" w:rsidR="00E42004" w:rsidP="00580D26" w:rsidRDefault="00E42004" w14:paraId="59B33BC9" w14:textId="61C1A3D7">
            <w:pPr>
              <w:spacing w:line="276" w:lineRule="auto"/>
            </w:pPr>
            <w:r w:rsidRPr="1AF64579">
              <w:rPr>
                <w:rFonts w:ascii="Verdana" w:hAnsi="Verdana" w:cs="Verdana"/>
                <w:sz w:val="18"/>
                <w:szCs w:val="18"/>
              </w:rPr>
              <w:t>Met het voorstel roept de Europese Commissie een nieuw kader in het leven inzake de omgang met standaard essentiële octrooien (SEPs). Doel van het voorstel is om te stimuleren dat gestandaardiseerde technologie beter benut wordt en breder beschikbaar komt op eerlijke en non-discriminatoire voorwaarden, met name voor het mkb.</w:t>
            </w:r>
          </w:p>
        </w:tc>
        <w:tc>
          <w:tcPr>
            <w:tcW w:w="4102" w:type="dxa"/>
            <w:tcBorders>
              <w:top w:val="single" w:color="auto" w:sz="4" w:space="0"/>
              <w:left w:val="single" w:color="auto" w:sz="4" w:space="0"/>
              <w:bottom w:val="single" w:color="auto" w:sz="4" w:space="0"/>
              <w:right w:val="single" w:color="auto" w:sz="4" w:space="0"/>
            </w:tcBorders>
          </w:tcPr>
          <w:p w:rsidRPr="00F30A30" w:rsidR="00E42004" w:rsidP="00E13D83" w:rsidRDefault="00B55C05" w14:paraId="4C0975DF" w14:textId="041787A8">
            <w:pPr>
              <w:spacing w:line="276" w:lineRule="auto"/>
              <w:rPr>
                <w:rFonts w:ascii="Verdana" w:hAnsi="Verdana" w:eastAsia="Times New Roman"/>
                <w:sz w:val="18"/>
                <w:szCs w:val="18"/>
              </w:rPr>
            </w:pPr>
            <w:r>
              <w:rPr>
                <w:rFonts w:ascii="Verdana" w:hAnsi="Verdana" w:eastAsia="Times New Roman"/>
                <w:sz w:val="18"/>
                <w:szCs w:val="18"/>
              </w:rPr>
              <w:t>Dit voorstel is gepubliceerd en afgerond.</w:t>
            </w:r>
          </w:p>
        </w:tc>
      </w:tr>
      <w:tr w:rsidRPr="00F30A30" w:rsidR="00E42004" w:rsidTr="00950356" w14:paraId="283932CC" w14:textId="77777777">
        <w:trPr>
          <w:gridAfter w:val="2"/>
          <w:wAfter w:w="72" w:type="dxa"/>
          <w:trHeight w:val="1263"/>
          <w:jc w:val="center"/>
        </w:trPr>
        <w:tc>
          <w:tcPr>
            <w:tcW w:w="2547" w:type="dxa"/>
            <w:tcBorders>
              <w:top w:val="single" w:color="auto" w:sz="4" w:space="0"/>
              <w:left w:val="single" w:color="auto" w:sz="4" w:space="0"/>
              <w:bottom w:val="single" w:color="auto" w:sz="4" w:space="0"/>
              <w:right w:val="single" w:color="auto" w:sz="4" w:space="0"/>
            </w:tcBorders>
          </w:tcPr>
          <w:p w:rsidRPr="00D560B6" w:rsidR="00E42004" w:rsidP="601DD31B" w:rsidRDefault="00E42004" w14:paraId="47F995AE" w14:textId="5DD4490D">
            <w:pPr>
              <w:spacing w:line="276" w:lineRule="auto"/>
              <w:rPr>
                <w:rFonts w:ascii="Verdana" w:hAnsi="Verdana"/>
                <w:b/>
                <w:bCs/>
                <w:color w:val="ED7D31" w:themeColor="accent2"/>
                <w:sz w:val="18"/>
                <w:szCs w:val="18"/>
              </w:rPr>
            </w:pPr>
            <w:r w:rsidRPr="1AF64579">
              <w:rPr>
                <w:rFonts w:ascii="Verdana" w:hAnsi="Verdana"/>
                <w:b/>
                <w:bCs/>
                <w:sz w:val="18"/>
                <w:szCs w:val="18"/>
              </w:rPr>
              <w:t>Verordening dwanglicenties voor crisisbeheersing</w:t>
            </w:r>
          </w:p>
        </w:tc>
        <w:tc>
          <w:tcPr>
            <w:tcW w:w="1675" w:type="dxa"/>
            <w:tcBorders>
              <w:top w:val="single" w:color="auto" w:sz="4" w:space="0"/>
              <w:left w:val="single" w:color="auto" w:sz="4" w:space="0"/>
              <w:bottom w:val="single" w:color="auto" w:sz="4" w:space="0"/>
              <w:right w:val="single" w:color="auto" w:sz="4" w:space="0"/>
            </w:tcBorders>
          </w:tcPr>
          <w:p w:rsidRPr="00D560B6" w:rsidR="00E42004" w:rsidP="601DD31B" w:rsidRDefault="00E42004" w14:paraId="4CF01744" w14:textId="61321D92">
            <w:pPr>
              <w:spacing w:line="276" w:lineRule="auto"/>
              <w:rPr>
                <w:rFonts w:ascii="Verdana" w:hAnsi="Verdana"/>
                <w:color w:val="ED7D31" w:themeColor="accent2"/>
                <w:sz w:val="18"/>
                <w:szCs w:val="18"/>
              </w:rPr>
            </w:pPr>
            <w:r w:rsidRPr="601DD31B">
              <w:rPr>
                <w:rFonts w:ascii="Verdana" w:hAnsi="Verdana"/>
                <w:sz w:val="18"/>
                <w:szCs w:val="18"/>
              </w:rPr>
              <w:t>COM(2023)224</w:t>
            </w:r>
          </w:p>
        </w:tc>
        <w:tc>
          <w:tcPr>
            <w:tcW w:w="6360" w:type="dxa"/>
            <w:tcBorders>
              <w:top w:val="single" w:color="auto" w:sz="4" w:space="0"/>
              <w:left w:val="single" w:color="auto" w:sz="4" w:space="0"/>
              <w:bottom w:val="single" w:color="auto" w:sz="4" w:space="0"/>
              <w:right w:val="single" w:color="auto" w:sz="4" w:space="0"/>
            </w:tcBorders>
          </w:tcPr>
          <w:p w:rsidRPr="00D560B6" w:rsidR="00E42004" w:rsidP="601DD31B" w:rsidRDefault="00E42004" w14:paraId="31B96A7D" w14:textId="7D64543D">
            <w:pPr>
              <w:spacing w:line="276" w:lineRule="auto"/>
              <w:rPr>
                <w:rFonts w:ascii="Verdana" w:hAnsi="Verdana"/>
                <w:color w:val="ED7D31" w:themeColor="accent2"/>
                <w:sz w:val="18"/>
                <w:szCs w:val="18"/>
              </w:rPr>
            </w:pPr>
            <w:r w:rsidRPr="601DD31B">
              <w:rPr>
                <w:rFonts w:ascii="Verdana" w:hAnsi="Verdana" w:cs="Verdana"/>
                <w:sz w:val="18"/>
                <w:szCs w:val="18"/>
              </w:rPr>
              <w:t>Het voorstel beoogt de EU in staat te stellen dwanglicenties te verlenen in het kader van de EU-crisisinstrumenten, waarbij de levering en het vrije verkeer op de interne markt gegarandeerd kan worden van producten of processen die onmisbaar zijn voor het reageren op een crisis of noodsituatie, of voor het aanpakken van de gevolgen van een noodsituatie.</w:t>
            </w:r>
          </w:p>
        </w:tc>
        <w:tc>
          <w:tcPr>
            <w:tcW w:w="4102" w:type="dxa"/>
            <w:tcBorders>
              <w:top w:val="single" w:color="auto" w:sz="4" w:space="0"/>
              <w:left w:val="single" w:color="auto" w:sz="4" w:space="0"/>
              <w:bottom w:val="single" w:color="auto" w:sz="4" w:space="0"/>
              <w:right w:val="single" w:color="auto" w:sz="4" w:space="0"/>
            </w:tcBorders>
          </w:tcPr>
          <w:p w:rsidRPr="00D560B6" w:rsidR="00E42004" w:rsidP="2F9E40FF" w:rsidRDefault="192189BA" w14:paraId="31370EA2" w14:textId="15BBF912">
            <w:pPr>
              <w:spacing w:line="276" w:lineRule="auto"/>
              <w:rPr>
                <w:rFonts w:ascii="Verdana" w:hAnsi="Verdana" w:eastAsia="Verdana" w:cs="Verdana"/>
                <w:sz w:val="18"/>
                <w:szCs w:val="18"/>
              </w:rPr>
            </w:pPr>
            <w:r w:rsidRPr="1AF64579">
              <w:rPr>
                <w:rFonts w:ascii="Verdana" w:hAnsi="Verdana" w:eastAsia="Verdana" w:cs="Verdana"/>
                <w:color w:val="000000" w:themeColor="text1"/>
                <w:sz w:val="18"/>
                <w:szCs w:val="18"/>
              </w:rPr>
              <w:t>De onderhandelingen in triloog zijn afgerond en er is een politiek akkoord bereikt tussen de Commissie, de Raad en het Europees Parlement. Het voorstel zit in de afrondende procedurele fase.</w:t>
            </w:r>
          </w:p>
        </w:tc>
      </w:tr>
      <w:tr w:rsidRPr="00F30A30" w:rsidR="00E42004" w:rsidTr="00950356" w14:paraId="5A219399" w14:textId="77777777">
        <w:trPr>
          <w:gridAfter w:val="2"/>
          <w:wAfter w:w="72" w:type="dxa"/>
          <w:trHeight w:val="1263"/>
          <w:jc w:val="center"/>
        </w:trPr>
        <w:tc>
          <w:tcPr>
            <w:tcW w:w="2547" w:type="dxa"/>
            <w:tcBorders>
              <w:top w:val="single" w:color="auto" w:sz="4" w:space="0"/>
              <w:left w:val="single" w:color="auto" w:sz="4" w:space="0"/>
              <w:bottom w:val="single" w:color="auto" w:sz="4" w:space="0"/>
              <w:right w:val="single" w:color="auto" w:sz="4" w:space="0"/>
            </w:tcBorders>
          </w:tcPr>
          <w:p w:rsidR="00E42004" w:rsidP="00E13D83" w:rsidRDefault="00E42004" w14:paraId="76D1AAF2" w14:textId="4E57BDC2">
            <w:pPr>
              <w:spacing w:line="276" w:lineRule="auto"/>
              <w:rPr>
                <w:rFonts w:ascii="Verdana" w:hAnsi="Verdana"/>
                <w:b/>
                <w:bCs/>
                <w:sz w:val="18"/>
                <w:szCs w:val="18"/>
              </w:rPr>
            </w:pPr>
            <w:r w:rsidRPr="1AF64579">
              <w:rPr>
                <w:rFonts w:ascii="Verdana" w:hAnsi="Verdana"/>
                <w:b/>
                <w:bCs/>
                <w:sz w:val="18"/>
                <w:szCs w:val="18"/>
              </w:rPr>
              <w:t>Verordening inzake bestrijding van late betalingen in handelstransacties</w:t>
            </w:r>
          </w:p>
        </w:tc>
        <w:tc>
          <w:tcPr>
            <w:tcW w:w="1675" w:type="dxa"/>
            <w:tcBorders>
              <w:top w:val="single" w:color="auto" w:sz="4" w:space="0"/>
              <w:left w:val="single" w:color="auto" w:sz="4" w:space="0"/>
              <w:bottom w:val="single" w:color="auto" w:sz="4" w:space="0"/>
              <w:right w:val="single" w:color="auto" w:sz="4" w:space="0"/>
            </w:tcBorders>
          </w:tcPr>
          <w:p w:rsidR="00E42004" w:rsidP="00E13D83" w:rsidRDefault="00E42004" w14:paraId="6497EE4A" w14:textId="79565639">
            <w:pPr>
              <w:spacing w:line="276" w:lineRule="auto"/>
              <w:rPr>
                <w:rFonts w:ascii="Verdana" w:hAnsi="Verdana"/>
                <w:sz w:val="18"/>
                <w:szCs w:val="18"/>
              </w:rPr>
            </w:pPr>
            <w:r>
              <w:rPr>
                <w:rFonts w:ascii="Verdana" w:hAnsi="Verdana"/>
                <w:sz w:val="18"/>
                <w:szCs w:val="18"/>
              </w:rPr>
              <w:t>COM(2023)533</w:t>
            </w:r>
          </w:p>
        </w:tc>
        <w:tc>
          <w:tcPr>
            <w:tcW w:w="6360" w:type="dxa"/>
            <w:tcBorders>
              <w:top w:val="single" w:color="auto" w:sz="4" w:space="0"/>
              <w:left w:val="single" w:color="auto" w:sz="4" w:space="0"/>
              <w:bottom w:val="single" w:color="auto" w:sz="4" w:space="0"/>
              <w:right w:val="single" w:color="auto" w:sz="4" w:space="0"/>
            </w:tcBorders>
          </w:tcPr>
          <w:p w:rsidR="00E42004" w:rsidP="00AD611B" w:rsidRDefault="00E42004" w14:paraId="339D67C6" w14:textId="189A2E34">
            <w:pPr>
              <w:autoSpaceDE w:val="0"/>
              <w:autoSpaceDN w:val="0"/>
              <w:adjustRightInd w:val="0"/>
              <w:rPr>
                <w:rFonts w:ascii="Verdana" w:hAnsi="Verdana" w:cs="Verdana"/>
                <w:sz w:val="18"/>
                <w:szCs w:val="18"/>
              </w:rPr>
            </w:pPr>
            <w:r w:rsidRPr="00E6484E">
              <w:rPr>
                <w:rFonts w:ascii="Verdana" w:hAnsi="Verdana" w:cs="Verdana"/>
                <w:sz w:val="18"/>
                <w:szCs w:val="18"/>
              </w:rPr>
              <w:t>De Commissie stelt dat de huidige Richtlijn onvoldoende in staat is om het probleem van late betalingen in de Europese Unie aan te pakke</w:t>
            </w:r>
            <w:r>
              <w:rPr>
                <w:rFonts w:ascii="Verdana" w:hAnsi="Verdana" w:cs="Verdana"/>
                <w:sz w:val="18"/>
                <w:szCs w:val="18"/>
              </w:rPr>
              <w:t xml:space="preserve">n. </w:t>
            </w:r>
            <w:r w:rsidRPr="00015BBC">
              <w:rPr>
                <w:rFonts w:ascii="Verdana" w:hAnsi="Verdana" w:cs="Verdana"/>
                <w:sz w:val="18"/>
                <w:szCs w:val="18"/>
              </w:rPr>
              <w:t>Het voorstel vo</w:t>
            </w:r>
            <w:r>
              <w:rPr>
                <w:rFonts w:ascii="Verdana" w:hAnsi="Verdana" w:cs="Verdana"/>
                <w:sz w:val="18"/>
                <w:szCs w:val="18"/>
              </w:rPr>
              <w:t>or een Verordening</w:t>
            </w:r>
            <w:r w:rsidRPr="00015BBC">
              <w:rPr>
                <w:rFonts w:ascii="Verdana" w:hAnsi="Verdana" w:cs="Verdana"/>
                <w:sz w:val="18"/>
                <w:szCs w:val="18"/>
              </w:rPr>
              <w:t xml:space="preserve"> pakt deze tekortkomingen aan, met als voornaamste doel de betaaldiscipline van alle betrokken partijen (overheidsinstanties, grote bedrijven en mkb’ers) te </w:t>
            </w:r>
            <w:r w:rsidRPr="00015BBC">
              <w:rPr>
                <w:rFonts w:ascii="Verdana" w:hAnsi="Verdana" w:cs="Verdana"/>
                <w:sz w:val="18"/>
                <w:szCs w:val="18"/>
              </w:rPr>
              <w:lastRenderedPageBreak/>
              <w:t>verbeteren en bedrijven te beschermen tegen de negatieve effecten van betalingsachterstanden bij commerciële transacties.</w:t>
            </w:r>
          </w:p>
        </w:tc>
        <w:tc>
          <w:tcPr>
            <w:tcW w:w="4102" w:type="dxa"/>
            <w:tcBorders>
              <w:top w:val="single" w:color="auto" w:sz="4" w:space="0"/>
              <w:left w:val="single" w:color="auto" w:sz="4" w:space="0"/>
              <w:bottom w:val="single" w:color="auto" w:sz="4" w:space="0"/>
              <w:right w:val="single" w:color="auto" w:sz="4" w:space="0"/>
            </w:tcBorders>
          </w:tcPr>
          <w:p w:rsidRPr="00F30A30" w:rsidR="00E42004" w:rsidP="00E13D83" w:rsidRDefault="00E42004" w14:paraId="38A2D712" w14:textId="75755299">
            <w:pPr>
              <w:spacing w:line="276" w:lineRule="auto"/>
              <w:rPr>
                <w:rFonts w:ascii="Verdana" w:hAnsi="Verdana" w:eastAsia="Times New Roman"/>
                <w:sz w:val="18"/>
                <w:szCs w:val="18"/>
              </w:rPr>
            </w:pPr>
            <w:r w:rsidRPr="507AC0F1">
              <w:rPr>
                <w:rFonts w:ascii="Verdana" w:hAnsi="Verdana" w:eastAsia="Times New Roman"/>
                <w:sz w:val="18"/>
                <w:szCs w:val="18"/>
              </w:rPr>
              <w:lastRenderedPageBreak/>
              <w:t xml:space="preserve">Voorstel wordt besproken op ambtelijk EU-niveau in Raadskader. </w:t>
            </w:r>
          </w:p>
        </w:tc>
      </w:tr>
      <w:tr w:rsidRPr="00F30A30" w:rsidR="00E42004" w:rsidTr="00950356" w14:paraId="07912FBB" w14:textId="77777777">
        <w:trPr>
          <w:gridAfter w:val="2"/>
          <w:wAfter w:w="72" w:type="dxa"/>
          <w:trHeight w:val="1263"/>
          <w:jc w:val="center"/>
        </w:trPr>
        <w:tc>
          <w:tcPr>
            <w:tcW w:w="2547" w:type="dxa"/>
            <w:tcBorders>
              <w:top w:val="single" w:color="auto" w:sz="4" w:space="0"/>
              <w:left w:val="single" w:color="auto" w:sz="4" w:space="0"/>
              <w:bottom w:val="single" w:color="auto" w:sz="4" w:space="0"/>
              <w:right w:val="single" w:color="auto" w:sz="4" w:space="0"/>
            </w:tcBorders>
          </w:tcPr>
          <w:p w:rsidR="00E42004" w:rsidP="00E13D83" w:rsidRDefault="00E42004" w14:paraId="40E8321F" w14:textId="514CA8EC">
            <w:pPr>
              <w:spacing w:line="276" w:lineRule="auto"/>
              <w:rPr>
                <w:rFonts w:ascii="Verdana" w:hAnsi="Verdana"/>
                <w:b/>
                <w:bCs/>
                <w:sz w:val="18"/>
                <w:szCs w:val="18"/>
              </w:rPr>
            </w:pPr>
            <w:r w:rsidRPr="1AF64579">
              <w:rPr>
                <w:rFonts w:ascii="Verdana" w:hAnsi="Verdana"/>
                <w:b/>
                <w:bCs/>
                <w:sz w:val="18"/>
                <w:szCs w:val="18"/>
              </w:rPr>
              <w:t xml:space="preserve">Herziening richtlijn pakketreizen </w:t>
            </w:r>
          </w:p>
        </w:tc>
        <w:tc>
          <w:tcPr>
            <w:tcW w:w="1675" w:type="dxa"/>
            <w:tcBorders>
              <w:top w:val="single" w:color="auto" w:sz="4" w:space="0"/>
              <w:left w:val="single" w:color="auto" w:sz="4" w:space="0"/>
              <w:bottom w:val="single" w:color="auto" w:sz="4" w:space="0"/>
              <w:right w:val="single" w:color="auto" w:sz="4" w:space="0"/>
            </w:tcBorders>
          </w:tcPr>
          <w:p w:rsidR="00E42004" w:rsidP="00E13D83" w:rsidRDefault="00E42004" w14:paraId="26D793E6" w14:textId="0FE2D950">
            <w:pPr>
              <w:spacing w:line="276" w:lineRule="auto"/>
              <w:rPr>
                <w:rFonts w:ascii="Verdana" w:hAnsi="Verdana"/>
                <w:sz w:val="18"/>
                <w:szCs w:val="18"/>
              </w:rPr>
            </w:pPr>
            <w:r>
              <w:rPr>
                <w:rFonts w:ascii="Verdana" w:hAnsi="Verdana"/>
                <w:sz w:val="18"/>
                <w:szCs w:val="18"/>
              </w:rPr>
              <w:t xml:space="preserve">COM(2023)905 </w:t>
            </w:r>
          </w:p>
        </w:tc>
        <w:tc>
          <w:tcPr>
            <w:tcW w:w="6360" w:type="dxa"/>
            <w:tcBorders>
              <w:top w:val="single" w:color="auto" w:sz="4" w:space="0"/>
              <w:left w:val="single" w:color="auto" w:sz="4" w:space="0"/>
              <w:bottom w:val="single" w:color="auto" w:sz="4" w:space="0"/>
              <w:right w:val="single" w:color="auto" w:sz="4" w:space="0"/>
            </w:tcBorders>
          </w:tcPr>
          <w:p w:rsidR="00E42004" w:rsidP="004C3E0A" w:rsidRDefault="00E42004" w14:paraId="3751A0B8" w14:textId="2C5C4D66">
            <w:pPr>
              <w:autoSpaceDE w:val="0"/>
              <w:autoSpaceDN w:val="0"/>
              <w:adjustRightInd w:val="0"/>
              <w:rPr>
                <w:rFonts w:ascii="Verdana" w:hAnsi="Verdana" w:cs="Verdana"/>
                <w:sz w:val="18"/>
                <w:szCs w:val="18"/>
              </w:rPr>
            </w:pPr>
            <w:r>
              <w:rPr>
                <w:rFonts w:ascii="Verdana" w:hAnsi="Verdana"/>
                <w:iCs/>
                <w:sz w:val="18"/>
                <w:szCs w:val="18"/>
              </w:rPr>
              <w:t>De herziening van de Pakketreizenrichtlijn heeft als doel om consumentenbescherming, ook in tijden van crisis, te versterken en de werking van de interne markt in de pakketreissector te verbeteren. Dit sluit aan bij het doel van de huidige richtlijn</w:t>
            </w:r>
            <w:r w:rsidRPr="06599F13">
              <w:rPr>
                <w:rFonts w:ascii="Verdana" w:hAnsi="Verdana"/>
                <w:sz w:val="18"/>
                <w:szCs w:val="18"/>
              </w:rPr>
              <w:t>,</w:t>
            </w:r>
            <w:r>
              <w:rPr>
                <w:rFonts w:ascii="Verdana" w:hAnsi="Verdana"/>
                <w:iCs/>
                <w:sz w:val="18"/>
                <w:szCs w:val="18"/>
              </w:rPr>
              <w:t xml:space="preserve"> die in 2015 is vastgesteld. De Commissie beoogt dit te doen door definities aan te passen, regels toe te voegen over betalingen en vouchers en de regels rondom annuleringen in uitzonderlijke situaties nader uit te leggen. </w:t>
            </w:r>
          </w:p>
        </w:tc>
        <w:tc>
          <w:tcPr>
            <w:tcW w:w="4102" w:type="dxa"/>
            <w:tcBorders>
              <w:top w:val="single" w:color="auto" w:sz="4" w:space="0"/>
              <w:left w:val="single" w:color="auto" w:sz="4" w:space="0"/>
              <w:bottom w:val="single" w:color="auto" w:sz="4" w:space="0"/>
              <w:right w:val="single" w:color="auto" w:sz="4" w:space="0"/>
            </w:tcBorders>
          </w:tcPr>
          <w:p w:rsidR="0F8849EE" w:rsidP="507AC0F1" w:rsidRDefault="0F8849EE" w14:paraId="1977FD15" w14:textId="7FD00AA9">
            <w:pPr>
              <w:spacing w:line="276" w:lineRule="auto"/>
              <w:rPr>
                <w:rFonts w:ascii="Verdana" w:hAnsi="Verdana" w:eastAsia="Times New Roman"/>
                <w:sz w:val="18"/>
                <w:szCs w:val="18"/>
              </w:rPr>
            </w:pPr>
            <w:r w:rsidRPr="507AC0F1">
              <w:rPr>
                <w:rFonts w:ascii="Verdana" w:hAnsi="Verdana" w:eastAsia="Times New Roman"/>
                <w:sz w:val="18"/>
                <w:szCs w:val="18"/>
              </w:rPr>
              <w:t xml:space="preserve">De Raad heeft een algemene oriëntatie bereikt. Het Europees Parlement heeft </w:t>
            </w:r>
            <w:r w:rsidR="00D31AF1">
              <w:rPr>
                <w:rFonts w:ascii="Verdana" w:hAnsi="Verdana" w:eastAsia="Times New Roman"/>
                <w:sz w:val="18"/>
                <w:szCs w:val="18"/>
              </w:rPr>
              <w:t>ook</w:t>
            </w:r>
            <w:r w:rsidRPr="507AC0F1">
              <w:rPr>
                <w:rFonts w:ascii="Verdana" w:hAnsi="Verdana" w:eastAsia="Times New Roman"/>
                <w:sz w:val="18"/>
                <w:szCs w:val="18"/>
              </w:rPr>
              <w:t xml:space="preserve"> positie ingenomen. </w:t>
            </w:r>
            <w:r w:rsidR="00D31AF1">
              <w:rPr>
                <w:rFonts w:ascii="Verdana" w:hAnsi="Verdana" w:eastAsia="Times New Roman"/>
                <w:sz w:val="18"/>
                <w:szCs w:val="18"/>
              </w:rPr>
              <w:t xml:space="preserve">Het voorstel bevindt zich in </w:t>
            </w:r>
            <w:r w:rsidRPr="507AC0F1">
              <w:rPr>
                <w:rFonts w:ascii="Verdana" w:hAnsi="Verdana" w:eastAsia="Times New Roman"/>
                <w:sz w:val="18"/>
                <w:szCs w:val="18"/>
              </w:rPr>
              <w:t>de triloogfase met onderhandelingen tussen de Commissie, de Raad en het Europees Parlement.</w:t>
            </w:r>
          </w:p>
          <w:p w:rsidRPr="00F30A30" w:rsidR="00E42004" w:rsidP="00E13D83" w:rsidRDefault="00E42004" w14:paraId="518F753B" w14:textId="61D4ECC4">
            <w:pPr>
              <w:spacing w:line="276" w:lineRule="auto"/>
              <w:rPr>
                <w:rFonts w:ascii="Verdana" w:hAnsi="Verdana" w:eastAsia="Times New Roman"/>
                <w:sz w:val="18"/>
                <w:szCs w:val="18"/>
              </w:rPr>
            </w:pPr>
          </w:p>
        </w:tc>
      </w:tr>
      <w:tr w:rsidRPr="00F30A30" w:rsidR="00E42004" w:rsidTr="00950356" w14:paraId="3C2D3CAD" w14:textId="77777777">
        <w:trPr>
          <w:gridAfter w:val="2"/>
          <w:wAfter w:w="72" w:type="dxa"/>
          <w:trHeight w:val="1263"/>
          <w:jc w:val="center"/>
        </w:trPr>
        <w:tc>
          <w:tcPr>
            <w:tcW w:w="2547" w:type="dxa"/>
            <w:tcBorders>
              <w:top w:val="single" w:color="auto" w:sz="4" w:space="0"/>
              <w:left w:val="single" w:color="auto" w:sz="4" w:space="0"/>
              <w:bottom w:val="single" w:color="auto" w:sz="4" w:space="0"/>
              <w:right w:val="single" w:color="auto" w:sz="4" w:space="0"/>
            </w:tcBorders>
          </w:tcPr>
          <w:p w:rsidR="00E42004" w:rsidP="00E13D83" w:rsidRDefault="00E42004" w14:paraId="379B2F6F" w14:textId="6B35F512">
            <w:pPr>
              <w:spacing w:line="276" w:lineRule="auto"/>
              <w:rPr>
                <w:rFonts w:ascii="Verdana" w:hAnsi="Verdana"/>
                <w:b/>
                <w:bCs/>
                <w:sz w:val="18"/>
                <w:szCs w:val="18"/>
              </w:rPr>
            </w:pPr>
            <w:r w:rsidRPr="39CA758B">
              <w:rPr>
                <w:rFonts w:ascii="Verdana" w:hAnsi="Verdana"/>
                <w:b/>
                <w:bCs/>
                <w:sz w:val="18"/>
                <w:szCs w:val="18"/>
              </w:rPr>
              <w:t>FDI</w:t>
            </w:r>
            <w:r w:rsidRPr="39CA758B" w:rsidR="004826C7">
              <w:rPr>
                <w:rFonts w:ascii="Verdana" w:hAnsi="Verdana"/>
                <w:b/>
                <w:bCs/>
                <w:sz w:val="18"/>
                <w:szCs w:val="18"/>
              </w:rPr>
              <w:t>-</w:t>
            </w:r>
            <w:r w:rsidRPr="39CA758B">
              <w:rPr>
                <w:rFonts w:ascii="Verdana" w:hAnsi="Verdana"/>
                <w:b/>
                <w:bCs/>
                <w:sz w:val="18"/>
                <w:szCs w:val="18"/>
              </w:rPr>
              <w:t xml:space="preserve">verordening </w:t>
            </w:r>
          </w:p>
        </w:tc>
        <w:tc>
          <w:tcPr>
            <w:tcW w:w="1675" w:type="dxa"/>
            <w:tcBorders>
              <w:top w:val="single" w:color="auto" w:sz="4" w:space="0"/>
              <w:left w:val="single" w:color="auto" w:sz="4" w:space="0"/>
              <w:bottom w:val="single" w:color="auto" w:sz="4" w:space="0"/>
              <w:right w:val="single" w:color="auto" w:sz="4" w:space="0"/>
            </w:tcBorders>
          </w:tcPr>
          <w:p w:rsidR="00E42004" w:rsidP="00E13D83" w:rsidRDefault="00E42004" w14:paraId="57778B31" w14:textId="07C787DF">
            <w:pPr>
              <w:spacing w:line="276" w:lineRule="auto"/>
              <w:rPr>
                <w:rFonts w:ascii="Verdana" w:hAnsi="Verdana"/>
                <w:sz w:val="18"/>
                <w:szCs w:val="18"/>
              </w:rPr>
            </w:pPr>
            <w:r>
              <w:rPr>
                <w:rFonts w:ascii="Verdana" w:hAnsi="Verdana"/>
                <w:sz w:val="18"/>
                <w:szCs w:val="18"/>
              </w:rPr>
              <w:t>COM(2024)23</w:t>
            </w:r>
          </w:p>
        </w:tc>
        <w:tc>
          <w:tcPr>
            <w:tcW w:w="6360" w:type="dxa"/>
            <w:tcBorders>
              <w:top w:val="single" w:color="auto" w:sz="4" w:space="0"/>
              <w:left w:val="single" w:color="auto" w:sz="4" w:space="0"/>
              <w:bottom w:val="single" w:color="auto" w:sz="4" w:space="0"/>
              <w:right w:val="single" w:color="auto" w:sz="4" w:space="0"/>
            </w:tcBorders>
          </w:tcPr>
          <w:p w:rsidR="00E42004" w:rsidP="004C3E0A" w:rsidRDefault="3245C9AE" w14:paraId="2023B6C9" w14:textId="1007A12A">
            <w:pPr>
              <w:autoSpaceDE w:val="0"/>
              <w:autoSpaceDN w:val="0"/>
              <w:adjustRightInd w:val="0"/>
              <w:rPr>
                <w:rFonts w:ascii="Verdana" w:hAnsi="Verdana" w:cs="Verdana"/>
                <w:sz w:val="18"/>
                <w:szCs w:val="18"/>
              </w:rPr>
            </w:pPr>
            <w:r w:rsidRPr="39CA758B">
              <w:rPr>
                <w:rFonts w:ascii="Verdana" w:hAnsi="Verdana" w:eastAsia="Verdana" w:cs="Verdana"/>
                <w:sz w:val="18"/>
                <w:szCs w:val="18"/>
              </w:rPr>
              <w:t xml:space="preserve">Het Commissievoorstel tot herziening van de huidige </w:t>
            </w:r>
            <w:r w:rsidRPr="39CA758B" w:rsidR="538E7B98">
              <w:rPr>
                <w:rFonts w:ascii="Verdana" w:hAnsi="Verdana" w:eastAsia="Verdana" w:cs="Verdana"/>
                <w:sz w:val="18"/>
                <w:szCs w:val="18"/>
              </w:rPr>
              <w:t>v</w:t>
            </w:r>
            <w:r w:rsidRPr="39CA758B">
              <w:rPr>
                <w:rFonts w:ascii="Verdana" w:hAnsi="Verdana" w:eastAsia="Verdana" w:cs="Verdana"/>
                <w:sz w:val="18"/>
                <w:szCs w:val="18"/>
              </w:rPr>
              <w:t>erordening ten aanzien van toetsing van buitenlandse directe investeringen (</w:t>
            </w:r>
            <w:r w:rsidRPr="39CA758B">
              <w:rPr>
                <w:rFonts w:ascii="Verdana" w:hAnsi="Verdana" w:eastAsia="Verdana" w:cs="Verdana"/>
                <w:i/>
                <w:iCs/>
                <w:sz w:val="18"/>
                <w:szCs w:val="18"/>
              </w:rPr>
              <w:t>foreign direct investments</w:t>
            </w:r>
            <w:r w:rsidRPr="39CA758B">
              <w:rPr>
                <w:rFonts w:ascii="Verdana" w:hAnsi="Verdana" w:eastAsia="Verdana" w:cs="Verdana"/>
                <w:sz w:val="18"/>
                <w:szCs w:val="18"/>
              </w:rPr>
              <w:t>,</w:t>
            </w:r>
            <w:r w:rsidRPr="39CA758B">
              <w:rPr>
                <w:rFonts w:ascii="Verdana" w:hAnsi="Verdana" w:eastAsia="Verdana" w:cs="Verdana"/>
                <w:i/>
                <w:iCs/>
                <w:sz w:val="18"/>
                <w:szCs w:val="18"/>
              </w:rPr>
              <w:t xml:space="preserve"> </w:t>
            </w:r>
            <w:r w:rsidRPr="39CA758B">
              <w:rPr>
                <w:rFonts w:ascii="Verdana" w:hAnsi="Verdana" w:eastAsia="Verdana" w:cs="Verdana"/>
                <w:sz w:val="18"/>
                <w:szCs w:val="18"/>
              </w:rPr>
              <w:t>FDI) heeft als doel de verbetering van samenwerking en coördinatie en meer harmonisatie (zowel inhoudelijk als procedureel) tussen lidstaten op het gebied van FDI-screening.</w:t>
            </w:r>
          </w:p>
        </w:tc>
        <w:tc>
          <w:tcPr>
            <w:tcW w:w="4102" w:type="dxa"/>
            <w:tcBorders>
              <w:top w:val="single" w:color="auto" w:sz="4" w:space="0"/>
              <w:left w:val="single" w:color="auto" w:sz="4" w:space="0"/>
              <w:bottom w:val="single" w:color="auto" w:sz="4" w:space="0"/>
              <w:right w:val="single" w:color="auto" w:sz="4" w:space="0"/>
            </w:tcBorders>
          </w:tcPr>
          <w:p w:rsidR="00E42004" w:rsidP="008F5F8D" w:rsidRDefault="2601EC46" w14:paraId="1F06C821" w14:textId="74B193F1">
            <w:pPr>
              <w:spacing w:line="276" w:lineRule="auto"/>
              <w:rPr>
                <w:rFonts w:ascii="Verdana" w:hAnsi="Verdana" w:eastAsia="Times New Roman"/>
                <w:sz w:val="18"/>
                <w:szCs w:val="18"/>
              </w:rPr>
            </w:pPr>
            <w:r w:rsidRPr="1AF64579">
              <w:rPr>
                <w:rFonts w:ascii="Verdana" w:hAnsi="Verdana" w:eastAsia="Verdana" w:cs="Verdana"/>
                <w:sz w:val="18"/>
                <w:szCs w:val="18"/>
              </w:rPr>
              <w:t xml:space="preserve">De Raad heeft een algemene oriëntatie bereikt. Het voorstel bevindt zich in de triloogfase met onderhandelingen tussen de Commissie, de Raad en het Europees Parlement. </w:t>
            </w:r>
          </w:p>
          <w:p w:rsidRPr="00F30A30" w:rsidR="00E42004" w:rsidP="00E13D83" w:rsidRDefault="00E42004" w14:paraId="15280AA6" w14:textId="741DBB1F">
            <w:pPr>
              <w:spacing w:line="276" w:lineRule="auto"/>
              <w:rPr>
                <w:rFonts w:ascii="Verdana" w:hAnsi="Verdana" w:eastAsia="Times New Roman"/>
                <w:sz w:val="18"/>
                <w:szCs w:val="18"/>
              </w:rPr>
            </w:pPr>
          </w:p>
        </w:tc>
      </w:tr>
      <w:tr w:rsidR="00AC4927" w:rsidTr="00950356" w14:paraId="5A85C4F3"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Pr="39CA758B" w:rsidR="00AC4927" w:rsidDel="002F3537" w:rsidP="4D233A8B" w:rsidRDefault="00AC4927" w14:paraId="2C7BAB70" w14:textId="6D3A2164">
            <w:pPr>
              <w:spacing w:line="276" w:lineRule="auto"/>
              <w:rPr>
                <w:rFonts w:ascii="Verdana" w:hAnsi="Verdana"/>
                <w:b/>
                <w:bCs/>
                <w:sz w:val="18"/>
                <w:szCs w:val="18"/>
              </w:rPr>
            </w:pPr>
            <w:r>
              <w:rPr>
                <w:rFonts w:ascii="Verdana" w:hAnsi="Verdana"/>
                <w:b/>
                <w:bCs/>
                <w:sz w:val="18"/>
                <w:szCs w:val="18"/>
              </w:rPr>
              <w:t>Herziening meetinstrumenten-richtlijn</w:t>
            </w:r>
          </w:p>
        </w:tc>
        <w:tc>
          <w:tcPr>
            <w:tcW w:w="1675" w:type="dxa"/>
            <w:tcBorders>
              <w:top w:val="single" w:color="auto" w:sz="4" w:space="0"/>
              <w:left w:val="single" w:color="auto" w:sz="4" w:space="0"/>
              <w:bottom w:val="single" w:color="auto" w:sz="4" w:space="0"/>
              <w:right w:val="single" w:color="auto" w:sz="4" w:space="0"/>
            </w:tcBorders>
          </w:tcPr>
          <w:p w:rsidRPr="1AF64579" w:rsidR="00AC4927" w:rsidDel="00651124" w:rsidP="4D233A8B" w:rsidRDefault="00AC4927" w14:paraId="1F6CBF35" w14:textId="382C8CFE">
            <w:pPr>
              <w:spacing w:line="276" w:lineRule="auto"/>
              <w:rPr>
                <w:rFonts w:ascii="Verdana" w:hAnsi="Verdana"/>
                <w:sz w:val="18"/>
                <w:szCs w:val="18"/>
              </w:rPr>
            </w:pPr>
            <w:r>
              <w:rPr>
                <w:rFonts w:ascii="Verdana" w:hAnsi="Verdana"/>
                <w:sz w:val="18"/>
                <w:szCs w:val="18"/>
              </w:rPr>
              <w:t>COM(2024)</w:t>
            </w:r>
            <w:r w:rsidR="0021068E">
              <w:rPr>
                <w:rFonts w:ascii="Verdana" w:hAnsi="Verdana"/>
                <w:sz w:val="18"/>
                <w:szCs w:val="18"/>
              </w:rPr>
              <w:t>561</w:t>
            </w:r>
          </w:p>
        </w:tc>
        <w:tc>
          <w:tcPr>
            <w:tcW w:w="6360" w:type="dxa"/>
            <w:tcBorders>
              <w:top w:val="single" w:color="auto" w:sz="4" w:space="0"/>
              <w:left w:val="single" w:color="auto" w:sz="4" w:space="0"/>
              <w:bottom w:val="single" w:color="auto" w:sz="4" w:space="0"/>
              <w:right w:val="single" w:color="auto" w:sz="4" w:space="0"/>
            </w:tcBorders>
          </w:tcPr>
          <w:p w:rsidRPr="1AF64579" w:rsidR="00AC4927" w:rsidDel="00651124" w:rsidP="4D233A8B" w:rsidRDefault="00DB5F25" w14:paraId="29F00DBA" w14:textId="40EF9710">
            <w:pPr>
              <w:rPr>
                <w:rFonts w:ascii="Verdana" w:hAnsi="Verdana"/>
                <w:sz w:val="18"/>
                <w:szCs w:val="18"/>
              </w:rPr>
            </w:pPr>
            <w:r>
              <w:rPr>
                <w:rFonts w:ascii="Verdana" w:hAnsi="Verdana"/>
                <w:sz w:val="18"/>
                <w:szCs w:val="18"/>
              </w:rPr>
              <w:t>Het voorstel is een gerichte herziening van een aantal annexen van meetinstrumentenrichtlijn</w:t>
            </w:r>
            <w:r w:rsidR="005C64D4">
              <w:rPr>
                <w:rFonts w:ascii="Verdana" w:hAnsi="Verdana"/>
                <w:sz w:val="18"/>
                <w:szCs w:val="18"/>
              </w:rPr>
              <w:t>, onder andere om deze uit te breiden naar laadpalen voor elektrisch rijden</w:t>
            </w:r>
            <w:r w:rsidR="00AC7427">
              <w:rPr>
                <w:rFonts w:ascii="Verdana" w:hAnsi="Verdana"/>
                <w:sz w:val="18"/>
                <w:szCs w:val="18"/>
              </w:rPr>
              <w:t xml:space="preserve"> en waterstofdispensers</w:t>
            </w:r>
            <w:r>
              <w:rPr>
                <w:rFonts w:ascii="Verdana" w:hAnsi="Verdana"/>
                <w:sz w:val="18"/>
                <w:szCs w:val="18"/>
              </w:rPr>
              <w:t>.</w:t>
            </w:r>
          </w:p>
        </w:tc>
        <w:tc>
          <w:tcPr>
            <w:tcW w:w="4102" w:type="dxa"/>
            <w:tcBorders>
              <w:top w:val="single" w:color="auto" w:sz="4" w:space="0"/>
              <w:left w:val="single" w:color="auto" w:sz="4" w:space="0"/>
              <w:bottom w:val="single" w:color="auto" w:sz="4" w:space="0"/>
              <w:right w:val="single" w:color="auto" w:sz="4" w:space="0"/>
            </w:tcBorders>
          </w:tcPr>
          <w:p w:rsidR="0021068E" w:rsidP="0021068E" w:rsidRDefault="0021068E" w14:paraId="3981B95D" w14:textId="4EC3EFCB">
            <w:pPr>
              <w:spacing w:line="276" w:lineRule="auto"/>
              <w:rPr>
                <w:rFonts w:ascii="Verdana" w:hAnsi="Verdana" w:eastAsia="Times New Roman"/>
                <w:sz w:val="18"/>
                <w:szCs w:val="18"/>
              </w:rPr>
            </w:pPr>
            <w:r w:rsidRPr="507AC0F1">
              <w:rPr>
                <w:rFonts w:ascii="Verdana" w:hAnsi="Verdana" w:eastAsia="Times New Roman"/>
                <w:sz w:val="18"/>
                <w:szCs w:val="18"/>
              </w:rPr>
              <w:t xml:space="preserve">De Raad heeft een algemene oriëntatie bereikt. </w:t>
            </w:r>
            <w:r>
              <w:rPr>
                <w:rFonts w:ascii="Verdana" w:hAnsi="Verdana" w:eastAsia="Times New Roman"/>
                <w:sz w:val="18"/>
                <w:szCs w:val="18"/>
              </w:rPr>
              <w:t xml:space="preserve">Het voorstel bevindt zich in </w:t>
            </w:r>
            <w:r w:rsidRPr="507AC0F1">
              <w:rPr>
                <w:rFonts w:ascii="Verdana" w:hAnsi="Verdana" w:eastAsia="Times New Roman"/>
                <w:sz w:val="18"/>
                <w:szCs w:val="18"/>
              </w:rPr>
              <w:t>de triloogfase met onderhandelingen tussen de Commissie, de Raad en het Europees Parlement.</w:t>
            </w:r>
          </w:p>
          <w:p w:rsidRPr="1AF64579" w:rsidR="00AC4927" w:rsidDel="00651124" w:rsidP="4D233A8B" w:rsidRDefault="00AC4927" w14:paraId="794B5842" w14:textId="77777777">
            <w:pPr>
              <w:spacing w:line="276" w:lineRule="auto"/>
              <w:rPr>
                <w:rFonts w:ascii="Verdana" w:hAnsi="Verdana"/>
                <w:color w:val="000000" w:themeColor="text1"/>
                <w:sz w:val="18"/>
                <w:szCs w:val="18"/>
              </w:rPr>
            </w:pPr>
          </w:p>
        </w:tc>
      </w:tr>
      <w:tr w:rsidR="00990EC7" w:rsidTr="00950356" w14:paraId="02CA9427"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Pr="4D233A8B" w:rsidR="00990EC7" w:rsidP="00990EC7" w:rsidRDefault="00990EC7" w14:paraId="243FC3C9" w14:textId="7F1766A0">
            <w:pPr>
              <w:spacing w:line="276" w:lineRule="auto"/>
              <w:rPr>
                <w:rFonts w:ascii="Verdana" w:hAnsi="Verdana"/>
                <w:b/>
                <w:bCs/>
                <w:sz w:val="18"/>
                <w:szCs w:val="18"/>
              </w:rPr>
            </w:pPr>
            <w:r w:rsidRPr="6F6D82D9">
              <w:rPr>
                <w:rFonts w:ascii="Verdana" w:hAnsi="Verdana"/>
                <w:b/>
                <w:bCs/>
                <w:sz w:val="18"/>
                <w:szCs w:val="18"/>
              </w:rPr>
              <w:t>Omnibus InvestEU</w:t>
            </w:r>
          </w:p>
        </w:tc>
        <w:tc>
          <w:tcPr>
            <w:tcW w:w="1675" w:type="dxa"/>
            <w:tcBorders>
              <w:top w:val="single" w:color="auto" w:sz="4" w:space="0"/>
              <w:left w:val="single" w:color="auto" w:sz="4" w:space="0"/>
              <w:bottom w:val="single" w:color="auto" w:sz="4" w:space="0"/>
              <w:right w:val="single" w:color="auto" w:sz="4" w:space="0"/>
            </w:tcBorders>
          </w:tcPr>
          <w:p w:rsidRPr="4D233A8B" w:rsidR="00990EC7" w:rsidP="00990EC7" w:rsidRDefault="00990EC7" w14:paraId="3D46BBA1" w14:textId="4684E22B">
            <w:pPr>
              <w:spacing w:line="276" w:lineRule="auto"/>
              <w:rPr>
                <w:rFonts w:ascii="Verdana" w:hAnsi="Verdana"/>
                <w:sz w:val="18"/>
                <w:szCs w:val="18"/>
              </w:rPr>
            </w:pPr>
            <w:r w:rsidRPr="1AF64579">
              <w:rPr>
                <w:rFonts w:ascii="Verdana" w:hAnsi="Verdana"/>
                <w:sz w:val="18"/>
                <w:szCs w:val="18"/>
              </w:rPr>
              <w:t>COM(2025)84</w:t>
            </w:r>
          </w:p>
        </w:tc>
        <w:tc>
          <w:tcPr>
            <w:tcW w:w="6360" w:type="dxa"/>
            <w:tcBorders>
              <w:top w:val="single" w:color="auto" w:sz="4" w:space="0"/>
              <w:left w:val="single" w:color="auto" w:sz="4" w:space="0"/>
              <w:bottom w:val="single" w:color="auto" w:sz="4" w:space="0"/>
              <w:right w:val="single" w:color="auto" w:sz="4" w:space="0"/>
            </w:tcBorders>
          </w:tcPr>
          <w:p w:rsidRPr="4D233A8B" w:rsidR="00990EC7" w:rsidP="00990EC7" w:rsidRDefault="00990EC7" w14:paraId="5D98DF83" w14:textId="32165995">
            <w:pPr>
              <w:rPr>
                <w:rFonts w:ascii="Verdana" w:hAnsi="Verdana"/>
                <w:sz w:val="18"/>
                <w:szCs w:val="18"/>
              </w:rPr>
            </w:pPr>
            <w:r>
              <w:rPr>
                <w:rFonts w:ascii="Verdana" w:hAnsi="Verdana"/>
                <w:sz w:val="18"/>
                <w:szCs w:val="18"/>
              </w:rPr>
              <w:t xml:space="preserve">Het voorstel beoogt </w:t>
            </w:r>
            <w:r w:rsidRPr="008D4DBA">
              <w:rPr>
                <w:rFonts w:ascii="Verdana" w:hAnsi="Verdana"/>
                <w:sz w:val="18"/>
                <w:szCs w:val="18"/>
              </w:rPr>
              <w:t xml:space="preserve">de efficiëntie van </w:t>
            </w:r>
            <w:r>
              <w:rPr>
                <w:rFonts w:ascii="Verdana" w:hAnsi="Verdana"/>
                <w:sz w:val="18"/>
                <w:szCs w:val="18"/>
              </w:rPr>
              <w:t>rapportagevereisten voor EU garanties onder het InvestEU programma te vergroten door vereenvoudiging.</w:t>
            </w:r>
          </w:p>
        </w:tc>
        <w:tc>
          <w:tcPr>
            <w:tcW w:w="4102" w:type="dxa"/>
            <w:tcBorders>
              <w:top w:val="single" w:color="auto" w:sz="4" w:space="0"/>
              <w:left w:val="single" w:color="auto" w:sz="4" w:space="0"/>
              <w:bottom w:val="single" w:color="auto" w:sz="4" w:space="0"/>
              <w:right w:val="single" w:color="auto" w:sz="4" w:space="0"/>
            </w:tcBorders>
          </w:tcPr>
          <w:p w:rsidR="4BF5DFB4" w:rsidP="6F6D82D9" w:rsidRDefault="2339D757" w14:paraId="3D0BDDFC" w14:textId="54A01267">
            <w:pPr>
              <w:spacing w:line="276" w:lineRule="auto"/>
              <w:rPr>
                <w:rFonts w:ascii="Verdana" w:hAnsi="Verdana" w:eastAsia="Times New Roman"/>
                <w:sz w:val="18"/>
                <w:szCs w:val="18"/>
              </w:rPr>
            </w:pPr>
            <w:r w:rsidRPr="6F6D82D9">
              <w:rPr>
                <w:rFonts w:ascii="Verdana" w:hAnsi="Verdana" w:eastAsia="Verdana" w:cs="Verdana"/>
                <w:sz w:val="18"/>
                <w:szCs w:val="18"/>
              </w:rPr>
              <w:t xml:space="preserve"> De onderhandelingen in triloog zijn afgerond en er is een politiek akkoord bereikt tussen de Commissie, de Raad en het Europees Parlement. Het voorstel zit in de afrondende procedurele fase.</w:t>
            </w:r>
          </w:p>
          <w:p w:rsidRPr="4D233A8B" w:rsidR="00990EC7" w:rsidP="00990EC7" w:rsidRDefault="00990EC7" w14:paraId="4CC37E21" w14:textId="1E778644">
            <w:pPr>
              <w:spacing w:line="276" w:lineRule="auto"/>
              <w:rPr>
                <w:rFonts w:ascii="Verdana" w:hAnsi="Verdana" w:eastAsia="Times New Roman"/>
                <w:sz w:val="18"/>
                <w:szCs w:val="18"/>
              </w:rPr>
            </w:pPr>
          </w:p>
        </w:tc>
      </w:tr>
      <w:tr w:rsidR="00990EC7" w:rsidTr="00950356" w14:paraId="29931E45"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Pr="4D233A8B" w:rsidR="00990EC7" w:rsidP="00990EC7" w:rsidRDefault="00990EC7" w14:paraId="11E96E9B" w14:textId="007DACC9">
            <w:pPr>
              <w:spacing w:line="276" w:lineRule="auto"/>
              <w:rPr>
                <w:rFonts w:ascii="Verdana" w:hAnsi="Verdana"/>
                <w:b/>
                <w:bCs/>
                <w:sz w:val="18"/>
                <w:szCs w:val="18"/>
              </w:rPr>
            </w:pPr>
            <w:r w:rsidRPr="6F6D82D9">
              <w:rPr>
                <w:rFonts w:ascii="Verdana" w:hAnsi="Verdana"/>
                <w:b/>
                <w:bCs/>
                <w:sz w:val="18"/>
                <w:szCs w:val="18"/>
              </w:rPr>
              <w:t>Verordening niet-financiële statistieken over zakelijk ontroerend goed</w:t>
            </w:r>
          </w:p>
        </w:tc>
        <w:tc>
          <w:tcPr>
            <w:tcW w:w="1675" w:type="dxa"/>
            <w:tcBorders>
              <w:top w:val="single" w:color="auto" w:sz="4" w:space="0"/>
              <w:left w:val="single" w:color="auto" w:sz="4" w:space="0"/>
              <w:bottom w:val="single" w:color="auto" w:sz="4" w:space="0"/>
              <w:right w:val="single" w:color="auto" w:sz="4" w:space="0"/>
            </w:tcBorders>
          </w:tcPr>
          <w:p w:rsidRPr="4D233A8B" w:rsidR="00990EC7" w:rsidP="00990EC7" w:rsidRDefault="00990EC7" w14:paraId="4344F278" w14:textId="1C85E791">
            <w:pPr>
              <w:spacing w:line="276" w:lineRule="auto"/>
              <w:rPr>
                <w:rFonts w:ascii="Verdana" w:hAnsi="Verdana"/>
                <w:sz w:val="18"/>
                <w:szCs w:val="18"/>
              </w:rPr>
            </w:pPr>
            <w:r w:rsidRPr="1AF64579">
              <w:rPr>
                <w:rFonts w:ascii="Verdana" w:hAnsi="Verdana"/>
                <w:sz w:val="18"/>
                <w:szCs w:val="18"/>
              </w:rPr>
              <w:t>COM(2025)100</w:t>
            </w:r>
          </w:p>
        </w:tc>
        <w:tc>
          <w:tcPr>
            <w:tcW w:w="6360" w:type="dxa"/>
            <w:tcBorders>
              <w:top w:val="single" w:color="auto" w:sz="4" w:space="0"/>
              <w:left w:val="single" w:color="auto" w:sz="4" w:space="0"/>
              <w:bottom w:val="single" w:color="auto" w:sz="4" w:space="0"/>
              <w:right w:val="single" w:color="auto" w:sz="4" w:space="0"/>
            </w:tcBorders>
          </w:tcPr>
          <w:p w:rsidRPr="4D233A8B" w:rsidR="00990EC7" w:rsidP="00990EC7" w:rsidRDefault="00990EC7" w14:paraId="4716CE58" w14:textId="6AF73952">
            <w:pPr>
              <w:rPr>
                <w:rFonts w:ascii="Verdana" w:hAnsi="Verdana"/>
                <w:sz w:val="18"/>
                <w:szCs w:val="18"/>
              </w:rPr>
            </w:pPr>
            <w:r w:rsidRPr="4D233A8B">
              <w:rPr>
                <w:rFonts w:ascii="Verdana" w:hAnsi="Verdana"/>
                <w:sz w:val="18"/>
                <w:szCs w:val="18"/>
              </w:rPr>
              <w:t xml:space="preserve">Het voorstel </w:t>
            </w:r>
            <w:r>
              <w:rPr>
                <w:rFonts w:ascii="Verdana" w:hAnsi="Verdana"/>
                <w:sz w:val="18"/>
                <w:szCs w:val="18"/>
              </w:rPr>
              <w:t>betreffende een verordening van het Europees Parlement en de Raad betreffende niet-financiële statistieken over zakelijk onroerend goed.</w:t>
            </w:r>
          </w:p>
        </w:tc>
        <w:tc>
          <w:tcPr>
            <w:tcW w:w="4102" w:type="dxa"/>
            <w:tcBorders>
              <w:top w:val="single" w:color="auto" w:sz="4" w:space="0"/>
              <w:left w:val="single" w:color="auto" w:sz="4" w:space="0"/>
              <w:bottom w:val="single" w:color="auto" w:sz="4" w:space="0"/>
              <w:right w:val="single" w:color="auto" w:sz="4" w:space="0"/>
            </w:tcBorders>
          </w:tcPr>
          <w:p w:rsidR="00B26362" w:rsidP="00B26362" w:rsidRDefault="0079184F" w14:paraId="727B57A4" w14:textId="1BEEC938">
            <w:pPr>
              <w:spacing w:line="276" w:lineRule="auto"/>
              <w:rPr>
                <w:rFonts w:ascii="Verdana" w:hAnsi="Verdana" w:eastAsia="Times New Roman"/>
                <w:sz w:val="18"/>
                <w:szCs w:val="18"/>
              </w:rPr>
            </w:pPr>
            <w:r>
              <w:rPr>
                <w:rFonts w:ascii="Verdana" w:hAnsi="Verdana" w:eastAsia="Times New Roman"/>
                <w:sz w:val="18"/>
                <w:szCs w:val="18"/>
              </w:rPr>
              <w:t>De Raad heeft een algemene oriëntatie bereikt.</w:t>
            </w:r>
            <w:r w:rsidR="00B26362">
              <w:rPr>
                <w:rFonts w:ascii="Verdana" w:hAnsi="Verdana" w:eastAsia="Times New Roman"/>
                <w:sz w:val="18"/>
                <w:szCs w:val="18"/>
              </w:rPr>
              <w:t xml:space="preserve"> </w:t>
            </w:r>
            <w:r w:rsidRPr="507AC0F1" w:rsidR="00B26362">
              <w:rPr>
                <w:rFonts w:ascii="Verdana" w:hAnsi="Verdana" w:eastAsia="Times New Roman"/>
                <w:sz w:val="18"/>
                <w:szCs w:val="18"/>
              </w:rPr>
              <w:t xml:space="preserve">Het Europees Parlement heeft nog geen positie ingenomen. Zodra dit wel het geval is, start de triloogfase met </w:t>
            </w:r>
            <w:r w:rsidRPr="507AC0F1" w:rsidR="00B26362">
              <w:rPr>
                <w:rFonts w:ascii="Verdana" w:hAnsi="Verdana" w:eastAsia="Times New Roman"/>
                <w:sz w:val="18"/>
                <w:szCs w:val="18"/>
              </w:rPr>
              <w:lastRenderedPageBreak/>
              <w:t>onderhandelingen tussen de Commissie, de Raad en het Europees Parlement.</w:t>
            </w:r>
          </w:p>
          <w:p w:rsidRPr="4D233A8B" w:rsidR="00990EC7" w:rsidP="00990EC7" w:rsidRDefault="00990EC7" w14:paraId="50F6DD42" w14:textId="00DE311B">
            <w:pPr>
              <w:spacing w:line="276" w:lineRule="auto"/>
              <w:rPr>
                <w:rFonts w:ascii="Verdana" w:hAnsi="Verdana" w:eastAsia="Times New Roman"/>
                <w:sz w:val="18"/>
                <w:szCs w:val="18"/>
              </w:rPr>
            </w:pPr>
          </w:p>
        </w:tc>
      </w:tr>
      <w:tr w:rsidR="00990EC7" w:rsidTr="00950356" w14:paraId="4982654F"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00990EC7" w:rsidP="1AF64579" w:rsidRDefault="00990EC7" w14:paraId="4D017CA7" w14:textId="40EE8E07">
            <w:pPr>
              <w:spacing w:line="276" w:lineRule="auto"/>
              <w:rPr>
                <w:rFonts w:ascii="Verdana" w:hAnsi="Verdana" w:eastAsia="Verdana" w:cs="Verdana"/>
                <w:b/>
                <w:bCs/>
                <w:sz w:val="18"/>
                <w:szCs w:val="18"/>
              </w:rPr>
            </w:pPr>
            <w:r w:rsidRPr="202A8CE5">
              <w:rPr>
                <w:rFonts w:ascii="Verdana" w:hAnsi="Verdana" w:eastAsia="Verdana" w:cs="Verdana"/>
                <w:b/>
                <w:bCs/>
                <w:sz w:val="18"/>
                <w:szCs w:val="18"/>
              </w:rPr>
              <w:lastRenderedPageBreak/>
              <w:t>Mid-term review cohesiebeleid</w:t>
            </w:r>
          </w:p>
        </w:tc>
        <w:tc>
          <w:tcPr>
            <w:tcW w:w="1675" w:type="dxa"/>
            <w:tcBorders>
              <w:top w:val="single" w:color="auto" w:sz="4" w:space="0"/>
              <w:left w:val="single" w:color="auto" w:sz="4" w:space="0"/>
              <w:bottom w:val="single" w:color="auto" w:sz="4" w:space="0"/>
              <w:right w:val="single" w:color="auto" w:sz="4" w:space="0"/>
            </w:tcBorders>
          </w:tcPr>
          <w:p w:rsidRPr="009B280A" w:rsidR="00990EC7" w:rsidP="1AF64579" w:rsidRDefault="00990EC7" w14:paraId="4D17F68C" w14:textId="45B2B858">
            <w:pPr>
              <w:spacing w:line="276" w:lineRule="auto"/>
              <w:rPr>
                <w:rFonts w:ascii="Verdana" w:hAnsi="Verdana" w:eastAsia="Verdana" w:cs="Verdana"/>
                <w:sz w:val="18"/>
                <w:szCs w:val="18"/>
              </w:rPr>
            </w:pPr>
            <w:r w:rsidRPr="1AF64579">
              <w:rPr>
                <w:rFonts w:ascii="Verdana" w:hAnsi="Verdana" w:eastAsia="Verdana" w:cs="Verdana"/>
                <w:sz w:val="18"/>
                <w:szCs w:val="18"/>
              </w:rPr>
              <w:t>COM(2025)163</w:t>
            </w:r>
          </w:p>
        </w:tc>
        <w:tc>
          <w:tcPr>
            <w:tcW w:w="6360" w:type="dxa"/>
            <w:tcBorders>
              <w:top w:val="single" w:color="auto" w:sz="4" w:space="0"/>
              <w:left w:val="single" w:color="auto" w:sz="4" w:space="0"/>
              <w:bottom w:val="single" w:color="auto" w:sz="4" w:space="0"/>
              <w:right w:val="single" w:color="auto" w:sz="4" w:space="0"/>
            </w:tcBorders>
          </w:tcPr>
          <w:p w:rsidRPr="4D233A8B" w:rsidR="00990EC7" w:rsidP="1AF64579" w:rsidRDefault="00990EC7" w14:paraId="2B5A3792" w14:textId="35EC27CF">
            <w:pPr>
              <w:rPr>
                <w:rFonts w:ascii="Verdana" w:hAnsi="Verdana" w:eastAsia="Verdana" w:cs="Verdana"/>
                <w:sz w:val="18"/>
                <w:szCs w:val="18"/>
              </w:rPr>
            </w:pPr>
            <w:r w:rsidRPr="1AF64579">
              <w:rPr>
                <w:rFonts w:ascii="Verdana" w:hAnsi="Verdana" w:eastAsia="Verdana" w:cs="Verdana"/>
                <w:sz w:val="18"/>
                <w:szCs w:val="18"/>
              </w:rPr>
              <w:t>Het voorstel beoogt de investeringen uit de fondsen onder het cohesiebeleid beter af te stemmen op de nieuwe Europese prioriteiten: concurrentievermogen en decarbonisatie, defensie en veiligheid, betaalbare huisvesting, waterweerbaarheid en energietransitie.</w:t>
            </w:r>
          </w:p>
        </w:tc>
        <w:tc>
          <w:tcPr>
            <w:tcW w:w="4102" w:type="dxa"/>
            <w:tcBorders>
              <w:top w:val="single" w:color="auto" w:sz="4" w:space="0"/>
              <w:left w:val="single" w:color="auto" w:sz="4" w:space="0"/>
              <w:bottom w:val="single" w:color="auto" w:sz="4" w:space="0"/>
              <w:right w:val="single" w:color="auto" w:sz="4" w:space="0"/>
            </w:tcBorders>
          </w:tcPr>
          <w:p w:rsidR="00990EC7" w:rsidP="202A8CE5" w:rsidRDefault="68A214F9" w14:paraId="3F12A64B" w14:textId="465D9A23">
            <w:pPr>
              <w:spacing w:line="276" w:lineRule="auto"/>
              <w:rPr>
                <w:rFonts w:ascii="Verdana" w:hAnsi="Verdana" w:eastAsia="Verdana" w:cs="Verdana"/>
                <w:sz w:val="18"/>
                <w:szCs w:val="18"/>
              </w:rPr>
            </w:pPr>
            <w:r w:rsidRPr="202A8CE5">
              <w:rPr>
                <w:rFonts w:ascii="Verdana" w:hAnsi="Verdana" w:eastAsia="Verdana" w:cs="Verdana"/>
                <w:sz w:val="18"/>
                <w:szCs w:val="18"/>
              </w:rPr>
              <w:t xml:space="preserve"> Dit voorstel is gepubliceerd en afgerond</w:t>
            </w:r>
            <w:r w:rsidR="00021A74">
              <w:rPr>
                <w:rFonts w:ascii="Verdana" w:hAnsi="Verdana" w:eastAsia="Verdana" w:cs="Verdana"/>
                <w:sz w:val="18"/>
                <w:szCs w:val="18"/>
              </w:rPr>
              <w:t>.</w:t>
            </w:r>
          </w:p>
        </w:tc>
      </w:tr>
      <w:tr w:rsidR="005B6D5C" w:rsidTr="00950356" w14:paraId="4021A630"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005B6D5C" w:rsidP="1AF64579" w:rsidRDefault="00C67202" w14:paraId="242162DC" w14:textId="57A59622">
            <w:pPr>
              <w:spacing w:line="276" w:lineRule="auto"/>
              <w:rPr>
                <w:rFonts w:ascii="Verdana" w:hAnsi="Verdana" w:eastAsia="Verdana" w:cs="Verdana"/>
                <w:b/>
                <w:bCs/>
                <w:sz w:val="18"/>
                <w:szCs w:val="18"/>
              </w:rPr>
            </w:pPr>
            <w:r w:rsidRPr="6C9666BE">
              <w:rPr>
                <w:rFonts w:ascii="Verdana" w:hAnsi="Verdana" w:eastAsia="Verdana" w:cs="Verdana"/>
                <w:b/>
                <w:bCs/>
                <w:sz w:val="18"/>
                <w:szCs w:val="18"/>
              </w:rPr>
              <w:t>Herziening EU-verordeningen ter stimulering van defensie</w:t>
            </w:r>
            <w:r w:rsidRPr="6C9666BE" w:rsidR="205A1E25">
              <w:rPr>
                <w:rFonts w:ascii="Verdana" w:hAnsi="Verdana" w:eastAsia="Verdana" w:cs="Verdana"/>
                <w:b/>
                <w:bCs/>
                <w:sz w:val="18"/>
                <w:szCs w:val="18"/>
              </w:rPr>
              <w:t xml:space="preserve"> </w:t>
            </w:r>
            <w:r w:rsidRPr="6C9666BE">
              <w:rPr>
                <w:rFonts w:ascii="Verdana" w:hAnsi="Verdana" w:eastAsia="Verdana" w:cs="Verdana"/>
                <w:b/>
                <w:bCs/>
                <w:sz w:val="18"/>
                <w:szCs w:val="18"/>
              </w:rPr>
              <w:t>gerelateerde investeringen ter uitvoering van het ReArm Europe Plan</w:t>
            </w:r>
          </w:p>
        </w:tc>
        <w:tc>
          <w:tcPr>
            <w:tcW w:w="1675" w:type="dxa"/>
            <w:tcBorders>
              <w:top w:val="single" w:color="auto" w:sz="4" w:space="0"/>
              <w:left w:val="single" w:color="auto" w:sz="4" w:space="0"/>
              <w:bottom w:val="single" w:color="auto" w:sz="4" w:space="0"/>
              <w:right w:val="single" w:color="auto" w:sz="4" w:space="0"/>
            </w:tcBorders>
          </w:tcPr>
          <w:p w:rsidRPr="00B375D3" w:rsidR="005B6D5C" w:rsidP="1AF64579" w:rsidRDefault="00C67202" w14:paraId="2FDA4540" w14:textId="3C8D6222">
            <w:pPr>
              <w:spacing w:line="276" w:lineRule="auto"/>
              <w:rPr>
                <w:rFonts w:ascii="Verdana" w:hAnsi="Verdana" w:eastAsia="Verdana" w:cs="Verdana"/>
                <w:sz w:val="18"/>
                <w:szCs w:val="18"/>
              </w:rPr>
            </w:pPr>
            <w:r w:rsidRPr="1AF64579">
              <w:rPr>
                <w:rFonts w:ascii="Verdana" w:hAnsi="Verdana" w:eastAsia="Verdana" w:cs="Verdana"/>
                <w:sz w:val="18"/>
                <w:szCs w:val="18"/>
              </w:rPr>
              <w:t>COM(2025)188</w:t>
            </w:r>
          </w:p>
        </w:tc>
        <w:tc>
          <w:tcPr>
            <w:tcW w:w="6360" w:type="dxa"/>
            <w:tcBorders>
              <w:top w:val="single" w:color="auto" w:sz="4" w:space="0"/>
              <w:left w:val="single" w:color="auto" w:sz="4" w:space="0"/>
              <w:bottom w:val="single" w:color="auto" w:sz="4" w:space="0"/>
              <w:right w:val="single" w:color="auto" w:sz="4" w:space="0"/>
            </w:tcBorders>
          </w:tcPr>
          <w:p w:rsidR="005B6D5C" w:rsidP="1AF64579" w:rsidRDefault="34C92A8C" w14:paraId="639F6BFC" w14:textId="7AC88F11">
            <w:pPr>
              <w:rPr>
                <w:rFonts w:ascii="Verdana" w:hAnsi="Verdana" w:eastAsia="Verdana" w:cs="Verdana"/>
                <w:sz w:val="18"/>
                <w:szCs w:val="18"/>
              </w:rPr>
            </w:pPr>
            <w:r w:rsidRPr="1AF64579">
              <w:rPr>
                <w:rFonts w:ascii="Verdana" w:hAnsi="Verdana" w:eastAsia="Verdana" w:cs="Verdana"/>
                <w:sz w:val="18"/>
                <w:szCs w:val="18"/>
              </w:rPr>
              <w:t>De Commissie stelt een herziening voor van diverse EU-verordeningen om investeringen in defensiegerelateerde technologieën en producten te stimuleren, als onderdeel van het ReArm Europe Plan. Centraal staat het versterken van de Europese defensie-industrie, het ondersteunen van dual-use innovatie (ook door mkb en startups), en het vergroten van militaire mobiliteit en synergie met andere strategische sectoren. Dit gebeurt onder meer via uitbreiding van het STEP-mandaat, aanpassing van programma’s zoals Horizon Europe, EDF, ASAP, DEP en het cohesiebeleid, zonder extra middelen binnen het huidige MFK.</w:t>
            </w:r>
          </w:p>
        </w:tc>
        <w:tc>
          <w:tcPr>
            <w:tcW w:w="4102" w:type="dxa"/>
            <w:tcBorders>
              <w:top w:val="single" w:color="auto" w:sz="4" w:space="0"/>
              <w:left w:val="single" w:color="auto" w:sz="4" w:space="0"/>
              <w:bottom w:val="single" w:color="auto" w:sz="4" w:space="0"/>
              <w:right w:val="single" w:color="auto" w:sz="4" w:space="0"/>
            </w:tcBorders>
          </w:tcPr>
          <w:p w:rsidR="005B6D5C" w:rsidP="1AF64579" w:rsidRDefault="2602C09F" w14:paraId="75FE842D" w14:textId="0FEEFBB9">
            <w:pPr>
              <w:spacing w:line="276" w:lineRule="auto"/>
              <w:rPr>
                <w:rFonts w:ascii="Verdana" w:hAnsi="Verdana" w:eastAsia="Verdana" w:cs="Verdana"/>
                <w:sz w:val="18"/>
                <w:szCs w:val="18"/>
                <w:highlight w:val="yellow"/>
              </w:rPr>
            </w:pPr>
            <w:r w:rsidRPr="6C9666BE">
              <w:rPr>
                <w:rFonts w:ascii="Verdana" w:hAnsi="Verdana" w:eastAsia="Verdana" w:cs="Verdana"/>
                <w:sz w:val="18"/>
                <w:szCs w:val="18"/>
              </w:rPr>
              <w:t>Dit voorstel is gepubliceerd en afgerond</w:t>
            </w:r>
            <w:r w:rsidRPr="6C9666BE" w:rsidR="00610F4A">
              <w:rPr>
                <w:rFonts w:ascii="Verdana" w:hAnsi="Verdana" w:eastAsia="Verdana" w:cs="Verdana"/>
                <w:sz w:val="18"/>
                <w:szCs w:val="18"/>
              </w:rPr>
              <w:t>.</w:t>
            </w:r>
          </w:p>
        </w:tc>
      </w:tr>
      <w:tr w:rsidR="00C67202" w:rsidTr="00950356" w14:paraId="70BC2CF7"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Pr="00C67202" w:rsidR="00C67202" w:rsidP="1AF64579" w:rsidRDefault="00C67202" w14:paraId="569B7E43" w14:textId="77777777">
            <w:pPr>
              <w:spacing w:line="276" w:lineRule="auto"/>
              <w:rPr>
                <w:rFonts w:ascii="Verdana" w:hAnsi="Verdana" w:eastAsia="Verdana" w:cs="Verdana"/>
                <w:b/>
                <w:bCs/>
                <w:sz w:val="18"/>
                <w:szCs w:val="18"/>
              </w:rPr>
            </w:pPr>
            <w:r w:rsidRPr="1AF64579">
              <w:rPr>
                <w:rFonts w:ascii="Verdana" w:hAnsi="Verdana" w:eastAsia="Verdana" w:cs="Verdana"/>
                <w:b/>
                <w:bCs/>
                <w:sz w:val="18"/>
                <w:szCs w:val="18"/>
              </w:rPr>
              <w:t xml:space="preserve">Wijziging van verordeningen om bepaalde steunmaatregelen voor </w:t>
            </w:r>
          </w:p>
          <w:p w:rsidRPr="00C67202" w:rsidR="00C67202" w:rsidP="1AF64579" w:rsidRDefault="00C67202" w14:paraId="2647BB1D" w14:textId="77777777">
            <w:pPr>
              <w:spacing w:line="276" w:lineRule="auto"/>
              <w:rPr>
                <w:rFonts w:ascii="Verdana" w:hAnsi="Verdana" w:eastAsia="Verdana" w:cs="Verdana"/>
                <w:b/>
                <w:bCs/>
                <w:sz w:val="18"/>
                <w:szCs w:val="18"/>
              </w:rPr>
            </w:pPr>
            <w:r w:rsidRPr="1AF64579">
              <w:rPr>
                <w:rFonts w:ascii="Verdana" w:hAnsi="Verdana" w:eastAsia="Verdana" w:cs="Verdana"/>
                <w:b/>
                <w:bCs/>
                <w:sz w:val="18"/>
                <w:szCs w:val="18"/>
              </w:rPr>
              <w:t xml:space="preserve">het mkb uit te breiden naar small mid-cap ondernemingen en aanvullende </w:t>
            </w:r>
          </w:p>
          <w:p w:rsidRPr="00930FB5" w:rsidR="00C67202" w:rsidP="1AF64579" w:rsidRDefault="00C67202" w14:paraId="530666D7" w14:textId="28E21B28">
            <w:pPr>
              <w:spacing w:line="276" w:lineRule="auto"/>
              <w:rPr>
                <w:rFonts w:ascii="Verdana" w:hAnsi="Verdana" w:eastAsia="Verdana" w:cs="Verdana"/>
                <w:b/>
                <w:bCs/>
                <w:sz w:val="18"/>
                <w:szCs w:val="18"/>
              </w:rPr>
            </w:pPr>
            <w:r w:rsidRPr="1AF64579">
              <w:rPr>
                <w:rFonts w:ascii="Verdana" w:hAnsi="Verdana" w:eastAsia="Verdana" w:cs="Verdana"/>
                <w:b/>
                <w:bCs/>
                <w:sz w:val="18"/>
                <w:szCs w:val="18"/>
              </w:rPr>
              <w:t>vereenvoudigingsmaatregelen</w:t>
            </w:r>
          </w:p>
        </w:tc>
        <w:tc>
          <w:tcPr>
            <w:tcW w:w="1675" w:type="dxa"/>
            <w:tcBorders>
              <w:top w:val="single" w:color="auto" w:sz="4" w:space="0"/>
              <w:left w:val="single" w:color="auto" w:sz="4" w:space="0"/>
              <w:bottom w:val="single" w:color="auto" w:sz="4" w:space="0"/>
              <w:right w:val="single" w:color="auto" w:sz="4" w:space="0"/>
            </w:tcBorders>
          </w:tcPr>
          <w:p w:rsidRPr="00E756FC" w:rsidR="00E756FC" w:rsidP="1AF64579" w:rsidRDefault="00E756FC" w14:paraId="0B34CFBF" w14:textId="6A20E608">
            <w:pPr>
              <w:spacing w:line="276" w:lineRule="auto"/>
              <w:rPr>
                <w:rFonts w:ascii="Verdana" w:hAnsi="Verdana" w:eastAsia="Verdana" w:cs="Verdana"/>
                <w:sz w:val="18"/>
                <w:szCs w:val="18"/>
              </w:rPr>
            </w:pPr>
            <w:r w:rsidRPr="1AF64579">
              <w:rPr>
                <w:rFonts w:ascii="Verdana" w:hAnsi="Verdana" w:eastAsia="Verdana" w:cs="Verdana"/>
                <w:sz w:val="18"/>
                <w:szCs w:val="18"/>
              </w:rPr>
              <w:t>COM(2025)501</w:t>
            </w:r>
            <w:r w:rsidRPr="1AF64579" w:rsidR="00085929">
              <w:rPr>
                <w:rFonts w:ascii="Verdana" w:hAnsi="Verdana" w:eastAsia="Verdana" w:cs="Verdana"/>
                <w:sz w:val="18"/>
                <w:szCs w:val="18"/>
              </w:rPr>
              <w:t>,</w:t>
            </w:r>
          </w:p>
          <w:p w:rsidR="00C67202" w:rsidP="1AF64579" w:rsidRDefault="00E756FC" w14:paraId="7D2BF666" w14:textId="326A33DD">
            <w:pPr>
              <w:spacing w:line="276" w:lineRule="auto"/>
              <w:rPr>
                <w:rFonts w:ascii="Verdana" w:hAnsi="Verdana" w:eastAsia="Verdana" w:cs="Verdana"/>
                <w:sz w:val="18"/>
                <w:szCs w:val="18"/>
              </w:rPr>
            </w:pPr>
            <w:r w:rsidRPr="1AF64579">
              <w:rPr>
                <w:rFonts w:ascii="Verdana" w:hAnsi="Verdana" w:eastAsia="Verdana" w:cs="Verdana"/>
                <w:sz w:val="18"/>
                <w:szCs w:val="18"/>
              </w:rPr>
              <w:t>COM(2025)502</w:t>
            </w:r>
            <w:r w:rsidRPr="1AF64579" w:rsidR="00085929">
              <w:rPr>
                <w:rFonts w:ascii="Verdana" w:hAnsi="Verdana" w:eastAsia="Verdana" w:cs="Verdana"/>
                <w:sz w:val="18"/>
                <w:szCs w:val="18"/>
              </w:rPr>
              <w:t>,</w:t>
            </w:r>
          </w:p>
          <w:p w:rsidR="00085929" w:rsidP="1AF64579" w:rsidRDefault="00085929" w14:paraId="2438A626" w14:textId="5E96D340">
            <w:pPr>
              <w:spacing w:line="276" w:lineRule="auto"/>
              <w:rPr>
                <w:rFonts w:ascii="Verdana" w:hAnsi="Verdana" w:eastAsia="Verdana" w:cs="Verdana"/>
                <w:sz w:val="18"/>
                <w:szCs w:val="18"/>
              </w:rPr>
            </w:pPr>
          </w:p>
          <w:p w:rsidRPr="0055290E" w:rsidR="00984B32" w:rsidP="1AF64579" w:rsidRDefault="00984B32" w14:paraId="37A42677" w14:textId="02FA1AAE">
            <w:pPr>
              <w:spacing w:line="276" w:lineRule="auto"/>
              <w:rPr>
                <w:rFonts w:ascii="Verdana" w:hAnsi="Verdana" w:eastAsia="Verdana" w:cs="Verdana"/>
                <w:sz w:val="18"/>
                <w:szCs w:val="18"/>
              </w:rPr>
            </w:pPr>
          </w:p>
        </w:tc>
        <w:tc>
          <w:tcPr>
            <w:tcW w:w="6360" w:type="dxa"/>
            <w:tcBorders>
              <w:top w:val="single" w:color="auto" w:sz="4" w:space="0"/>
              <w:left w:val="single" w:color="auto" w:sz="4" w:space="0"/>
              <w:bottom w:val="single" w:color="auto" w:sz="4" w:space="0"/>
              <w:right w:val="single" w:color="auto" w:sz="4" w:space="0"/>
            </w:tcBorders>
          </w:tcPr>
          <w:p w:rsidR="00C67202" w:rsidP="1AF64579" w:rsidRDefault="1AF36E71" w14:paraId="2F646D56" w14:textId="2BA70A1E">
            <w:pPr>
              <w:rPr>
                <w:rFonts w:ascii="Verdana" w:hAnsi="Verdana" w:eastAsia="Verdana" w:cs="Verdana"/>
                <w:sz w:val="18"/>
                <w:szCs w:val="18"/>
              </w:rPr>
            </w:pPr>
            <w:r w:rsidRPr="1AF64579">
              <w:rPr>
                <w:rFonts w:ascii="Verdana" w:hAnsi="Verdana" w:eastAsia="Verdana" w:cs="Verdana"/>
                <w:sz w:val="18"/>
                <w:szCs w:val="18"/>
              </w:rPr>
              <w:t>De Europese Commissie heeft op 21 mei 2025 een vierde Omnibuspakket gepresenteerd om regeldruk voor bedrijven te verminderen, met als kern de introductie van een geharmoniseerde definitie voor small mid-cap bedrijven (SMC’s), gericht op proportioneelere regelgeving. Deze nieuwe categorie bedrijven krijgt toegang tot versoepelingen die voorheen enkel voor het mkb golden, in wetgeving zoals de AVG, MiFID II en de Prospectusverordening.</w:t>
            </w:r>
          </w:p>
        </w:tc>
        <w:tc>
          <w:tcPr>
            <w:tcW w:w="4102" w:type="dxa"/>
            <w:tcBorders>
              <w:top w:val="single" w:color="auto" w:sz="4" w:space="0"/>
              <w:left w:val="single" w:color="auto" w:sz="4" w:space="0"/>
              <w:bottom w:val="single" w:color="auto" w:sz="4" w:space="0"/>
              <w:right w:val="single" w:color="auto" w:sz="4" w:space="0"/>
            </w:tcBorders>
          </w:tcPr>
          <w:p w:rsidR="002A2EE1" w:rsidP="002A2EE1" w:rsidRDefault="002A2EE1" w14:paraId="58CDF2EC" w14:textId="77777777">
            <w:pPr>
              <w:spacing w:line="276" w:lineRule="auto"/>
              <w:rPr>
                <w:rFonts w:ascii="Verdana" w:hAnsi="Verdana" w:eastAsia="Times New Roman"/>
                <w:sz w:val="18"/>
                <w:szCs w:val="18"/>
              </w:rPr>
            </w:pPr>
            <w:r w:rsidRPr="507AC0F1">
              <w:rPr>
                <w:rFonts w:ascii="Verdana" w:hAnsi="Verdana" w:eastAsia="Times New Roman"/>
                <w:sz w:val="18"/>
                <w:szCs w:val="18"/>
              </w:rPr>
              <w:t>De Raad heeft een algemene oriëntatie bereikt. Het Europees Parlement heeft nog geen positie ingenomen. Zodra dit wel het geval is, start de triloogfase met onderhandelingen tussen de Commissie, de Raad en het Europees Parlement.</w:t>
            </w:r>
          </w:p>
          <w:p w:rsidR="00C67202" w:rsidP="1AF64579" w:rsidRDefault="00C67202" w14:paraId="3AC3485F" w14:textId="5E3B94DD">
            <w:pPr>
              <w:spacing w:line="276" w:lineRule="auto"/>
              <w:rPr>
                <w:rFonts w:ascii="Verdana" w:hAnsi="Verdana" w:eastAsia="Verdana" w:cs="Verdana"/>
                <w:sz w:val="18"/>
                <w:szCs w:val="18"/>
                <w:highlight w:val="yellow"/>
              </w:rPr>
            </w:pPr>
          </w:p>
        </w:tc>
      </w:tr>
      <w:tr w:rsidR="1AF64579" w:rsidTr="00950356" w14:paraId="7E277F70"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3286A705" w:rsidP="1AF64579" w:rsidRDefault="3286A705" w14:paraId="4BB75288" w14:textId="0BAA5B7E">
            <w:pPr>
              <w:spacing w:line="276" w:lineRule="auto"/>
              <w:rPr>
                <w:rFonts w:ascii="Verdana" w:hAnsi="Verdana" w:eastAsia="Verdana" w:cs="Verdana"/>
                <w:b/>
                <w:bCs/>
                <w:sz w:val="18"/>
                <w:szCs w:val="18"/>
              </w:rPr>
            </w:pPr>
            <w:r w:rsidRPr="1AF64579">
              <w:rPr>
                <w:rFonts w:ascii="Verdana" w:hAnsi="Verdana" w:eastAsia="Verdana" w:cs="Verdana"/>
                <w:b/>
                <w:bCs/>
                <w:sz w:val="18"/>
                <w:szCs w:val="18"/>
              </w:rPr>
              <w:t>Wijziging van verordeningen voor de digitalisering van productinformatie en gemeenschappelijke specificaties</w:t>
            </w:r>
          </w:p>
        </w:tc>
        <w:tc>
          <w:tcPr>
            <w:tcW w:w="1675" w:type="dxa"/>
            <w:tcBorders>
              <w:top w:val="single" w:color="auto" w:sz="4" w:space="0"/>
              <w:left w:val="single" w:color="auto" w:sz="4" w:space="0"/>
              <w:bottom w:val="single" w:color="auto" w:sz="4" w:space="0"/>
              <w:right w:val="single" w:color="auto" w:sz="4" w:space="0"/>
            </w:tcBorders>
          </w:tcPr>
          <w:p w:rsidR="7CDC4763" w:rsidP="1AF64579" w:rsidRDefault="7CDC4763" w14:paraId="0286258E" w14:textId="161DDE26">
            <w:pPr>
              <w:spacing w:line="276" w:lineRule="auto"/>
              <w:rPr>
                <w:rFonts w:ascii="Verdana" w:hAnsi="Verdana" w:eastAsia="Verdana" w:cs="Verdana"/>
                <w:sz w:val="18"/>
                <w:szCs w:val="18"/>
              </w:rPr>
            </w:pPr>
            <w:r w:rsidRPr="1AF64579">
              <w:rPr>
                <w:rFonts w:ascii="Verdana" w:hAnsi="Verdana" w:eastAsia="Verdana" w:cs="Verdana"/>
                <w:sz w:val="18"/>
                <w:szCs w:val="18"/>
              </w:rPr>
              <w:t xml:space="preserve">COM(2025)503, COM(2025)504  </w:t>
            </w:r>
          </w:p>
        </w:tc>
        <w:tc>
          <w:tcPr>
            <w:tcW w:w="6360" w:type="dxa"/>
            <w:tcBorders>
              <w:top w:val="single" w:color="auto" w:sz="4" w:space="0"/>
              <w:left w:val="single" w:color="auto" w:sz="4" w:space="0"/>
              <w:bottom w:val="single" w:color="auto" w:sz="4" w:space="0"/>
              <w:right w:val="single" w:color="auto" w:sz="4" w:space="0"/>
            </w:tcBorders>
          </w:tcPr>
          <w:p w:rsidR="66EB6ECF" w:rsidP="1AF64579" w:rsidRDefault="66EB6ECF" w14:paraId="60244D3E" w14:textId="0DF80068">
            <w:pPr>
              <w:rPr>
                <w:rFonts w:ascii="Verdana" w:hAnsi="Verdana" w:eastAsia="Verdana" w:cs="Verdana"/>
                <w:sz w:val="18"/>
                <w:szCs w:val="18"/>
              </w:rPr>
            </w:pPr>
            <w:r w:rsidRPr="1AF64579">
              <w:rPr>
                <w:rFonts w:ascii="Verdana" w:hAnsi="Verdana" w:eastAsia="Verdana" w:cs="Verdana"/>
                <w:sz w:val="18"/>
                <w:szCs w:val="18"/>
              </w:rPr>
              <w:t>Dit voorstel maakt onderdeel uit van het vierde omnibuspakket. Centraal staat het vereenvoudigen van productregels door fabrikanten te verplichten productinformatie, conformiteitsverklaringen en gebruiksinstructies digitaal aan te leveren, en een digitaal contactpunt toe te voegen. Daarnaast introduceert de Commissie een mechanisme om zelf tijdelijke productnormen (gemeenschappelijke specificaties) vast te stellen wanneer Europese normen ontbreken, om productveiligheid en innovatie te bevorderen.</w:t>
            </w:r>
          </w:p>
        </w:tc>
        <w:tc>
          <w:tcPr>
            <w:tcW w:w="4102" w:type="dxa"/>
            <w:tcBorders>
              <w:top w:val="single" w:color="auto" w:sz="4" w:space="0"/>
              <w:left w:val="single" w:color="auto" w:sz="4" w:space="0"/>
              <w:bottom w:val="single" w:color="auto" w:sz="4" w:space="0"/>
              <w:right w:val="single" w:color="auto" w:sz="4" w:space="0"/>
            </w:tcBorders>
          </w:tcPr>
          <w:p w:rsidR="002A2EE1" w:rsidP="002A2EE1" w:rsidRDefault="002A2EE1" w14:paraId="0BF8AC66" w14:textId="77777777">
            <w:pPr>
              <w:spacing w:line="276" w:lineRule="auto"/>
              <w:rPr>
                <w:rFonts w:ascii="Verdana" w:hAnsi="Verdana" w:eastAsia="Times New Roman"/>
                <w:sz w:val="18"/>
                <w:szCs w:val="18"/>
              </w:rPr>
            </w:pPr>
            <w:r w:rsidRPr="507AC0F1">
              <w:rPr>
                <w:rFonts w:ascii="Verdana" w:hAnsi="Verdana" w:eastAsia="Times New Roman"/>
                <w:sz w:val="18"/>
                <w:szCs w:val="18"/>
              </w:rPr>
              <w:t>De Raad heeft een algemene oriëntatie bereikt. Het Europees Parlement heeft nog geen positie ingenomen. Zodra dit wel het geval is, start de triloogfase met onderhandelingen tussen de Commissie, de Raad en het Europees Parlement.</w:t>
            </w:r>
          </w:p>
          <w:p w:rsidR="1AF64579" w:rsidP="1AF64579" w:rsidRDefault="1AF64579" w14:paraId="3C4FABCC" w14:textId="3C7E1372">
            <w:pPr>
              <w:spacing w:line="276" w:lineRule="auto"/>
              <w:rPr>
                <w:rFonts w:ascii="Verdana" w:hAnsi="Verdana" w:eastAsia="Verdana" w:cs="Verdana"/>
                <w:sz w:val="18"/>
                <w:szCs w:val="18"/>
              </w:rPr>
            </w:pPr>
          </w:p>
        </w:tc>
      </w:tr>
      <w:tr w:rsidR="00984B32" w:rsidTr="00950356" w14:paraId="397160F9"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Pr="00C67202" w:rsidR="00984B32" w:rsidP="1AF64579" w:rsidRDefault="006D2BAC" w14:paraId="7867037E" w14:textId="78F379C0">
            <w:pPr>
              <w:spacing w:line="276" w:lineRule="auto"/>
              <w:rPr>
                <w:rFonts w:ascii="Verdana" w:hAnsi="Verdana" w:eastAsia="Verdana" w:cs="Verdana"/>
                <w:b/>
                <w:bCs/>
                <w:sz w:val="18"/>
                <w:szCs w:val="18"/>
              </w:rPr>
            </w:pPr>
            <w:r w:rsidRPr="1AF64579">
              <w:rPr>
                <w:rFonts w:ascii="Verdana" w:hAnsi="Verdana" w:eastAsia="Verdana" w:cs="Verdana"/>
                <w:b/>
                <w:bCs/>
                <w:sz w:val="18"/>
                <w:szCs w:val="18"/>
              </w:rPr>
              <w:lastRenderedPageBreak/>
              <w:t>Verordening tot vaststelling van het ruimtevaartprogramma van de Unie, tot oprichting van het Agentschap van de Europese Unie voor het ruimtevaartprogramma en tot wijziging van enkele verordeningen</w:t>
            </w:r>
          </w:p>
        </w:tc>
        <w:tc>
          <w:tcPr>
            <w:tcW w:w="1675" w:type="dxa"/>
            <w:tcBorders>
              <w:top w:val="single" w:color="auto" w:sz="4" w:space="0"/>
              <w:left w:val="single" w:color="auto" w:sz="4" w:space="0"/>
              <w:bottom w:val="single" w:color="auto" w:sz="4" w:space="0"/>
              <w:right w:val="single" w:color="auto" w:sz="4" w:space="0"/>
            </w:tcBorders>
          </w:tcPr>
          <w:p w:rsidRPr="00E756FC" w:rsidR="00984B32" w:rsidP="1AF64579" w:rsidRDefault="00335FCE" w14:paraId="22FDFE5F" w14:textId="1CB30A23">
            <w:pPr>
              <w:spacing w:line="276" w:lineRule="auto"/>
              <w:rPr>
                <w:rFonts w:ascii="Verdana" w:hAnsi="Verdana" w:eastAsia="Verdana" w:cs="Verdana"/>
                <w:sz w:val="18"/>
                <w:szCs w:val="18"/>
              </w:rPr>
            </w:pPr>
            <w:r w:rsidRPr="1AF64579">
              <w:rPr>
                <w:rFonts w:ascii="Verdana" w:hAnsi="Verdana" w:eastAsia="Verdana" w:cs="Verdana"/>
                <w:sz w:val="18"/>
                <w:szCs w:val="18"/>
              </w:rPr>
              <w:t>COM(2025)335</w:t>
            </w:r>
          </w:p>
        </w:tc>
        <w:tc>
          <w:tcPr>
            <w:tcW w:w="6360" w:type="dxa"/>
            <w:tcBorders>
              <w:top w:val="single" w:color="auto" w:sz="4" w:space="0"/>
              <w:left w:val="single" w:color="auto" w:sz="4" w:space="0"/>
              <w:bottom w:val="single" w:color="auto" w:sz="4" w:space="0"/>
              <w:right w:val="single" w:color="auto" w:sz="4" w:space="0"/>
            </w:tcBorders>
          </w:tcPr>
          <w:p w:rsidR="00984B32" w:rsidP="1AF64579" w:rsidRDefault="016305C2" w14:paraId="05145742" w14:textId="0DD00A25">
            <w:pPr>
              <w:rPr>
                <w:rFonts w:ascii="Verdana" w:hAnsi="Verdana" w:eastAsia="Verdana" w:cs="Verdana"/>
                <w:sz w:val="18"/>
                <w:szCs w:val="18"/>
              </w:rPr>
            </w:pPr>
            <w:r w:rsidRPr="1AF64579">
              <w:rPr>
                <w:rFonts w:ascii="Verdana" w:hAnsi="Verdana" w:eastAsia="Verdana" w:cs="Verdana"/>
                <w:sz w:val="18"/>
                <w:szCs w:val="18"/>
              </w:rPr>
              <w:t>Het voorstel beoogt om tegen 2050 de EU te positioneren als wereldleider in de ruimtevaartsector een geharmoniseerd juridisch kader te creëren voor ruimtevaartactiviteiten binnen de Europese Unie. Concreter omvat het doel de juridische en technische versnippering binnen de interne markt te verminderen en tegelijkertijd de veiligheid, duurzaamheid en weerbaarheid van ruimtevaartactiviteiten te versterken. Het voorstel introduceert daartoe een gemeenschappelijk regelgevend kader op drie hoofdthema’s: (1) veiligheid en ruimteverkeersbeheer, (2) cyber- en fysieke weerbaarheid van ruimte-infrastructuur, en (3) milieu-impact en duurzaamheid van ruimteactiviteiten.</w:t>
            </w:r>
          </w:p>
        </w:tc>
        <w:tc>
          <w:tcPr>
            <w:tcW w:w="4102" w:type="dxa"/>
            <w:tcBorders>
              <w:top w:val="single" w:color="auto" w:sz="4" w:space="0"/>
              <w:left w:val="single" w:color="auto" w:sz="4" w:space="0"/>
              <w:bottom w:val="single" w:color="auto" w:sz="4" w:space="0"/>
              <w:right w:val="single" w:color="auto" w:sz="4" w:space="0"/>
            </w:tcBorders>
          </w:tcPr>
          <w:p w:rsidR="00984B32" w:rsidP="1AF64579" w:rsidRDefault="00610F4A" w14:paraId="78644328" w14:textId="32D3A5D2">
            <w:pPr>
              <w:spacing w:line="276" w:lineRule="auto"/>
              <w:rPr>
                <w:rFonts w:ascii="Verdana" w:hAnsi="Verdana" w:eastAsia="Verdana" w:cs="Verdana"/>
                <w:sz w:val="18"/>
                <w:szCs w:val="18"/>
                <w:highlight w:val="yellow"/>
              </w:rPr>
            </w:pPr>
            <w:r w:rsidRPr="1AF64579">
              <w:rPr>
                <w:rFonts w:ascii="Verdana" w:hAnsi="Verdana" w:eastAsia="Verdana" w:cs="Verdana"/>
                <w:sz w:val="18"/>
                <w:szCs w:val="18"/>
              </w:rPr>
              <w:t>Voorstel wordt besproken op ambtelijk EU-niveau in Raadskader.</w:t>
            </w:r>
          </w:p>
        </w:tc>
      </w:tr>
      <w:tr w:rsidR="7AC3B222" w:rsidTr="00950356" w14:paraId="56317759"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0668E558" w:rsidP="1AF64579" w:rsidRDefault="10ED635D" w14:paraId="55555DA3" w14:textId="37F0F72A">
            <w:pPr>
              <w:spacing w:line="276" w:lineRule="auto"/>
              <w:rPr>
                <w:rFonts w:ascii="Verdana" w:hAnsi="Verdana" w:eastAsia="Verdana" w:cs="Verdana"/>
                <w:b/>
                <w:bCs/>
                <w:sz w:val="18"/>
                <w:szCs w:val="18"/>
              </w:rPr>
            </w:pPr>
            <w:r w:rsidRPr="1AF64579">
              <w:rPr>
                <w:rFonts w:ascii="Verdana" w:hAnsi="Verdana" w:eastAsia="Verdana" w:cs="Verdana"/>
                <w:b/>
                <w:bCs/>
                <w:sz w:val="18"/>
                <w:szCs w:val="18"/>
              </w:rPr>
              <w:t xml:space="preserve">Europese Concurrentiekrachtfonds </w:t>
            </w:r>
            <w:r w:rsidRPr="1AF64579" w:rsidR="03EA95B1">
              <w:rPr>
                <w:rFonts w:ascii="Verdana" w:hAnsi="Verdana" w:eastAsia="Verdana" w:cs="Verdana"/>
                <w:b/>
                <w:bCs/>
                <w:sz w:val="18"/>
                <w:szCs w:val="18"/>
              </w:rPr>
              <w:t>(</w:t>
            </w:r>
            <w:r w:rsidRPr="1AF64579" w:rsidR="0668E558">
              <w:rPr>
                <w:rFonts w:ascii="Verdana" w:hAnsi="Verdana" w:eastAsia="Verdana" w:cs="Verdana"/>
                <w:b/>
                <w:bCs/>
                <w:sz w:val="18"/>
                <w:szCs w:val="18"/>
              </w:rPr>
              <w:t>ECF</w:t>
            </w:r>
            <w:r w:rsidRPr="1AF64579" w:rsidR="4FDE8E1C">
              <w:rPr>
                <w:rFonts w:ascii="Verdana" w:hAnsi="Verdana" w:eastAsia="Verdana" w:cs="Verdana"/>
                <w:b/>
                <w:bCs/>
                <w:sz w:val="18"/>
                <w:szCs w:val="18"/>
              </w:rPr>
              <w:t>)</w:t>
            </w:r>
          </w:p>
        </w:tc>
        <w:tc>
          <w:tcPr>
            <w:tcW w:w="1675" w:type="dxa"/>
            <w:tcBorders>
              <w:top w:val="single" w:color="auto" w:sz="4" w:space="0"/>
              <w:left w:val="single" w:color="auto" w:sz="4" w:space="0"/>
              <w:bottom w:val="single" w:color="auto" w:sz="4" w:space="0"/>
              <w:right w:val="single" w:color="auto" w:sz="4" w:space="0"/>
            </w:tcBorders>
          </w:tcPr>
          <w:p w:rsidR="7AC3B222" w:rsidP="1AF64579" w:rsidRDefault="34313BF2" w14:paraId="4EE01DD3" w14:textId="6715265E">
            <w:pPr>
              <w:spacing w:line="276" w:lineRule="auto"/>
              <w:rPr>
                <w:rFonts w:ascii="Verdana" w:hAnsi="Verdana" w:eastAsia="Verdana" w:cs="Verdana"/>
                <w:sz w:val="18"/>
                <w:szCs w:val="18"/>
              </w:rPr>
            </w:pPr>
            <w:r w:rsidRPr="1AF64579">
              <w:rPr>
                <w:rFonts w:ascii="Verdana" w:hAnsi="Verdana" w:eastAsia="Verdana" w:cs="Verdana"/>
                <w:sz w:val="18"/>
                <w:szCs w:val="18"/>
              </w:rPr>
              <w:t>COM(2025)555</w:t>
            </w:r>
          </w:p>
        </w:tc>
        <w:tc>
          <w:tcPr>
            <w:tcW w:w="6360" w:type="dxa"/>
            <w:tcBorders>
              <w:top w:val="single" w:color="auto" w:sz="4" w:space="0"/>
              <w:left w:val="single" w:color="auto" w:sz="4" w:space="0"/>
              <w:bottom w:val="single" w:color="auto" w:sz="4" w:space="0"/>
              <w:right w:val="single" w:color="auto" w:sz="4" w:space="0"/>
            </w:tcBorders>
          </w:tcPr>
          <w:p w:rsidR="7AC3B222" w:rsidP="1AF64579" w:rsidRDefault="34313BF2" w14:paraId="6C86FA85" w14:textId="18147B92">
            <w:pPr>
              <w:rPr>
                <w:rFonts w:ascii="Verdana" w:hAnsi="Verdana" w:eastAsia="Verdana" w:cs="Verdana"/>
                <w:sz w:val="18"/>
                <w:szCs w:val="18"/>
              </w:rPr>
            </w:pPr>
            <w:r w:rsidRPr="04E2C7C3">
              <w:rPr>
                <w:rFonts w:ascii="Verdana" w:hAnsi="Verdana" w:eastAsia="Verdana" w:cs="Verdana"/>
                <w:sz w:val="18"/>
                <w:szCs w:val="18"/>
              </w:rPr>
              <w:t>Het Europese Concurrentiekrachtfonds (ECF, het Fonds) maakt deel uit van het pakket voor het Meerjarig Financieel Kader (MFK) na 2027. Het heeft als doel om 1</w:t>
            </w:r>
            <w:r w:rsidRPr="04E2C7C3" w:rsidR="1E9BBD9D">
              <w:rPr>
                <w:rFonts w:ascii="Verdana" w:hAnsi="Verdana" w:eastAsia="Verdana" w:cs="Verdana"/>
                <w:sz w:val="18"/>
                <w:szCs w:val="18"/>
              </w:rPr>
              <w:t>2</w:t>
            </w:r>
            <w:r w:rsidRPr="04E2C7C3">
              <w:rPr>
                <w:rFonts w:ascii="Verdana" w:hAnsi="Verdana" w:eastAsia="Verdana" w:cs="Verdana"/>
                <w:sz w:val="18"/>
                <w:szCs w:val="18"/>
              </w:rPr>
              <w:t xml:space="preserve"> afzonderlijke financieringsinstrumenten uit het huidige MFK te bundelen in één kader dat functioneert als investeringscapaciteit ter versterking van de Europese concurrentie</w:t>
            </w:r>
            <w:r w:rsidRPr="04E2C7C3" w:rsidR="65EB8FC0">
              <w:rPr>
                <w:rFonts w:ascii="Verdana" w:hAnsi="Verdana" w:eastAsia="Verdana" w:cs="Verdana"/>
                <w:sz w:val="18"/>
                <w:szCs w:val="18"/>
              </w:rPr>
              <w:t>vermogen</w:t>
            </w:r>
            <w:r w:rsidRPr="04E2C7C3">
              <w:rPr>
                <w:rFonts w:ascii="Verdana" w:hAnsi="Verdana" w:eastAsia="Verdana" w:cs="Verdana"/>
                <w:sz w:val="18"/>
                <w:szCs w:val="18"/>
              </w:rPr>
              <w:t xml:space="preserve"> op het gebied van technologieën en strategische sectoren die van essentieel belang zijn voor het concurrentievermogen van de EU.</w:t>
            </w:r>
          </w:p>
          <w:p w:rsidR="7AC3B222" w:rsidP="1AF64579" w:rsidRDefault="7AC3B222" w14:paraId="14D8166B" w14:textId="4D169B92">
            <w:pPr>
              <w:rPr>
                <w:rFonts w:ascii="Verdana" w:hAnsi="Verdana" w:eastAsia="Verdana" w:cs="Verdana"/>
                <w:sz w:val="18"/>
                <w:szCs w:val="18"/>
              </w:rPr>
            </w:pPr>
          </w:p>
        </w:tc>
        <w:tc>
          <w:tcPr>
            <w:tcW w:w="4102" w:type="dxa"/>
            <w:tcBorders>
              <w:top w:val="single" w:color="auto" w:sz="4" w:space="0"/>
              <w:left w:val="single" w:color="auto" w:sz="4" w:space="0"/>
              <w:bottom w:val="single" w:color="auto" w:sz="4" w:space="0"/>
              <w:right w:val="single" w:color="auto" w:sz="4" w:space="0"/>
            </w:tcBorders>
          </w:tcPr>
          <w:p w:rsidR="7AC3B222" w:rsidP="1AF64579" w:rsidRDefault="00610F4A" w14:paraId="485ED68C" w14:textId="4B08CDF4">
            <w:pPr>
              <w:spacing w:line="276" w:lineRule="auto"/>
              <w:rPr>
                <w:rFonts w:ascii="Verdana" w:hAnsi="Verdana" w:eastAsia="Verdana" w:cs="Verdana"/>
                <w:sz w:val="18"/>
                <w:szCs w:val="18"/>
                <w:highlight w:val="yellow"/>
              </w:rPr>
            </w:pPr>
            <w:r w:rsidRPr="1AF64579">
              <w:rPr>
                <w:rFonts w:ascii="Verdana" w:hAnsi="Verdana" w:eastAsia="Verdana" w:cs="Verdana"/>
                <w:sz w:val="18"/>
                <w:szCs w:val="18"/>
              </w:rPr>
              <w:t>Voorstel wordt besproken op ambtelijk EU-niveau in Raadskader.</w:t>
            </w:r>
          </w:p>
        </w:tc>
      </w:tr>
      <w:tr w:rsidR="2F9E40FF" w:rsidTr="00950356" w14:paraId="09B55461"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2E772467" w:rsidP="1AF64579" w:rsidRDefault="2E772467" w14:paraId="2794765F" w14:textId="4A634034">
            <w:pPr>
              <w:spacing w:line="276" w:lineRule="auto"/>
              <w:rPr>
                <w:rFonts w:ascii="Verdana" w:hAnsi="Verdana" w:eastAsia="Verdana" w:cs="Verdana"/>
                <w:b/>
                <w:bCs/>
                <w:sz w:val="18"/>
                <w:szCs w:val="18"/>
              </w:rPr>
            </w:pPr>
            <w:r w:rsidRPr="1AF64579">
              <w:rPr>
                <w:rFonts w:ascii="Verdana" w:hAnsi="Verdana" w:eastAsia="Verdana" w:cs="Verdana"/>
                <w:b/>
                <w:bCs/>
                <w:sz w:val="18"/>
                <w:szCs w:val="18"/>
              </w:rPr>
              <w:t>Horizon 2028-2034</w:t>
            </w:r>
          </w:p>
        </w:tc>
        <w:tc>
          <w:tcPr>
            <w:tcW w:w="1675" w:type="dxa"/>
            <w:tcBorders>
              <w:top w:val="single" w:color="auto" w:sz="4" w:space="0"/>
              <w:left w:val="single" w:color="auto" w:sz="4" w:space="0"/>
              <w:bottom w:val="single" w:color="auto" w:sz="4" w:space="0"/>
              <w:right w:val="single" w:color="auto" w:sz="4" w:space="0"/>
            </w:tcBorders>
          </w:tcPr>
          <w:p w:rsidR="2F9E40FF" w:rsidP="1AF64579" w:rsidRDefault="4F3A8264" w14:paraId="0AA59A04" w14:textId="1D8E4E30">
            <w:pPr>
              <w:spacing w:line="276" w:lineRule="auto"/>
              <w:rPr>
                <w:rFonts w:ascii="Verdana" w:hAnsi="Verdana" w:eastAsia="Verdana" w:cs="Verdana"/>
                <w:color w:val="000000" w:themeColor="text1"/>
                <w:sz w:val="18"/>
                <w:szCs w:val="18"/>
              </w:rPr>
            </w:pPr>
            <w:r w:rsidRPr="1AF64579">
              <w:rPr>
                <w:rFonts w:ascii="Verdana" w:hAnsi="Verdana" w:eastAsia="Verdana" w:cs="Verdana"/>
                <w:color w:val="000000" w:themeColor="text1"/>
                <w:sz w:val="18"/>
                <w:szCs w:val="18"/>
              </w:rPr>
              <w:t>COM(2025)543</w:t>
            </w:r>
            <w:r w:rsidRPr="1AF64579" w:rsidR="260DB75C">
              <w:rPr>
                <w:rFonts w:ascii="Verdana" w:hAnsi="Verdana" w:eastAsia="Verdana" w:cs="Verdana"/>
                <w:color w:val="000000" w:themeColor="text1"/>
                <w:sz w:val="18"/>
                <w:szCs w:val="18"/>
              </w:rPr>
              <w:t>,</w:t>
            </w:r>
          </w:p>
          <w:p w:rsidR="2F9E40FF" w:rsidP="1AF64579" w:rsidRDefault="260DB75C" w14:paraId="698947E9" w14:textId="18B02206">
            <w:pPr>
              <w:spacing w:line="276" w:lineRule="auto"/>
              <w:rPr>
                <w:rFonts w:ascii="Verdana" w:hAnsi="Verdana" w:eastAsia="Verdana" w:cs="Verdana"/>
                <w:sz w:val="18"/>
                <w:szCs w:val="18"/>
              </w:rPr>
            </w:pPr>
            <w:r w:rsidRPr="1AF64579">
              <w:rPr>
                <w:rFonts w:ascii="Verdana" w:hAnsi="Verdana" w:eastAsia="Verdana" w:cs="Verdana"/>
                <w:color w:val="000000" w:themeColor="text1"/>
                <w:sz w:val="18"/>
                <w:szCs w:val="18"/>
              </w:rPr>
              <w:t>COM (2025)544</w:t>
            </w:r>
          </w:p>
          <w:p w:rsidR="2F9E40FF" w:rsidP="1AF64579" w:rsidRDefault="2F9E40FF" w14:paraId="366DD7D3" w14:textId="148823A3">
            <w:pPr>
              <w:spacing w:line="276" w:lineRule="auto"/>
              <w:rPr>
                <w:rFonts w:ascii="Verdana" w:hAnsi="Verdana" w:eastAsia="Verdana" w:cs="Verdana"/>
                <w:color w:val="000000" w:themeColor="text1"/>
                <w:sz w:val="18"/>
                <w:szCs w:val="18"/>
              </w:rPr>
            </w:pPr>
          </w:p>
        </w:tc>
        <w:tc>
          <w:tcPr>
            <w:tcW w:w="6360" w:type="dxa"/>
            <w:tcBorders>
              <w:top w:val="single" w:color="auto" w:sz="4" w:space="0"/>
              <w:left w:val="single" w:color="auto" w:sz="4" w:space="0"/>
              <w:bottom w:val="single" w:color="auto" w:sz="4" w:space="0"/>
              <w:right w:val="single" w:color="auto" w:sz="4" w:space="0"/>
            </w:tcBorders>
          </w:tcPr>
          <w:p w:rsidR="2F9E40FF" w:rsidP="1AF64579" w:rsidRDefault="56355C7A" w14:paraId="311BD0AD" w14:textId="7B2245F5">
            <w:pPr>
              <w:rPr>
                <w:rFonts w:ascii="Verdana" w:hAnsi="Verdana" w:eastAsia="Verdana" w:cs="Verdana"/>
                <w:sz w:val="18"/>
                <w:szCs w:val="18"/>
              </w:rPr>
            </w:pPr>
            <w:r w:rsidRPr="1AF64579">
              <w:rPr>
                <w:rFonts w:ascii="Verdana" w:hAnsi="Verdana" w:eastAsia="Verdana" w:cs="Verdana"/>
                <w:sz w:val="18"/>
                <w:szCs w:val="18"/>
              </w:rPr>
              <w:t>Het voorstel van de Europese Commissie betreft het tiende kaderprogramma voor onderzoek en innovatie (2028–2034), met een voorziene begroting van 175 miljard euro, onder de naam Horizon Europe. Het programma wil strategische focus, vereenvoudigde toegang en snellere uitvoering combineren met steun voor de hele innovatieketen – van fundamenteel onderzoek tot markttoepassing. Het bestaat uit vier pijlers: excellente wetenschap, concurrentievermogen &amp; maatschappij, innovatie, en de Europese Onderzoeksruimte, waarbij onder meer wordt ingezet op samenwerking met het Concurrentievermogenfonds (ECF), publiek-private partnerschappen en versterking van SGW. Er is ook ruimte voorzien voor dual-use-projecten, deelname van niet-EU-landen, en een sterkere koppeling tussen EU- en nationale investeringen in O&amp;I.</w:t>
            </w:r>
          </w:p>
        </w:tc>
        <w:tc>
          <w:tcPr>
            <w:tcW w:w="4102" w:type="dxa"/>
            <w:tcBorders>
              <w:top w:val="single" w:color="auto" w:sz="4" w:space="0"/>
              <w:left w:val="single" w:color="auto" w:sz="4" w:space="0"/>
              <w:bottom w:val="single" w:color="auto" w:sz="4" w:space="0"/>
              <w:right w:val="single" w:color="auto" w:sz="4" w:space="0"/>
            </w:tcBorders>
          </w:tcPr>
          <w:p w:rsidR="3713D043" w:rsidP="1AF64579" w:rsidRDefault="3713D043" w14:paraId="2459A16D" w14:textId="4B08CDF4">
            <w:pPr>
              <w:spacing w:line="276" w:lineRule="auto"/>
              <w:rPr>
                <w:rFonts w:ascii="Verdana" w:hAnsi="Verdana" w:eastAsia="Verdana" w:cs="Verdana"/>
                <w:sz w:val="18"/>
                <w:szCs w:val="18"/>
                <w:highlight w:val="yellow"/>
              </w:rPr>
            </w:pPr>
            <w:r w:rsidRPr="1AF64579">
              <w:rPr>
                <w:rFonts w:ascii="Verdana" w:hAnsi="Verdana" w:eastAsia="Verdana" w:cs="Verdana"/>
                <w:sz w:val="18"/>
                <w:szCs w:val="18"/>
              </w:rPr>
              <w:t>Voorstel wordt besproken op ambtelijk EU-niveau in Raadskader.</w:t>
            </w:r>
          </w:p>
          <w:p w:rsidR="2F9E40FF" w:rsidP="1AF64579" w:rsidRDefault="2F9E40FF" w14:paraId="4136AEB1" w14:textId="0FF15278">
            <w:pPr>
              <w:spacing w:line="276" w:lineRule="auto"/>
              <w:rPr>
                <w:rFonts w:ascii="Verdana" w:hAnsi="Verdana" w:eastAsia="Verdana" w:cs="Verdana"/>
                <w:sz w:val="18"/>
                <w:szCs w:val="18"/>
              </w:rPr>
            </w:pPr>
          </w:p>
        </w:tc>
      </w:tr>
      <w:tr w:rsidR="2F9E40FF" w:rsidTr="00950356" w14:paraId="23852935"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160D319B" w:rsidP="1AF64579" w:rsidRDefault="160D319B" w14:paraId="410C964F" w14:textId="77DF6043">
            <w:pPr>
              <w:spacing w:line="276" w:lineRule="auto"/>
              <w:rPr>
                <w:rFonts w:ascii="Verdana" w:hAnsi="Verdana" w:eastAsia="Verdana" w:cs="Verdana"/>
                <w:b/>
                <w:bCs/>
                <w:sz w:val="18"/>
                <w:szCs w:val="18"/>
              </w:rPr>
            </w:pPr>
            <w:r w:rsidRPr="1AF64579">
              <w:rPr>
                <w:rFonts w:ascii="Verdana" w:hAnsi="Verdana" w:eastAsia="Verdana" w:cs="Verdana"/>
                <w:b/>
                <w:bCs/>
                <w:sz w:val="18"/>
                <w:szCs w:val="18"/>
              </w:rPr>
              <w:t xml:space="preserve">Europees Fonds voor Regionale Ontwikkeling (EFRO) met inbegrip van Europese Territoriale Samenwerking </w:t>
            </w:r>
            <w:r w:rsidRPr="1AF64579">
              <w:rPr>
                <w:rFonts w:ascii="Verdana" w:hAnsi="Verdana" w:eastAsia="Verdana" w:cs="Verdana"/>
                <w:b/>
                <w:bCs/>
                <w:sz w:val="18"/>
                <w:szCs w:val="18"/>
              </w:rPr>
              <w:lastRenderedPageBreak/>
              <w:t xml:space="preserve">(Interreg) en het Cohesiefonds 2028-2034  </w:t>
            </w:r>
          </w:p>
        </w:tc>
        <w:tc>
          <w:tcPr>
            <w:tcW w:w="1675" w:type="dxa"/>
            <w:tcBorders>
              <w:top w:val="single" w:color="auto" w:sz="4" w:space="0"/>
              <w:left w:val="single" w:color="auto" w:sz="4" w:space="0"/>
              <w:bottom w:val="single" w:color="auto" w:sz="4" w:space="0"/>
              <w:right w:val="single" w:color="auto" w:sz="4" w:space="0"/>
            </w:tcBorders>
          </w:tcPr>
          <w:p w:rsidR="2F9E40FF" w:rsidP="1AF64579" w:rsidRDefault="77128A8B" w14:paraId="4D498758" w14:textId="3D800C7C">
            <w:pPr>
              <w:spacing w:line="360" w:lineRule="auto"/>
              <w:rPr>
                <w:rFonts w:ascii="Verdana" w:hAnsi="Verdana" w:eastAsia="Verdana" w:cs="Verdana"/>
                <w:sz w:val="18"/>
                <w:szCs w:val="18"/>
              </w:rPr>
            </w:pPr>
            <w:r w:rsidRPr="1AF64579">
              <w:rPr>
                <w:rFonts w:ascii="Verdana" w:hAnsi="Verdana" w:eastAsia="Verdana" w:cs="Verdana"/>
                <w:color w:val="000000" w:themeColor="text1"/>
                <w:sz w:val="18"/>
                <w:szCs w:val="18"/>
              </w:rPr>
              <w:lastRenderedPageBreak/>
              <w:t xml:space="preserve">COM (2025)552 </w:t>
            </w:r>
            <w:r w:rsidRPr="1AF64579">
              <w:rPr>
                <w:rFonts w:ascii="Verdana" w:hAnsi="Verdana" w:eastAsia="Verdana" w:cs="Verdana"/>
                <w:sz w:val="18"/>
                <w:szCs w:val="18"/>
              </w:rPr>
              <w:t xml:space="preserve"> </w:t>
            </w:r>
          </w:p>
          <w:p w:rsidR="2F9E40FF" w:rsidP="1AF64579" w:rsidRDefault="2F9E40FF" w14:paraId="464994EF" w14:textId="0994B076">
            <w:pPr>
              <w:spacing w:line="276" w:lineRule="auto"/>
              <w:rPr>
                <w:rFonts w:ascii="Verdana" w:hAnsi="Verdana" w:eastAsia="Verdana" w:cs="Verdana"/>
                <w:color w:val="000000" w:themeColor="text1"/>
                <w:sz w:val="18"/>
                <w:szCs w:val="18"/>
              </w:rPr>
            </w:pPr>
          </w:p>
        </w:tc>
        <w:tc>
          <w:tcPr>
            <w:tcW w:w="6360" w:type="dxa"/>
            <w:tcBorders>
              <w:top w:val="single" w:color="auto" w:sz="4" w:space="0"/>
              <w:left w:val="single" w:color="auto" w:sz="4" w:space="0"/>
              <w:bottom w:val="single" w:color="auto" w:sz="4" w:space="0"/>
              <w:right w:val="single" w:color="auto" w:sz="4" w:space="0"/>
            </w:tcBorders>
          </w:tcPr>
          <w:p w:rsidR="2F9E40FF" w:rsidP="1AF64579" w:rsidRDefault="23B7EE02" w14:paraId="31D5D36F" w14:textId="7A9CAF6D">
            <w:pPr>
              <w:rPr>
                <w:rFonts w:ascii="Verdana" w:hAnsi="Verdana" w:eastAsia="Verdana" w:cs="Verdana"/>
                <w:sz w:val="18"/>
                <w:szCs w:val="18"/>
              </w:rPr>
            </w:pPr>
            <w:r w:rsidRPr="1AF64579">
              <w:rPr>
                <w:rFonts w:ascii="Verdana" w:hAnsi="Verdana" w:eastAsia="Verdana" w:cs="Verdana"/>
                <w:sz w:val="18"/>
                <w:szCs w:val="18"/>
              </w:rPr>
              <w:t>De Commissie stelt voor om de Europese fondsen onder het cohesiebeleid — EFRO, Interreg en het Cohesiefonds — in het volgende MFK onder de pijler ‘National and Regional Partnership Plans’ (NRPP) te plaatsen. Daarbij worden EFRO en het Cohesiefonds geïntegreerd in één plan per lidstaat, maar wordt Interreg buiten deze nationale plannen geplaatst, via een zogeheten Interreg Plan.</w:t>
            </w:r>
          </w:p>
        </w:tc>
        <w:tc>
          <w:tcPr>
            <w:tcW w:w="4102" w:type="dxa"/>
            <w:tcBorders>
              <w:top w:val="single" w:color="auto" w:sz="4" w:space="0"/>
              <w:left w:val="single" w:color="auto" w:sz="4" w:space="0"/>
              <w:bottom w:val="single" w:color="auto" w:sz="4" w:space="0"/>
              <w:right w:val="single" w:color="auto" w:sz="4" w:space="0"/>
            </w:tcBorders>
          </w:tcPr>
          <w:p w:rsidR="65A27626" w:rsidP="1AF64579" w:rsidRDefault="65A27626" w14:paraId="70D42AF6" w14:textId="24D3B0B8">
            <w:pPr>
              <w:spacing w:line="276" w:lineRule="auto"/>
              <w:rPr>
                <w:rFonts w:ascii="Verdana" w:hAnsi="Verdana" w:eastAsia="Verdana" w:cs="Verdana"/>
                <w:sz w:val="18"/>
                <w:szCs w:val="18"/>
                <w:highlight w:val="yellow"/>
              </w:rPr>
            </w:pPr>
            <w:r w:rsidRPr="1AF64579">
              <w:rPr>
                <w:rFonts w:ascii="Verdana" w:hAnsi="Verdana" w:eastAsia="Verdana" w:cs="Verdana"/>
                <w:sz w:val="18"/>
                <w:szCs w:val="18"/>
              </w:rPr>
              <w:t>Voorstel wordt besproken op ambtelijk EU-niveau in Raadskader.</w:t>
            </w:r>
          </w:p>
          <w:p w:rsidR="2F9E40FF" w:rsidP="1AF64579" w:rsidRDefault="2F9E40FF" w14:paraId="7F2910FB" w14:textId="27D9A9D7">
            <w:pPr>
              <w:rPr>
                <w:rFonts w:ascii="Verdana" w:hAnsi="Verdana" w:eastAsia="Verdana" w:cs="Verdana"/>
                <w:sz w:val="18"/>
                <w:szCs w:val="18"/>
              </w:rPr>
            </w:pPr>
          </w:p>
        </w:tc>
      </w:tr>
      <w:tr w:rsidR="00B96A07" w:rsidTr="00950356" w14:paraId="5D2DEB8C"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Pr="1AF64579" w:rsidR="00B96A07" w:rsidP="1AF64579" w:rsidRDefault="00B96A07" w14:paraId="50B538FC" w14:textId="711B28A5">
            <w:pPr>
              <w:spacing w:line="276" w:lineRule="auto"/>
              <w:rPr>
                <w:rFonts w:ascii="Verdana" w:hAnsi="Verdana" w:eastAsia="Verdana" w:cs="Verdana"/>
                <w:b/>
                <w:bCs/>
                <w:sz w:val="18"/>
                <w:szCs w:val="18"/>
              </w:rPr>
            </w:pPr>
            <w:r>
              <w:rPr>
                <w:rFonts w:ascii="Verdana" w:hAnsi="Verdana" w:eastAsia="Verdana" w:cs="Verdana"/>
                <w:b/>
                <w:bCs/>
                <w:sz w:val="18"/>
                <w:szCs w:val="18"/>
              </w:rPr>
              <w:t>Verordening statistieken inzake visserij en aquacultuur</w:t>
            </w:r>
          </w:p>
        </w:tc>
        <w:tc>
          <w:tcPr>
            <w:tcW w:w="1675" w:type="dxa"/>
            <w:tcBorders>
              <w:top w:val="single" w:color="auto" w:sz="4" w:space="0"/>
              <w:left w:val="single" w:color="auto" w:sz="4" w:space="0"/>
              <w:bottom w:val="single" w:color="auto" w:sz="4" w:space="0"/>
              <w:right w:val="single" w:color="auto" w:sz="4" w:space="0"/>
            </w:tcBorders>
          </w:tcPr>
          <w:p w:rsidRPr="1AF64579" w:rsidR="00B96A07" w:rsidP="1AF64579" w:rsidRDefault="00A97D2A" w14:paraId="5357EE57" w14:textId="0BBF2480">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COM(2025)435</w:t>
            </w:r>
          </w:p>
        </w:tc>
        <w:tc>
          <w:tcPr>
            <w:tcW w:w="6360" w:type="dxa"/>
            <w:tcBorders>
              <w:top w:val="single" w:color="auto" w:sz="4" w:space="0"/>
              <w:left w:val="single" w:color="auto" w:sz="4" w:space="0"/>
              <w:bottom w:val="single" w:color="auto" w:sz="4" w:space="0"/>
              <w:right w:val="single" w:color="auto" w:sz="4" w:space="0"/>
            </w:tcBorders>
          </w:tcPr>
          <w:p w:rsidRPr="1AF64579" w:rsidR="00B96A07" w:rsidP="1AF64579" w:rsidRDefault="00102879" w14:paraId="6F5F74CA" w14:textId="53FC57DD">
            <w:pPr>
              <w:rPr>
                <w:rFonts w:ascii="Verdana" w:hAnsi="Verdana" w:eastAsia="Verdana" w:cs="Verdana"/>
                <w:sz w:val="18"/>
                <w:szCs w:val="18"/>
              </w:rPr>
            </w:pPr>
            <w:r w:rsidRPr="00102879">
              <w:rPr>
                <w:rFonts w:ascii="Verdana" w:hAnsi="Verdana" w:eastAsia="Verdana" w:cs="Verdana"/>
                <w:sz w:val="18"/>
                <w:szCs w:val="18"/>
              </w:rPr>
              <w:t xml:space="preserve">Het </w:t>
            </w:r>
            <w:r>
              <w:rPr>
                <w:rFonts w:ascii="Verdana" w:hAnsi="Verdana" w:eastAsia="Verdana" w:cs="Verdana"/>
                <w:sz w:val="18"/>
                <w:szCs w:val="18"/>
              </w:rPr>
              <w:t>voorstel beoogt</w:t>
            </w:r>
            <w:r w:rsidRPr="00102879">
              <w:rPr>
                <w:rFonts w:ascii="Verdana" w:hAnsi="Verdana" w:eastAsia="Verdana" w:cs="Verdana"/>
                <w:sz w:val="18"/>
                <w:szCs w:val="18"/>
              </w:rPr>
              <w:t xml:space="preserve"> een geïntegreerd rechtskader voor Europese statistieken over de instandhouding van mariene biologische hulpbronnen door visserijactiviteiten en het in de handel brengen daarvan, alsmede over de visserijvloot van de Europese Unie, de aquacultuurproductie en aquacultuurinrichtingen. </w:t>
            </w:r>
          </w:p>
        </w:tc>
        <w:tc>
          <w:tcPr>
            <w:tcW w:w="4102" w:type="dxa"/>
            <w:tcBorders>
              <w:top w:val="single" w:color="auto" w:sz="4" w:space="0"/>
              <w:left w:val="single" w:color="auto" w:sz="4" w:space="0"/>
              <w:bottom w:val="single" w:color="auto" w:sz="4" w:space="0"/>
              <w:right w:val="single" w:color="auto" w:sz="4" w:space="0"/>
            </w:tcBorders>
          </w:tcPr>
          <w:p w:rsidR="00A97D2A" w:rsidP="00A97D2A" w:rsidRDefault="00A97D2A" w14:paraId="47FAA3D1" w14:textId="77777777">
            <w:pPr>
              <w:spacing w:line="276" w:lineRule="auto"/>
              <w:rPr>
                <w:rFonts w:ascii="Verdana" w:hAnsi="Verdana" w:eastAsia="Verdana" w:cs="Verdana"/>
                <w:sz w:val="18"/>
                <w:szCs w:val="18"/>
                <w:highlight w:val="yellow"/>
              </w:rPr>
            </w:pPr>
            <w:r w:rsidRPr="1AF64579">
              <w:rPr>
                <w:rFonts w:ascii="Verdana" w:hAnsi="Verdana" w:eastAsia="Verdana" w:cs="Verdana"/>
                <w:sz w:val="18"/>
                <w:szCs w:val="18"/>
              </w:rPr>
              <w:t>Voorstel wordt besproken op ambtelijk EU-niveau in Raadskader.</w:t>
            </w:r>
          </w:p>
          <w:p w:rsidRPr="1AF64579" w:rsidR="00B96A07" w:rsidP="1AF64579" w:rsidRDefault="00B96A07" w14:paraId="3C106CE2" w14:textId="77777777">
            <w:pPr>
              <w:spacing w:line="276" w:lineRule="auto"/>
              <w:rPr>
                <w:rFonts w:ascii="Verdana" w:hAnsi="Verdana" w:eastAsia="Verdana" w:cs="Verdana"/>
                <w:sz w:val="18"/>
                <w:szCs w:val="18"/>
              </w:rPr>
            </w:pPr>
          </w:p>
        </w:tc>
      </w:tr>
      <w:tr w:rsidRPr="008B3DF3" w:rsidR="00B96A07" w:rsidTr="00950356" w14:paraId="2BC7521F" w14:textId="77777777">
        <w:trPr>
          <w:gridAfter w:val="2"/>
          <w:wAfter w:w="72" w:type="dxa"/>
          <w:trHeight w:val="300"/>
          <w:jc w:val="center"/>
        </w:trPr>
        <w:tc>
          <w:tcPr>
            <w:tcW w:w="2547" w:type="dxa"/>
            <w:tcBorders>
              <w:top w:val="single" w:color="auto" w:sz="4" w:space="0"/>
              <w:left w:val="single" w:color="auto" w:sz="4" w:space="0"/>
              <w:bottom w:val="single" w:color="auto" w:sz="4" w:space="0"/>
              <w:right w:val="single" w:color="auto" w:sz="4" w:space="0"/>
            </w:tcBorders>
          </w:tcPr>
          <w:p w:rsidRPr="008B3DF3" w:rsidR="00B96A07" w:rsidP="1AF64579" w:rsidRDefault="008B3DF3" w14:paraId="75075419" w14:textId="7AA7CB69">
            <w:pPr>
              <w:spacing w:line="276" w:lineRule="auto"/>
              <w:rPr>
                <w:rFonts w:ascii="Verdana" w:hAnsi="Verdana" w:eastAsia="Verdana" w:cs="Verdana"/>
                <w:b/>
                <w:bCs/>
                <w:sz w:val="18"/>
                <w:szCs w:val="18"/>
              </w:rPr>
            </w:pPr>
            <w:r w:rsidRPr="008B3DF3">
              <w:rPr>
                <w:rFonts w:ascii="Verdana" w:hAnsi="Verdana" w:eastAsia="Verdana" w:cs="Verdana"/>
                <w:b/>
                <w:bCs/>
                <w:sz w:val="18"/>
                <w:szCs w:val="18"/>
              </w:rPr>
              <w:t>Interne markt en douane pr</w:t>
            </w:r>
            <w:r w:rsidRPr="00950356">
              <w:rPr>
                <w:rFonts w:ascii="Verdana" w:hAnsi="Verdana" w:eastAsia="Verdana" w:cs="Verdana"/>
                <w:b/>
                <w:bCs/>
                <w:sz w:val="18"/>
                <w:szCs w:val="18"/>
              </w:rPr>
              <w:t>ogramma</w:t>
            </w:r>
            <w:r w:rsidR="000441EF">
              <w:rPr>
                <w:rFonts w:ascii="Verdana" w:hAnsi="Verdana" w:eastAsia="Verdana" w:cs="Verdana"/>
                <w:b/>
                <w:bCs/>
                <w:sz w:val="18"/>
                <w:szCs w:val="18"/>
              </w:rPr>
              <w:t xml:space="preserve"> voor de periode 2028-2034</w:t>
            </w:r>
          </w:p>
        </w:tc>
        <w:tc>
          <w:tcPr>
            <w:tcW w:w="1675" w:type="dxa"/>
            <w:tcBorders>
              <w:top w:val="single" w:color="auto" w:sz="4" w:space="0"/>
              <w:left w:val="single" w:color="auto" w:sz="4" w:space="0"/>
              <w:bottom w:val="single" w:color="auto" w:sz="4" w:space="0"/>
              <w:right w:val="single" w:color="auto" w:sz="4" w:space="0"/>
            </w:tcBorders>
          </w:tcPr>
          <w:p w:rsidRPr="008B3DF3" w:rsidR="00B96A07" w:rsidP="1AF64579" w:rsidRDefault="000441EF" w14:paraId="3532331A" w14:textId="6060E79C">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COM(2025)590</w:t>
            </w:r>
          </w:p>
        </w:tc>
        <w:tc>
          <w:tcPr>
            <w:tcW w:w="6360" w:type="dxa"/>
            <w:tcBorders>
              <w:top w:val="single" w:color="auto" w:sz="4" w:space="0"/>
              <w:left w:val="single" w:color="auto" w:sz="4" w:space="0"/>
              <w:bottom w:val="single" w:color="auto" w:sz="4" w:space="0"/>
              <w:right w:val="single" w:color="auto" w:sz="4" w:space="0"/>
            </w:tcBorders>
          </w:tcPr>
          <w:p w:rsidRPr="008B3DF3" w:rsidR="00B96A07" w:rsidP="1AF64579" w:rsidRDefault="00924C2F" w14:paraId="61DF3533" w14:textId="022E8447">
            <w:pPr>
              <w:rPr>
                <w:rFonts w:ascii="Verdana" w:hAnsi="Verdana" w:eastAsia="Verdana" w:cs="Verdana"/>
                <w:sz w:val="18"/>
                <w:szCs w:val="18"/>
              </w:rPr>
            </w:pPr>
            <w:r w:rsidRPr="00924C2F">
              <w:rPr>
                <w:rFonts w:ascii="Verdana" w:hAnsi="Verdana" w:eastAsia="Verdana" w:cs="Verdana"/>
                <w:sz w:val="18"/>
                <w:szCs w:val="18"/>
              </w:rPr>
              <w:t>Het voorstel beoogt vijf programma's onder het huidige MFK samen te voegen tot één programma met als overkoepelend doel het versterken van de interne markt en douane-unie, het beschermen van de financiële en economische belangen en de veiligheid van de Unie en haar lidstaten</w:t>
            </w:r>
            <w:r>
              <w:rPr>
                <w:rFonts w:ascii="Verdana" w:hAnsi="Verdana" w:eastAsia="Verdana" w:cs="Verdana"/>
                <w:sz w:val="18"/>
                <w:szCs w:val="18"/>
              </w:rPr>
              <w:t>.</w:t>
            </w:r>
            <w:r w:rsidR="0027120C">
              <w:rPr>
                <w:rFonts w:ascii="Verdana" w:hAnsi="Verdana" w:eastAsia="Verdana" w:cs="Verdana"/>
                <w:sz w:val="18"/>
                <w:szCs w:val="18"/>
              </w:rPr>
              <w:t xml:space="preserve"> </w:t>
            </w:r>
            <w:r w:rsidRPr="0027120C" w:rsidR="0027120C">
              <w:rPr>
                <w:rFonts w:ascii="Verdana" w:hAnsi="Verdana" w:eastAsia="Verdana" w:cs="Verdana"/>
                <w:sz w:val="18"/>
                <w:szCs w:val="18"/>
              </w:rPr>
              <w:t>Het voorstel bestaat uit vier verschillende beleidsonderdelen: interne markt, douane, samenwerking op het gebied van belastingen en fraudebestrijding</w:t>
            </w:r>
            <w:r w:rsidR="0027120C">
              <w:rPr>
                <w:rFonts w:ascii="Verdana" w:hAnsi="Verdana" w:eastAsia="Verdana" w:cs="Verdana"/>
                <w:sz w:val="18"/>
                <w:szCs w:val="18"/>
              </w:rPr>
              <w:t>.</w:t>
            </w:r>
          </w:p>
        </w:tc>
        <w:tc>
          <w:tcPr>
            <w:tcW w:w="4102" w:type="dxa"/>
            <w:tcBorders>
              <w:top w:val="single" w:color="auto" w:sz="4" w:space="0"/>
              <w:left w:val="single" w:color="auto" w:sz="4" w:space="0"/>
              <w:bottom w:val="single" w:color="auto" w:sz="4" w:space="0"/>
              <w:right w:val="single" w:color="auto" w:sz="4" w:space="0"/>
            </w:tcBorders>
          </w:tcPr>
          <w:p w:rsidR="00A97D2A" w:rsidP="00A97D2A" w:rsidRDefault="00A97D2A" w14:paraId="647B20B3" w14:textId="77777777">
            <w:pPr>
              <w:spacing w:line="276" w:lineRule="auto"/>
              <w:rPr>
                <w:rFonts w:ascii="Verdana" w:hAnsi="Verdana" w:eastAsia="Verdana" w:cs="Verdana"/>
                <w:sz w:val="18"/>
                <w:szCs w:val="18"/>
                <w:highlight w:val="yellow"/>
              </w:rPr>
            </w:pPr>
            <w:r w:rsidRPr="1AF64579">
              <w:rPr>
                <w:rFonts w:ascii="Verdana" w:hAnsi="Verdana" w:eastAsia="Verdana" w:cs="Verdana"/>
                <w:sz w:val="18"/>
                <w:szCs w:val="18"/>
              </w:rPr>
              <w:t>Voorstel wordt besproken op ambtelijk EU-niveau in Raadskader.</w:t>
            </w:r>
          </w:p>
          <w:p w:rsidRPr="008B3DF3" w:rsidR="00B96A07" w:rsidP="1AF64579" w:rsidRDefault="00B96A07" w14:paraId="4B08CDAD" w14:textId="77777777">
            <w:pPr>
              <w:spacing w:line="276" w:lineRule="auto"/>
              <w:rPr>
                <w:rFonts w:ascii="Verdana" w:hAnsi="Verdana" w:eastAsia="Verdana" w:cs="Verdana"/>
                <w:sz w:val="18"/>
                <w:szCs w:val="18"/>
              </w:rPr>
            </w:pPr>
          </w:p>
        </w:tc>
      </w:tr>
    </w:tbl>
    <w:p w:rsidRPr="008B3DF3" w:rsidR="1AF64579" w:rsidRDefault="1AF64579" w14:paraId="21EFA5E7" w14:textId="2DC3E24C"/>
    <w:p w:rsidRPr="008B3DF3" w:rsidR="00FE5732" w:rsidP="00C65495" w:rsidRDefault="00FE5732" w14:paraId="3A98BCAC" w14:textId="77777777">
      <w:pPr>
        <w:rPr>
          <w:rFonts w:ascii="Verdana" w:hAnsi="Verdana"/>
          <w:color w:val="000000" w:themeColor="text1"/>
          <w:sz w:val="18"/>
          <w:szCs w:val="18"/>
        </w:rPr>
      </w:pPr>
    </w:p>
    <w:sectPr w:rsidRPr="008B3DF3" w:rsidR="00FE5732" w:rsidSect="00ED6D01">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3DF4" w14:textId="77777777" w:rsidR="007138FB" w:rsidRDefault="007138FB" w:rsidP="00535E67">
      <w:r>
        <w:separator/>
      </w:r>
    </w:p>
  </w:endnote>
  <w:endnote w:type="continuationSeparator" w:id="0">
    <w:p w14:paraId="75CBCC99" w14:textId="77777777" w:rsidR="007138FB" w:rsidRDefault="007138FB" w:rsidP="00535E67">
      <w:r>
        <w:continuationSeparator/>
      </w:r>
    </w:p>
  </w:endnote>
  <w:endnote w:type="continuationNotice" w:id="1">
    <w:p w14:paraId="7297FAAE" w14:textId="77777777" w:rsidR="007138FB" w:rsidRDefault="00713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EC64" w14:textId="17DCAB1C" w:rsidR="003F4AF3" w:rsidRDefault="003F4A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0E79" w14:textId="1195DCAB" w:rsidR="00800B8B" w:rsidRDefault="00800B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9F37" w14:textId="4C65323B" w:rsidR="003F4AF3" w:rsidRDefault="003F4A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7896" w14:textId="77777777" w:rsidR="007138FB" w:rsidRDefault="007138FB" w:rsidP="00535E67">
      <w:r>
        <w:separator/>
      </w:r>
    </w:p>
  </w:footnote>
  <w:footnote w:type="continuationSeparator" w:id="0">
    <w:p w14:paraId="2CAB319C" w14:textId="77777777" w:rsidR="007138FB" w:rsidRDefault="007138FB" w:rsidP="00535E67">
      <w:r>
        <w:continuationSeparator/>
      </w:r>
    </w:p>
  </w:footnote>
  <w:footnote w:type="continuationNotice" w:id="1">
    <w:p w14:paraId="5934A406" w14:textId="77777777" w:rsidR="007138FB" w:rsidRDefault="00713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616E" w14:textId="38E6DB6F" w:rsidR="003F4AF3" w:rsidRDefault="003F4A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8CCE" w14:textId="0E5CBE42" w:rsidR="00800B8B" w:rsidRDefault="00800B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29F3" w14:textId="5E375DBB" w:rsidR="003F4AF3" w:rsidRDefault="003F4A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8D9"/>
    <w:multiLevelType w:val="hybridMultilevel"/>
    <w:tmpl w:val="6EA2CA0E"/>
    <w:lvl w:ilvl="0" w:tplc="8BDC1232">
      <w:start w:val="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6C7FA2"/>
    <w:multiLevelType w:val="hybridMultilevel"/>
    <w:tmpl w:val="7A8493CC"/>
    <w:lvl w:ilvl="0" w:tplc="83EA4954">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70340F"/>
    <w:multiLevelType w:val="hybridMultilevel"/>
    <w:tmpl w:val="37E25496"/>
    <w:lvl w:ilvl="0" w:tplc="89F4CAD8">
      <w:numFmt w:val="bullet"/>
      <w:lvlText w:val="-"/>
      <w:lvlJc w:val="left"/>
      <w:pPr>
        <w:ind w:left="360" w:hanging="360"/>
      </w:pPr>
      <w:rPr>
        <w:rFonts w:ascii="Verdana" w:eastAsiaTheme="minorHAnsi" w:hAnsi="Verdana"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207E8C"/>
    <w:multiLevelType w:val="hybridMultilevel"/>
    <w:tmpl w:val="2F16DE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A186026"/>
    <w:multiLevelType w:val="hybridMultilevel"/>
    <w:tmpl w:val="079E9078"/>
    <w:lvl w:ilvl="0" w:tplc="2E084DD2">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5" w15:restartNumberingAfterBreak="0">
    <w:nsid w:val="59CA5709"/>
    <w:multiLevelType w:val="hybridMultilevel"/>
    <w:tmpl w:val="0D46B4A2"/>
    <w:lvl w:ilvl="0" w:tplc="5B56807C">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4533804">
    <w:abstractNumId w:val="5"/>
  </w:num>
  <w:num w:numId="2" w16cid:durableId="1324890364">
    <w:abstractNumId w:val="4"/>
  </w:num>
  <w:num w:numId="3" w16cid:durableId="1490094839">
    <w:abstractNumId w:val="1"/>
  </w:num>
  <w:num w:numId="4" w16cid:durableId="2110543604">
    <w:abstractNumId w:val="0"/>
  </w:num>
  <w:num w:numId="5" w16cid:durableId="1976177737">
    <w:abstractNumId w:val="4"/>
  </w:num>
  <w:num w:numId="6" w16cid:durableId="810096259">
    <w:abstractNumId w:val="2"/>
  </w:num>
  <w:num w:numId="7" w16cid:durableId="1556744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DE"/>
    <w:rsid w:val="00001263"/>
    <w:rsid w:val="00001D82"/>
    <w:rsid w:val="00003FF9"/>
    <w:rsid w:val="00004D9A"/>
    <w:rsid w:val="000078A5"/>
    <w:rsid w:val="00011A12"/>
    <w:rsid w:val="000147FD"/>
    <w:rsid w:val="00015BBC"/>
    <w:rsid w:val="0001655F"/>
    <w:rsid w:val="0001723E"/>
    <w:rsid w:val="00017A6B"/>
    <w:rsid w:val="00021A74"/>
    <w:rsid w:val="000235DF"/>
    <w:rsid w:val="000236AC"/>
    <w:rsid w:val="00023882"/>
    <w:rsid w:val="00023ABE"/>
    <w:rsid w:val="00030092"/>
    <w:rsid w:val="000416B0"/>
    <w:rsid w:val="000441EF"/>
    <w:rsid w:val="000443E8"/>
    <w:rsid w:val="0004691E"/>
    <w:rsid w:val="00050F0D"/>
    <w:rsid w:val="00051346"/>
    <w:rsid w:val="00052F24"/>
    <w:rsid w:val="00056654"/>
    <w:rsid w:val="000607CD"/>
    <w:rsid w:val="00060CD5"/>
    <w:rsid w:val="00061A9D"/>
    <w:rsid w:val="00061F85"/>
    <w:rsid w:val="00062010"/>
    <w:rsid w:val="00064506"/>
    <w:rsid w:val="0006696B"/>
    <w:rsid w:val="00071309"/>
    <w:rsid w:val="0007248D"/>
    <w:rsid w:val="000748B4"/>
    <w:rsid w:val="00075013"/>
    <w:rsid w:val="0007562A"/>
    <w:rsid w:val="00075A47"/>
    <w:rsid w:val="00076869"/>
    <w:rsid w:val="00076916"/>
    <w:rsid w:val="00082E5F"/>
    <w:rsid w:val="000833A2"/>
    <w:rsid w:val="00083F6C"/>
    <w:rsid w:val="00085929"/>
    <w:rsid w:val="0008704C"/>
    <w:rsid w:val="000905AE"/>
    <w:rsid w:val="00094F30"/>
    <w:rsid w:val="000965B7"/>
    <w:rsid w:val="00096EDB"/>
    <w:rsid w:val="00097AB0"/>
    <w:rsid w:val="000A0AD8"/>
    <w:rsid w:val="000A2E3A"/>
    <w:rsid w:val="000A30B0"/>
    <w:rsid w:val="000A3870"/>
    <w:rsid w:val="000B3CDE"/>
    <w:rsid w:val="000B539E"/>
    <w:rsid w:val="000C217D"/>
    <w:rsid w:val="000C2D1F"/>
    <w:rsid w:val="000C330E"/>
    <w:rsid w:val="000C62D3"/>
    <w:rsid w:val="000C7C24"/>
    <w:rsid w:val="000C7EE5"/>
    <w:rsid w:val="000D3E82"/>
    <w:rsid w:val="000D3F35"/>
    <w:rsid w:val="000D5067"/>
    <w:rsid w:val="000D6A1D"/>
    <w:rsid w:val="000D6EE9"/>
    <w:rsid w:val="000E2AE2"/>
    <w:rsid w:val="000E3AC5"/>
    <w:rsid w:val="000E5BC3"/>
    <w:rsid w:val="000E62F7"/>
    <w:rsid w:val="000E72DF"/>
    <w:rsid w:val="000E7D0E"/>
    <w:rsid w:val="000F28BC"/>
    <w:rsid w:val="000F3772"/>
    <w:rsid w:val="000F4AC5"/>
    <w:rsid w:val="000F4C42"/>
    <w:rsid w:val="000F55D4"/>
    <w:rsid w:val="000F6CE6"/>
    <w:rsid w:val="000F7D8E"/>
    <w:rsid w:val="00101B92"/>
    <w:rsid w:val="0010236A"/>
    <w:rsid w:val="00102879"/>
    <w:rsid w:val="00104117"/>
    <w:rsid w:val="00104D2D"/>
    <w:rsid w:val="0010561B"/>
    <w:rsid w:val="0011003E"/>
    <w:rsid w:val="00110EEF"/>
    <w:rsid w:val="00122B06"/>
    <w:rsid w:val="00123C64"/>
    <w:rsid w:val="00124D59"/>
    <w:rsid w:val="001253BB"/>
    <w:rsid w:val="00125697"/>
    <w:rsid w:val="00126BCF"/>
    <w:rsid w:val="00126F6B"/>
    <w:rsid w:val="00127219"/>
    <w:rsid w:val="001300A0"/>
    <w:rsid w:val="001301E7"/>
    <w:rsid w:val="00131131"/>
    <w:rsid w:val="00131921"/>
    <w:rsid w:val="00132769"/>
    <w:rsid w:val="001331B4"/>
    <w:rsid w:val="001369F8"/>
    <w:rsid w:val="00143B75"/>
    <w:rsid w:val="00144DB7"/>
    <w:rsid w:val="00145481"/>
    <w:rsid w:val="0014654D"/>
    <w:rsid w:val="001465C0"/>
    <w:rsid w:val="00147830"/>
    <w:rsid w:val="00147C07"/>
    <w:rsid w:val="00156626"/>
    <w:rsid w:val="00156880"/>
    <w:rsid w:val="00170A57"/>
    <w:rsid w:val="00173AAC"/>
    <w:rsid w:val="001742AC"/>
    <w:rsid w:val="00175276"/>
    <w:rsid w:val="00180196"/>
    <w:rsid w:val="001810CB"/>
    <w:rsid w:val="00181BF4"/>
    <w:rsid w:val="00183EDB"/>
    <w:rsid w:val="001913A6"/>
    <w:rsid w:val="00191544"/>
    <w:rsid w:val="00194EFD"/>
    <w:rsid w:val="00195685"/>
    <w:rsid w:val="00195B5B"/>
    <w:rsid w:val="001A0459"/>
    <w:rsid w:val="001A04F8"/>
    <w:rsid w:val="001A0528"/>
    <w:rsid w:val="001A129D"/>
    <w:rsid w:val="001A25DE"/>
    <w:rsid w:val="001A2BAD"/>
    <w:rsid w:val="001A5B90"/>
    <w:rsid w:val="001A67F3"/>
    <w:rsid w:val="001A7E18"/>
    <w:rsid w:val="001B017E"/>
    <w:rsid w:val="001B076A"/>
    <w:rsid w:val="001B250B"/>
    <w:rsid w:val="001C279E"/>
    <w:rsid w:val="001C3331"/>
    <w:rsid w:val="001D0397"/>
    <w:rsid w:val="001D477B"/>
    <w:rsid w:val="001D4F08"/>
    <w:rsid w:val="001D6AF0"/>
    <w:rsid w:val="001E2C8E"/>
    <w:rsid w:val="001E3967"/>
    <w:rsid w:val="001E3AAA"/>
    <w:rsid w:val="001E3AAF"/>
    <w:rsid w:val="001E73DE"/>
    <w:rsid w:val="001E757E"/>
    <w:rsid w:val="001F0103"/>
    <w:rsid w:val="001F3346"/>
    <w:rsid w:val="001F4459"/>
    <w:rsid w:val="0020181F"/>
    <w:rsid w:val="002024B2"/>
    <w:rsid w:val="00204B8E"/>
    <w:rsid w:val="00205B23"/>
    <w:rsid w:val="0021068E"/>
    <w:rsid w:val="00213ED0"/>
    <w:rsid w:val="002158BF"/>
    <w:rsid w:val="00215DFD"/>
    <w:rsid w:val="00224DB9"/>
    <w:rsid w:val="0022504B"/>
    <w:rsid w:val="00225071"/>
    <w:rsid w:val="00226F31"/>
    <w:rsid w:val="00241406"/>
    <w:rsid w:val="00241E79"/>
    <w:rsid w:val="002431F4"/>
    <w:rsid w:val="00243BC2"/>
    <w:rsid w:val="002449DE"/>
    <w:rsid w:val="0024696E"/>
    <w:rsid w:val="00247886"/>
    <w:rsid w:val="00251BE4"/>
    <w:rsid w:val="00251FA7"/>
    <w:rsid w:val="00254ADE"/>
    <w:rsid w:val="0025596E"/>
    <w:rsid w:val="00257492"/>
    <w:rsid w:val="00263174"/>
    <w:rsid w:val="00263184"/>
    <w:rsid w:val="0026530D"/>
    <w:rsid w:val="002709A3"/>
    <w:rsid w:val="0027120C"/>
    <w:rsid w:val="00272598"/>
    <w:rsid w:val="00272E7B"/>
    <w:rsid w:val="002763B2"/>
    <w:rsid w:val="0027644D"/>
    <w:rsid w:val="002779D9"/>
    <w:rsid w:val="0028082B"/>
    <w:rsid w:val="00280ADB"/>
    <w:rsid w:val="00280E48"/>
    <w:rsid w:val="002836EE"/>
    <w:rsid w:val="0028555C"/>
    <w:rsid w:val="00286538"/>
    <w:rsid w:val="002874D3"/>
    <w:rsid w:val="002900DB"/>
    <w:rsid w:val="00290636"/>
    <w:rsid w:val="00290800"/>
    <w:rsid w:val="00290921"/>
    <w:rsid w:val="00290B93"/>
    <w:rsid w:val="0029117D"/>
    <w:rsid w:val="00292810"/>
    <w:rsid w:val="00292E2D"/>
    <w:rsid w:val="00297000"/>
    <w:rsid w:val="002A1C2B"/>
    <w:rsid w:val="002A1F58"/>
    <w:rsid w:val="002A2AA1"/>
    <w:rsid w:val="002A2EE1"/>
    <w:rsid w:val="002A3A83"/>
    <w:rsid w:val="002A446A"/>
    <w:rsid w:val="002A4CCA"/>
    <w:rsid w:val="002A6466"/>
    <w:rsid w:val="002A7A9C"/>
    <w:rsid w:val="002B138A"/>
    <w:rsid w:val="002B72A0"/>
    <w:rsid w:val="002B78A1"/>
    <w:rsid w:val="002C0445"/>
    <w:rsid w:val="002C189F"/>
    <w:rsid w:val="002C27AC"/>
    <w:rsid w:val="002C4013"/>
    <w:rsid w:val="002D1072"/>
    <w:rsid w:val="002E042B"/>
    <w:rsid w:val="002E568F"/>
    <w:rsid w:val="002E6B76"/>
    <w:rsid w:val="002F1ECB"/>
    <w:rsid w:val="002F32F2"/>
    <w:rsid w:val="002F3537"/>
    <w:rsid w:val="002F4DFE"/>
    <w:rsid w:val="002F5A8D"/>
    <w:rsid w:val="002F624B"/>
    <w:rsid w:val="002F7AF3"/>
    <w:rsid w:val="00307553"/>
    <w:rsid w:val="003114F5"/>
    <w:rsid w:val="00311E42"/>
    <w:rsid w:val="0031285D"/>
    <w:rsid w:val="003225D3"/>
    <w:rsid w:val="003226B7"/>
    <w:rsid w:val="00323774"/>
    <w:rsid w:val="00323790"/>
    <w:rsid w:val="00324110"/>
    <w:rsid w:val="00324D76"/>
    <w:rsid w:val="003337F6"/>
    <w:rsid w:val="00333C21"/>
    <w:rsid w:val="00333DA6"/>
    <w:rsid w:val="00335754"/>
    <w:rsid w:val="00335FCE"/>
    <w:rsid w:val="003407D0"/>
    <w:rsid w:val="00342EE9"/>
    <w:rsid w:val="00345DCA"/>
    <w:rsid w:val="00350546"/>
    <w:rsid w:val="00352D21"/>
    <w:rsid w:val="0035582E"/>
    <w:rsid w:val="0035673A"/>
    <w:rsid w:val="0036016A"/>
    <w:rsid w:val="00361687"/>
    <w:rsid w:val="00361D14"/>
    <w:rsid w:val="0036519A"/>
    <w:rsid w:val="00365CAD"/>
    <w:rsid w:val="003712F5"/>
    <w:rsid w:val="00373DFA"/>
    <w:rsid w:val="0037407D"/>
    <w:rsid w:val="00376BA3"/>
    <w:rsid w:val="003776C9"/>
    <w:rsid w:val="003821E3"/>
    <w:rsid w:val="00392DBF"/>
    <w:rsid w:val="00393007"/>
    <w:rsid w:val="00395460"/>
    <w:rsid w:val="00397DAF"/>
    <w:rsid w:val="003A14AD"/>
    <w:rsid w:val="003A1B5E"/>
    <w:rsid w:val="003B1D9D"/>
    <w:rsid w:val="003C0D1C"/>
    <w:rsid w:val="003C5483"/>
    <w:rsid w:val="003D207B"/>
    <w:rsid w:val="003D2327"/>
    <w:rsid w:val="003D3584"/>
    <w:rsid w:val="003D38D0"/>
    <w:rsid w:val="003D38D5"/>
    <w:rsid w:val="003D4886"/>
    <w:rsid w:val="003E43A8"/>
    <w:rsid w:val="003E5A27"/>
    <w:rsid w:val="003E689A"/>
    <w:rsid w:val="003E6F50"/>
    <w:rsid w:val="003E7798"/>
    <w:rsid w:val="003F03BB"/>
    <w:rsid w:val="003F061D"/>
    <w:rsid w:val="003F0780"/>
    <w:rsid w:val="003F0781"/>
    <w:rsid w:val="003F136B"/>
    <w:rsid w:val="003F22CB"/>
    <w:rsid w:val="003F265F"/>
    <w:rsid w:val="003F3F86"/>
    <w:rsid w:val="003F4AF3"/>
    <w:rsid w:val="003F5736"/>
    <w:rsid w:val="00400BB9"/>
    <w:rsid w:val="00403BB8"/>
    <w:rsid w:val="00403C61"/>
    <w:rsid w:val="00406CE9"/>
    <w:rsid w:val="00410D01"/>
    <w:rsid w:val="00410E3F"/>
    <w:rsid w:val="00414654"/>
    <w:rsid w:val="00415D31"/>
    <w:rsid w:val="004167A5"/>
    <w:rsid w:val="00416B7E"/>
    <w:rsid w:val="00417D28"/>
    <w:rsid w:val="004202D9"/>
    <w:rsid w:val="00420763"/>
    <w:rsid w:val="004213FB"/>
    <w:rsid w:val="00425056"/>
    <w:rsid w:val="00425A1D"/>
    <w:rsid w:val="00426855"/>
    <w:rsid w:val="004326F4"/>
    <w:rsid w:val="004344AD"/>
    <w:rsid w:val="00442E2F"/>
    <w:rsid w:val="00444505"/>
    <w:rsid w:val="00444766"/>
    <w:rsid w:val="00446AC4"/>
    <w:rsid w:val="00447781"/>
    <w:rsid w:val="00450665"/>
    <w:rsid w:val="004515A5"/>
    <w:rsid w:val="00453026"/>
    <w:rsid w:val="00461CC6"/>
    <w:rsid w:val="004640DB"/>
    <w:rsid w:val="00465BD3"/>
    <w:rsid w:val="00472389"/>
    <w:rsid w:val="00472B1C"/>
    <w:rsid w:val="00475508"/>
    <w:rsid w:val="00480922"/>
    <w:rsid w:val="004823A1"/>
    <w:rsid w:val="004826C7"/>
    <w:rsid w:val="00482946"/>
    <w:rsid w:val="00485B36"/>
    <w:rsid w:val="00485EAC"/>
    <w:rsid w:val="004908B3"/>
    <w:rsid w:val="004941DD"/>
    <w:rsid w:val="004A48D3"/>
    <w:rsid w:val="004A5652"/>
    <w:rsid w:val="004B3C0C"/>
    <w:rsid w:val="004B586B"/>
    <w:rsid w:val="004C3E0A"/>
    <w:rsid w:val="004C4415"/>
    <w:rsid w:val="004D1369"/>
    <w:rsid w:val="004D5727"/>
    <w:rsid w:val="004D5D37"/>
    <w:rsid w:val="004D72E9"/>
    <w:rsid w:val="004E180A"/>
    <w:rsid w:val="004E2C91"/>
    <w:rsid w:val="004E401A"/>
    <w:rsid w:val="004E6F54"/>
    <w:rsid w:val="004E73EF"/>
    <w:rsid w:val="004F302D"/>
    <w:rsid w:val="004F384C"/>
    <w:rsid w:val="004F4F02"/>
    <w:rsid w:val="004F6081"/>
    <w:rsid w:val="00502290"/>
    <w:rsid w:val="00503236"/>
    <w:rsid w:val="005133CD"/>
    <w:rsid w:val="00515349"/>
    <w:rsid w:val="005156ED"/>
    <w:rsid w:val="00521A1A"/>
    <w:rsid w:val="0052293D"/>
    <w:rsid w:val="00531062"/>
    <w:rsid w:val="00533C90"/>
    <w:rsid w:val="005345D9"/>
    <w:rsid w:val="00535E67"/>
    <w:rsid w:val="00540C73"/>
    <w:rsid w:val="00541458"/>
    <w:rsid w:val="00544AA9"/>
    <w:rsid w:val="0054708D"/>
    <w:rsid w:val="0055290E"/>
    <w:rsid w:val="00554D0F"/>
    <w:rsid w:val="00556D1C"/>
    <w:rsid w:val="00565686"/>
    <w:rsid w:val="00565714"/>
    <w:rsid w:val="005748C9"/>
    <w:rsid w:val="0057570E"/>
    <w:rsid w:val="00575FBA"/>
    <w:rsid w:val="00580BBD"/>
    <w:rsid w:val="00580D26"/>
    <w:rsid w:val="0058180C"/>
    <w:rsid w:val="00582E3D"/>
    <w:rsid w:val="00582EA4"/>
    <w:rsid w:val="00583825"/>
    <w:rsid w:val="00584174"/>
    <w:rsid w:val="00595FF5"/>
    <w:rsid w:val="00596B44"/>
    <w:rsid w:val="005979A7"/>
    <w:rsid w:val="00597E28"/>
    <w:rsid w:val="005A1264"/>
    <w:rsid w:val="005A3128"/>
    <w:rsid w:val="005A357B"/>
    <w:rsid w:val="005A6E45"/>
    <w:rsid w:val="005A7659"/>
    <w:rsid w:val="005B0341"/>
    <w:rsid w:val="005B12A5"/>
    <w:rsid w:val="005B1FD9"/>
    <w:rsid w:val="005B2722"/>
    <w:rsid w:val="005B3F43"/>
    <w:rsid w:val="005B4236"/>
    <w:rsid w:val="005B669A"/>
    <w:rsid w:val="005B6D5C"/>
    <w:rsid w:val="005B7363"/>
    <w:rsid w:val="005C04A9"/>
    <w:rsid w:val="005C0694"/>
    <w:rsid w:val="005C073E"/>
    <w:rsid w:val="005C27F3"/>
    <w:rsid w:val="005C3043"/>
    <w:rsid w:val="005C46BA"/>
    <w:rsid w:val="005C64D4"/>
    <w:rsid w:val="005C6E25"/>
    <w:rsid w:val="005D06F5"/>
    <w:rsid w:val="005D23A1"/>
    <w:rsid w:val="005D3424"/>
    <w:rsid w:val="005D4B6C"/>
    <w:rsid w:val="005D532F"/>
    <w:rsid w:val="005D64C3"/>
    <w:rsid w:val="005D6D68"/>
    <w:rsid w:val="005D7B58"/>
    <w:rsid w:val="005E3C91"/>
    <w:rsid w:val="005E5584"/>
    <w:rsid w:val="005E5AF9"/>
    <w:rsid w:val="005F0AEB"/>
    <w:rsid w:val="005F1BFA"/>
    <w:rsid w:val="005F77EE"/>
    <w:rsid w:val="00601B17"/>
    <w:rsid w:val="006040C8"/>
    <w:rsid w:val="00610F4A"/>
    <w:rsid w:val="006119BD"/>
    <w:rsid w:val="00614752"/>
    <w:rsid w:val="00615677"/>
    <w:rsid w:val="006234D2"/>
    <w:rsid w:val="00624BD5"/>
    <w:rsid w:val="00626E1D"/>
    <w:rsid w:val="00627507"/>
    <w:rsid w:val="006300F2"/>
    <w:rsid w:val="006302D5"/>
    <w:rsid w:val="006317AA"/>
    <w:rsid w:val="0063322E"/>
    <w:rsid w:val="00633329"/>
    <w:rsid w:val="00636967"/>
    <w:rsid w:val="00636FB3"/>
    <w:rsid w:val="006409FD"/>
    <w:rsid w:val="0064465D"/>
    <w:rsid w:val="006509F0"/>
    <w:rsid w:val="00650E0F"/>
    <w:rsid w:val="00651124"/>
    <w:rsid w:val="006539B1"/>
    <w:rsid w:val="006606A9"/>
    <w:rsid w:val="006610B6"/>
    <w:rsid w:val="006624AB"/>
    <w:rsid w:val="006633A5"/>
    <w:rsid w:val="00663F67"/>
    <w:rsid w:val="00666AC5"/>
    <w:rsid w:val="0066774E"/>
    <w:rsid w:val="00667ADA"/>
    <w:rsid w:val="00675689"/>
    <w:rsid w:val="00676533"/>
    <w:rsid w:val="00676CB9"/>
    <w:rsid w:val="006776B8"/>
    <w:rsid w:val="006812D5"/>
    <w:rsid w:val="00685AA0"/>
    <w:rsid w:val="00687422"/>
    <w:rsid w:val="006900EE"/>
    <w:rsid w:val="006911FB"/>
    <w:rsid w:val="00697DF2"/>
    <w:rsid w:val="006A17B9"/>
    <w:rsid w:val="006A26A8"/>
    <w:rsid w:val="006A76CA"/>
    <w:rsid w:val="006A7A69"/>
    <w:rsid w:val="006B36DD"/>
    <w:rsid w:val="006C01FD"/>
    <w:rsid w:val="006C1FE8"/>
    <w:rsid w:val="006C21D4"/>
    <w:rsid w:val="006C232F"/>
    <w:rsid w:val="006C391D"/>
    <w:rsid w:val="006C4C89"/>
    <w:rsid w:val="006C4FCA"/>
    <w:rsid w:val="006C6590"/>
    <w:rsid w:val="006D0AC5"/>
    <w:rsid w:val="006D0B9E"/>
    <w:rsid w:val="006D13E9"/>
    <w:rsid w:val="006D2462"/>
    <w:rsid w:val="006D2BAC"/>
    <w:rsid w:val="006D2F15"/>
    <w:rsid w:val="006D5446"/>
    <w:rsid w:val="006D5ABD"/>
    <w:rsid w:val="006D6657"/>
    <w:rsid w:val="006E06AA"/>
    <w:rsid w:val="006E388A"/>
    <w:rsid w:val="006E3ECC"/>
    <w:rsid w:val="006E7CD7"/>
    <w:rsid w:val="006F4624"/>
    <w:rsid w:val="006F62E4"/>
    <w:rsid w:val="00700165"/>
    <w:rsid w:val="00700C4A"/>
    <w:rsid w:val="007017B7"/>
    <w:rsid w:val="00704392"/>
    <w:rsid w:val="0070606A"/>
    <w:rsid w:val="0070694A"/>
    <w:rsid w:val="00713126"/>
    <w:rsid w:val="007138FB"/>
    <w:rsid w:val="00715EFC"/>
    <w:rsid w:val="00721E5E"/>
    <w:rsid w:val="007246E8"/>
    <w:rsid w:val="00725DCC"/>
    <w:rsid w:val="007260E1"/>
    <w:rsid w:val="00726C79"/>
    <w:rsid w:val="00732C3B"/>
    <w:rsid w:val="00732E13"/>
    <w:rsid w:val="00734523"/>
    <w:rsid w:val="00736456"/>
    <w:rsid w:val="007371E2"/>
    <w:rsid w:val="0074373A"/>
    <w:rsid w:val="0074481B"/>
    <w:rsid w:val="00747BAA"/>
    <w:rsid w:val="0075020E"/>
    <w:rsid w:val="00750701"/>
    <w:rsid w:val="00750C28"/>
    <w:rsid w:val="00752976"/>
    <w:rsid w:val="007563DE"/>
    <w:rsid w:val="00756537"/>
    <w:rsid w:val="00756D36"/>
    <w:rsid w:val="00757294"/>
    <w:rsid w:val="00767459"/>
    <w:rsid w:val="00767E08"/>
    <w:rsid w:val="0077105E"/>
    <w:rsid w:val="007732F8"/>
    <w:rsid w:val="00773C0D"/>
    <w:rsid w:val="00775A65"/>
    <w:rsid w:val="0077795D"/>
    <w:rsid w:val="00777BA8"/>
    <w:rsid w:val="00780FC7"/>
    <w:rsid w:val="007823F8"/>
    <w:rsid w:val="00784199"/>
    <w:rsid w:val="0078574F"/>
    <w:rsid w:val="0079184F"/>
    <w:rsid w:val="00792403"/>
    <w:rsid w:val="007931D1"/>
    <w:rsid w:val="00794846"/>
    <w:rsid w:val="00794C6C"/>
    <w:rsid w:val="007A1B83"/>
    <w:rsid w:val="007B24C3"/>
    <w:rsid w:val="007B4DB8"/>
    <w:rsid w:val="007B517E"/>
    <w:rsid w:val="007C2D17"/>
    <w:rsid w:val="007C4A74"/>
    <w:rsid w:val="007C4DED"/>
    <w:rsid w:val="007C6519"/>
    <w:rsid w:val="007C7251"/>
    <w:rsid w:val="007D06F7"/>
    <w:rsid w:val="007D209D"/>
    <w:rsid w:val="007D58FB"/>
    <w:rsid w:val="007D703F"/>
    <w:rsid w:val="007D7A1F"/>
    <w:rsid w:val="007E0FFC"/>
    <w:rsid w:val="007E17B8"/>
    <w:rsid w:val="007E18E8"/>
    <w:rsid w:val="007E2E5B"/>
    <w:rsid w:val="007E778F"/>
    <w:rsid w:val="007F066A"/>
    <w:rsid w:val="007F0B72"/>
    <w:rsid w:val="007F108D"/>
    <w:rsid w:val="007F12DD"/>
    <w:rsid w:val="007F5506"/>
    <w:rsid w:val="007F5847"/>
    <w:rsid w:val="007F7D9F"/>
    <w:rsid w:val="00800B8B"/>
    <w:rsid w:val="008046C8"/>
    <w:rsid w:val="00805497"/>
    <w:rsid w:val="00805F5E"/>
    <w:rsid w:val="00806CC7"/>
    <w:rsid w:val="00814384"/>
    <w:rsid w:val="0081489B"/>
    <w:rsid w:val="00814E28"/>
    <w:rsid w:val="00815F68"/>
    <w:rsid w:val="00816DF6"/>
    <w:rsid w:val="00821272"/>
    <w:rsid w:val="0082132B"/>
    <w:rsid w:val="008213EB"/>
    <w:rsid w:val="00822996"/>
    <w:rsid w:val="00823A3D"/>
    <w:rsid w:val="00823EAB"/>
    <w:rsid w:val="008244BB"/>
    <w:rsid w:val="00824BF3"/>
    <w:rsid w:val="00826D1B"/>
    <w:rsid w:val="008272FE"/>
    <w:rsid w:val="0083228A"/>
    <w:rsid w:val="00834CF7"/>
    <w:rsid w:val="0083572F"/>
    <w:rsid w:val="00840828"/>
    <w:rsid w:val="00840F8D"/>
    <w:rsid w:val="0085184D"/>
    <w:rsid w:val="00851A87"/>
    <w:rsid w:val="008539AA"/>
    <w:rsid w:val="00853BFD"/>
    <w:rsid w:val="00860955"/>
    <w:rsid w:val="00860C09"/>
    <w:rsid w:val="00863360"/>
    <w:rsid w:val="0086534B"/>
    <w:rsid w:val="00865F42"/>
    <w:rsid w:val="00870BD6"/>
    <w:rsid w:val="00873039"/>
    <w:rsid w:val="00874667"/>
    <w:rsid w:val="00880426"/>
    <w:rsid w:val="00880733"/>
    <w:rsid w:val="00882415"/>
    <w:rsid w:val="00884497"/>
    <w:rsid w:val="0089079C"/>
    <w:rsid w:val="008969F7"/>
    <w:rsid w:val="00896CF4"/>
    <w:rsid w:val="008A34A1"/>
    <w:rsid w:val="008B37BE"/>
    <w:rsid w:val="008B3DF3"/>
    <w:rsid w:val="008C0A27"/>
    <w:rsid w:val="008C68AF"/>
    <w:rsid w:val="008D1112"/>
    <w:rsid w:val="008D410A"/>
    <w:rsid w:val="008D4DBA"/>
    <w:rsid w:val="008D600B"/>
    <w:rsid w:val="008D65C5"/>
    <w:rsid w:val="008E163D"/>
    <w:rsid w:val="008E3DA9"/>
    <w:rsid w:val="008E4908"/>
    <w:rsid w:val="008E56E0"/>
    <w:rsid w:val="008E698B"/>
    <w:rsid w:val="008E768B"/>
    <w:rsid w:val="008F0E2B"/>
    <w:rsid w:val="008F0F56"/>
    <w:rsid w:val="008F1EA1"/>
    <w:rsid w:val="008F3026"/>
    <w:rsid w:val="008F31AE"/>
    <w:rsid w:val="008F473E"/>
    <w:rsid w:val="008F5496"/>
    <w:rsid w:val="008F5818"/>
    <w:rsid w:val="008F5F8D"/>
    <w:rsid w:val="008F77C3"/>
    <w:rsid w:val="00902742"/>
    <w:rsid w:val="00903117"/>
    <w:rsid w:val="00903B4E"/>
    <w:rsid w:val="00904D88"/>
    <w:rsid w:val="00906AFA"/>
    <w:rsid w:val="00906BF9"/>
    <w:rsid w:val="00907029"/>
    <w:rsid w:val="0091144A"/>
    <w:rsid w:val="009121F4"/>
    <w:rsid w:val="00912BA8"/>
    <w:rsid w:val="00912DBF"/>
    <w:rsid w:val="00912DEF"/>
    <w:rsid w:val="009144B4"/>
    <w:rsid w:val="00916437"/>
    <w:rsid w:val="00924C2F"/>
    <w:rsid w:val="00924FC1"/>
    <w:rsid w:val="00925FF3"/>
    <w:rsid w:val="0093052E"/>
    <w:rsid w:val="00930BAC"/>
    <w:rsid w:val="00930FB5"/>
    <w:rsid w:val="00936CA0"/>
    <w:rsid w:val="0094113F"/>
    <w:rsid w:val="00941E0D"/>
    <w:rsid w:val="00950356"/>
    <w:rsid w:val="0095325C"/>
    <w:rsid w:val="0095625D"/>
    <w:rsid w:val="009615C2"/>
    <w:rsid w:val="00961F8E"/>
    <w:rsid w:val="00962189"/>
    <w:rsid w:val="009633C0"/>
    <w:rsid w:val="00971015"/>
    <w:rsid w:val="00971B1C"/>
    <w:rsid w:val="00971B6A"/>
    <w:rsid w:val="009721A5"/>
    <w:rsid w:val="009742BA"/>
    <w:rsid w:val="00980A12"/>
    <w:rsid w:val="00983594"/>
    <w:rsid w:val="009843D4"/>
    <w:rsid w:val="00984595"/>
    <w:rsid w:val="00984B32"/>
    <w:rsid w:val="00984BA3"/>
    <w:rsid w:val="00984C3E"/>
    <w:rsid w:val="0098540C"/>
    <w:rsid w:val="00986943"/>
    <w:rsid w:val="00986C47"/>
    <w:rsid w:val="00990EC7"/>
    <w:rsid w:val="00991205"/>
    <w:rsid w:val="00993E2D"/>
    <w:rsid w:val="00995CCB"/>
    <w:rsid w:val="009A3497"/>
    <w:rsid w:val="009A3850"/>
    <w:rsid w:val="009A4934"/>
    <w:rsid w:val="009A4F67"/>
    <w:rsid w:val="009B00BD"/>
    <w:rsid w:val="009B153E"/>
    <w:rsid w:val="009B1F4E"/>
    <w:rsid w:val="009B280A"/>
    <w:rsid w:val="009C0AB7"/>
    <w:rsid w:val="009C1025"/>
    <w:rsid w:val="009C2581"/>
    <w:rsid w:val="009C343D"/>
    <w:rsid w:val="009C4173"/>
    <w:rsid w:val="009C5536"/>
    <w:rsid w:val="009C723F"/>
    <w:rsid w:val="009D204B"/>
    <w:rsid w:val="009D42CD"/>
    <w:rsid w:val="009D5C4E"/>
    <w:rsid w:val="009D604C"/>
    <w:rsid w:val="009D6449"/>
    <w:rsid w:val="009D7967"/>
    <w:rsid w:val="009E3458"/>
    <w:rsid w:val="009E37CF"/>
    <w:rsid w:val="009E3D5B"/>
    <w:rsid w:val="009E3F76"/>
    <w:rsid w:val="009E6EC8"/>
    <w:rsid w:val="009F20CF"/>
    <w:rsid w:val="009F255B"/>
    <w:rsid w:val="009F3246"/>
    <w:rsid w:val="009F3876"/>
    <w:rsid w:val="009F41C7"/>
    <w:rsid w:val="009F748D"/>
    <w:rsid w:val="009F7E75"/>
    <w:rsid w:val="00A00214"/>
    <w:rsid w:val="00A01B6C"/>
    <w:rsid w:val="00A128C3"/>
    <w:rsid w:val="00A131A6"/>
    <w:rsid w:val="00A15FE2"/>
    <w:rsid w:val="00A16334"/>
    <w:rsid w:val="00A26389"/>
    <w:rsid w:val="00A2678E"/>
    <w:rsid w:val="00A26EB6"/>
    <w:rsid w:val="00A27632"/>
    <w:rsid w:val="00A27BC4"/>
    <w:rsid w:val="00A345F4"/>
    <w:rsid w:val="00A35333"/>
    <w:rsid w:val="00A357B4"/>
    <w:rsid w:val="00A360DD"/>
    <w:rsid w:val="00A372C9"/>
    <w:rsid w:val="00A41798"/>
    <w:rsid w:val="00A512EF"/>
    <w:rsid w:val="00A56BDD"/>
    <w:rsid w:val="00A57B83"/>
    <w:rsid w:val="00A62535"/>
    <w:rsid w:val="00A6269C"/>
    <w:rsid w:val="00A62AA7"/>
    <w:rsid w:val="00A6463E"/>
    <w:rsid w:val="00A711A0"/>
    <w:rsid w:val="00A718CE"/>
    <w:rsid w:val="00A7322F"/>
    <w:rsid w:val="00A7693C"/>
    <w:rsid w:val="00A92B16"/>
    <w:rsid w:val="00A92F04"/>
    <w:rsid w:val="00A94B76"/>
    <w:rsid w:val="00A97529"/>
    <w:rsid w:val="00A97D2A"/>
    <w:rsid w:val="00AA1ED5"/>
    <w:rsid w:val="00AA2ED4"/>
    <w:rsid w:val="00AA30E3"/>
    <w:rsid w:val="00AA315E"/>
    <w:rsid w:val="00AA78D6"/>
    <w:rsid w:val="00AB20D6"/>
    <w:rsid w:val="00AB4022"/>
    <w:rsid w:val="00AB648E"/>
    <w:rsid w:val="00AC0B8B"/>
    <w:rsid w:val="00AC0F3E"/>
    <w:rsid w:val="00AC1001"/>
    <w:rsid w:val="00AC31BC"/>
    <w:rsid w:val="00AC3756"/>
    <w:rsid w:val="00AC4927"/>
    <w:rsid w:val="00AC7427"/>
    <w:rsid w:val="00AD0A70"/>
    <w:rsid w:val="00AD411D"/>
    <w:rsid w:val="00AD4C2E"/>
    <w:rsid w:val="00AD529D"/>
    <w:rsid w:val="00AD611B"/>
    <w:rsid w:val="00AD78A4"/>
    <w:rsid w:val="00AE0E54"/>
    <w:rsid w:val="00AF09D2"/>
    <w:rsid w:val="00AF154C"/>
    <w:rsid w:val="00AF4E2B"/>
    <w:rsid w:val="00AF6A40"/>
    <w:rsid w:val="00AF7575"/>
    <w:rsid w:val="00B00D7A"/>
    <w:rsid w:val="00B01375"/>
    <w:rsid w:val="00B055A0"/>
    <w:rsid w:val="00B05AED"/>
    <w:rsid w:val="00B07976"/>
    <w:rsid w:val="00B10979"/>
    <w:rsid w:val="00B13232"/>
    <w:rsid w:val="00B15587"/>
    <w:rsid w:val="00B17DF1"/>
    <w:rsid w:val="00B17E51"/>
    <w:rsid w:val="00B2053F"/>
    <w:rsid w:val="00B22337"/>
    <w:rsid w:val="00B26362"/>
    <w:rsid w:val="00B309D7"/>
    <w:rsid w:val="00B33825"/>
    <w:rsid w:val="00B35A4C"/>
    <w:rsid w:val="00B36817"/>
    <w:rsid w:val="00B375D3"/>
    <w:rsid w:val="00B41B1D"/>
    <w:rsid w:val="00B46794"/>
    <w:rsid w:val="00B52BC9"/>
    <w:rsid w:val="00B534CB"/>
    <w:rsid w:val="00B558B4"/>
    <w:rsid w:val="00B55C05"/>
    <w:rsid w:val="00B61CAF"/>
    <w:rsid w:val="00B629CA"/>
    <w:rsid w:val="00B642F4"/>
    <w:rsid w:val="00B65C12"/>
    <w:rsid w:val="00B65D05"/>
    <w:rsid w:val="00B66BEA"/>
    <w:rsid w:val="00B675BD"/>
    <w:rsid w:val="00B70D9A"/>
    <w:rsid w:val="00B710CA"/>
    <w:rsid w:val="00B71237"/>
    <w:rsid w:val="00B71941"/>
    <w:rsid w:val="00B7218D"/>
    <w:rsid w:val="00B73ABF"/>
    <w:rsid w:val="00B82BB7"/>
    <w:rsid w:val="00B858D0"/>
    <w:rsid w:val="00B860B8"/>
    <w:rsid w:val="00B870A3"/>
    <w:rsid w:val="00B87B8D"/>
    <w:rsid w:val="00B922F8"/>
    <w:rsid w:val="00B92A37"/>
    <w:rsid w:val="00B92D76"/>
    <w:rsid w:val="00B93EB2"/>
    <w:rsid w:val="00B950AB"/>
    <w:rsid w:val="00B954C8"/>
    <w:rsid w:val="00B96A07"/>
    <w:rsid w:val="00BA02E1"/>
    <w:rsid w:val="00BA2638"/>
    <w:rsid w:val="00BA2708"/>
    <w:rsid w:val="00BB02CE"/>
    <w:rsid w:val="00BB2052"/>
    <w:rsid w:val="00BB631C"/>
    <w:rsid w:val="00BB6DF2"/>
    <w:rsid w:val="00BB7195"/>
    <w:rsid w:val="00BC4717"/>
    <w:rsid w:val="00BC6808"/>
    <w:rsid w:val="00BD1D80"/>
    <w:rsid w:val="00BD2776"/>
    <w:rsid w:val="00BD2B45"/>
    <w:rsid w:val="00BD3E4C"/>
    <w:rsid w:val="00BD4E79"/>
    <w:rsid w:val="00BD6607"/>
    <w:rsid w:val="00BE1729"/>
    <w:rsid w:val="00BE25C4"/>
    <w:rsid w:val="00BE4235"/>
    <w:rsid w:val="00BE4A2A"/>
    <w:rsid w:val="00BE58D8"/>
    <w:rsid w:val="00BE5EF3"/>
    <w:rsid w:val="00BE6555"/>
    <w:rsid w:val="00BF3319"/>
    <w:rsid w:val="00BF7FE2"/>
    <w:rsid w:val="00C00414"/>
    <w:rsid w:val="00C027AD"/>
    <w:rsid w:val="00C03D66"/>
    <w:rsid w:val="00C059D6"/>
    <w:rsid w:val="00C1443C"/>
    <w:rsid w:val="00C14B14"/>
    <w:rsid w:val="00C14DA9"/>
    <w:rsid w:val="00C20921"/>
    <w:rsid w:val="00C209E9"/>
    <w:rsid w:val="00C20C77"/>
    <w:rsid w:val="00C221AC"/>
    <w:rsid w:val="00C22700"/>
    <w:rsid w:val="00C252FB"/>
    <w:rsid w:val="00C26A8F"/>
    <w:rsid w:val="00C34BB1"/>
    <w:rsid w:val="00C3641A"/>
    <w:rsid w:val="00C37682"/>
    <w:rsid w:val="00C40F37"/>
    <w:rsid w:val="00C41CA1"/>
    <w:rsid w:val="00C42901"/>
    <w:rsid w:val="00C45F84"/>
    <w:rsid w:val="00C4664F"/>
    <w:rsid w:val="00C46A8E"/>
    <w:rsid w:val="00C47E10"/>
    <w:rsid w:val="00C534A3"/>
    <w:rsid w:val="00C61292"/>
    <w:rsid w:val="00C62AC1"/>
    <w:rsid w:val="00C63902"/>
    <w:rsid w:val="00C65495"/>
    <w:rsid w:val="00C6690C"/>
    <w:rsid w:val="00C67202"/>
    <w:rsid w:val="00C707F1"/>
    <w:rsid w:val="00C70BD0"/>
    <w:rsid w:val="00C70C83"/>
    <w:rsid w:val="00C74B6D"/>
    <w:rsid w:val="00C779FD"/>
    <w:rsid w:val="00C813C8"/>
    <w:rsid w:val="00C81BD1"/>
    <w:rsid w:val="00C84376"/>
    <w:rsid w:val="00C857CD"/>
    <w:rsid w:val="00C872E3"/>
    <w:rsid w:val="00C90489"/>
    <w:rsid w:val="00C95245"/>
    <w:rsid w:val="00C97269"/>
    <w:rsid w:val="00CA16CC"/>
    <w:rsid w:val="00CA1B31"/>
    <w:rsid w:val="00CA20D1"/>
    <w:rsid w:val="00CA2205"/>
    <w:rsid w:val="00CA3280"/>
    <w:rsid w:val="00CA32B6"/>
    <w:rsid w:val="00CA6E28"/>
    <w:rsid w:val="00CB0B1C"/>
    <w:rsid w:val="00CB1FF4"/>
    <w:rsid w:val="00CB509F"/>
    <w:rsid w:val="00CB6F52"/>
    <w:rsid w:val="00CB727B"/>
    <w:rsid w:val="00CC0285"/>
    <w:rsid w:val="00CC126D"/>
    <w:rsid w:val="00CC249C"/>
    <w:rsid w:val="00CC4AC4"/>
    <w:rsid w:val="00CC5822"/>
    <w:rsid w:val="00CC5EB3"/>
    <w:rsid w:val="00CD3F59"/>
    <w:rsid w:val="00CD6986"/>
    <w:rsid w:val="00CE2B4D"/>
    <w:rsid w:val="00CE65A2"/>
    <w:rsid w:val="00CE74BB"/>
    <w:rsid w:val="00CF4009"/>
    <w:rsid w:val="00CF6A6F"/>
    <w:rsid w:val="00CF7E35"/>
    <w:rsid w:val="00D03F29"/>
    <w:rsid w:val="00D04C41"/>
    <w:rsid w:val="00D10372"/>
    <w:rsid w:val="00D119C4"/>
    <w:rsid w:val="00D149D4"/>
    <w:rsid w:val="00D25341"/>
    <w:rsid w:val="00D25A64"/>
    <w:rsid w:val="00D26814"/>
    <w:rsid w:val="00D268C3"/>
    <w:rsid w:val="00D27E61"/>
    <w:rsid w:val="00D27F96"/>
    <w:rsid w:val="00D310ED"/>
    <w:rsid w:val="00D31AF1"/>
    <w:rsid w:val="00D32CA4"/>
    <w:rsid w:val="00D34869"/>
    <w:rsid w:val="00D34E3E"/>
    <w:rsid w:val="00D35EF4"/>
    <w:rsid w:val="00D37715"/>
    <w:rsid w:val="00D404BA"/>
    <w:rsid w:val="00D43C07"/>
    <w:rsid w:val="00D44230"/>
    <w:rsid w:val="00D45695"/>
    <w:rsid w:val="00D4603A"/>
    <w:rsid w:val="00D46A59"/>
    <w:rsid w:val="00D53576"/>
    <w:rsid w:val="00D54B31"/>
    <w:rsid w:val="00D560B6"/>
    <w:rsid w:val="00D5660E"/>
    <w:rsid w:val="00D605C0"/>
    <w:rsid w:val="00D61EFB"/>
    <w:rsid w:val="00D63234"/>
    <w:rsid w:val="00D63EC0"/>
    <w:rsid w:val="00D67733"/>
    <w:rsid w:val="00D67B67"/>
    <w:rsid w:val="00D702C0"/>
    <w:rsid w:val="00D70878"/>
    <w:rsid w:val="00D719D1"/>
    <w:rsid w:val="00D72C2B"/>
    <w:rsid w:val="00D7482D"/>
    <w:rsid w:val="00D76314"/>
    <w:rsid w:val="00D806DA"/>
    <w:rsid w:val="00D81513"/>
    <w:rsid w:val="00D835D8"/>
    <w:rsid w:val="00D83CA4"/>
    <w:rsid w:val="00D91E3D"/>
    <w:rsid w:val="00D92589"/>
    <w:rsid w:val="00D92E34"/>
    <w:rsid w:val="00D949FF"/>
    <w:rsid w:val="00D9545B"/>
    <w:rsid w:val="00D96046"/>
    <w:rsid w:val="00DA1277"/>
    <w:rsid w:val="00DA2DC8"/>
    <w:rsid w:val="00DA6083"/>
    <w:rsid w:val="00DA63D9"/>
    <w:rsid w:val="00DB0578"/>
    <w:rsid w:val="00DB3AC7"/>
    <w:rsid w:val="00DB3DFD"/>
    <w:rsid w:val="00DB5F25"/>
    <w:rsid w:val="00DC08F0"/>
    <w:rsid w:val="00DC0CE6"/>
    <w:rsid w:val="00DC0E37"/>
    <w:rsid w:val="00DC1FBC"/>
    <w:rsid w:val="00DC3659"/>
    <w:rsid w:val="00DC4753"/>
    <w:rsid w:val="00DC4913"/>
    <w:rsid w:val="00DC56AB"/>
    <w:rsid w:val="00DC6409"/>
    <w:rsid w:val="00DD02F7"/>
    <w:rsid w:val="00DD4563"/>
    <w:rsid w:val="00DD7A41"/>
    <w:rsid w:val="00DE4ACB"/>
    <w:rsid w:val="00DE52B7"/>
    <w:rsid w:val="00DF39FB"/>
    <w:rsid w:val="00DF3F8A"/>
    <w:rsid w:val="00DF4A59"/>
    <w:rsid w:val="00E02EAD"/>
    <w:rsid w:val="00E04317"/>
    <w:rsid w:val="00E073AE"/>
    <w:rsid w:val="00E123C1"/>
    <w:rsid w:val="00E13698"/>
    <w:rsid w:val="00E13D83"/>
    <w:rsid w:val="00E21D46"/>
    <w:rsid w:val="00E2209C"/>
    <w:rsid w:val="00E245FC"/>
    <w:rsid w:val="00E254DA"/>
    <w:rsid w:val="00E300C3"/>
    <w:rsid w:val="00E3384A"/>
    <w:rsid w:val="00E33A06"/>
    <w:rsid w:val="00E344F3"/>
    <w:rsid w:val="00E36939"/>
    <w:rsid w:val="00E379CF"/>
    <w:rsid w:val="00E4023D"/>
    <w:rsid w:val="00E41D0C"/>
    <w:rsid w:val="00E42004"/>
    <w:rsid w:val="00E42B80"/>
    <w:rsid w:val="00E42F28"/>
    <w:rsid w:val="00E436BD"/>
    <w:rsid w:val="00E4389F"/>
    <w:rsid w:val="00E4419D"/>
    <w:rsid w:val="00E45877"/>
    <w:rsid w:val="00E45D2F"/>
    <w:rsid w:val="00E47513"/>
    <w:rsid w:val="00E52B95"/>
    <w:rsid w:val="00E53A7C"/>
    <w:rsid w:val="00E54556"/>
    <w:rsid w:val="00E61068"/>
    <w:rsid w:val="00E6484E"/>
    <w:rsid w:val="00E67A6A"/>
    <w:rsid w:val="00E67DC6"/>
    <w:rsid w:val="00E73994"/>
    <w:rsid w:val="00E756FC"/>
    <w:rsid w:val="00E76565"/>
    <w:rsid w:val="00E77AC8"/>
    <w:rsid w:val="00E8061F"/>
    <w:rsid w:val="00E8240F"/>
    <w:rsid w:val="00E82F69"/>
    <w:rsid w:val="00E83660"/>
    <w:rsid w:val="00E84F85"/>
    <w:rsid w:val="00E85A43"/>
    <w:rsid w:val="00E9163D"/>
    <w:rsid w:val="00E91CA6"/>
    <w:rsid w:val="00E963DD"/>
    <w:rsid w:val="00EA0324"/>
    <w:rsid w:val="00EA2924"/>
    <w:rsid w:val="00EA5C10"/>
    <w:rsid w:val="00EB1378"/>
    <w:rsid w:val="00EB5E81"/>
    <w:rsid w:val="00EC081F"/>
    <w:rsid w:val="00EC4C51"/>
    <w:rsid w:val="00EC7022"/>
    <w:rsid w:val="00ED43F9"/>
    <w:rsid w:val="00ED4546"/>
    <w:rsid w:val="00ED6062"/>
    <w:rsid w:val="00ED6D01"/>
    <w:rsid w:val="00ED6EF0"/>
    <w:rsid w:val="00ED72F6"/>
    <w:rsid w:val="00EE20E5"/>
    <w:rsid w:val="00EE2566"/>
    <w:rsid w:val="00EE3DF8"/>
    <w:rsid w:val="00EE6415"/>
    <w:rsid w:val="00EE6E78"/>
    <w:rsid w:val="00F00062"/>
    <w:rsid w:val="00F04426"/>
    <w:rsid w:val="00F0494A"/>
    <w:rsid w:val="00F059B1"/>
    <w:rsid w:val="00F0752C"/>
    <w:rsid w:val="00F12478"/>
    <w:rsid w:val="00F1353A"/>
    <w:rsid w:val="00F135B3"/>
    <w:rsid w:val="00F15B1E"/>
    <w:rsid w:val="00F229C8"/>
    <w:rsid w:val="00F241BD"/>
    <w:rsid w:val="00F247FA"/>
    <w:rsid w:val="00F258ED"/>
    <w:rsid w:val="00F25C5E"/>
    <w:rsid w:val="00F25F15"/>
    <w:rsid w:val="00F308DB"/>
    <w:rsid w:val="00F30A30"/>
    <w:rsid w:val="00F31363"/>
    <w:rsid w:val="00F372BD"/>
    <w:rsid w:val="00F427B3"/>
    <w:rsid w:val="00F43105"/>
    <w:rsid w:val="00F4377D"/>
    <w:rsid w:val="00F45E05"/>
    <w:rsid w:val="00F50027"/>
    <w:rsid w:val="00F516CA"/>
    <w:rsid w:val="00F52FB3"/>
    <w:rsid w:val="00F557F8"/>
    <w:rsid w:val="00F55FC0"/>
    <w:rsid w:val="00F576C4"/>
    <w:rsid w:val="00F57830"/>
    <w:rsid w:val="00F61592"/>
    <w:rsid w:val="00F626C2"/>
    <w:rsid w:val="00F62A83"/>
    <w:rsid w:val="00F63C22"/>
    <w:rsid w:val="00F6531E"/>
    <w:rsid w:val="00F66850"/>
    <w:rsid w:val="00F87478"/>
    <w:rsid w:val="00F87678"/>
    <w:rsid w:val="00F90333"/>
    <w:rsid w:val="00F905F6"/>
    <w:rsid w:val="00F954AE"/>
    <w:rsid w:val="00F97ECF"/>
    <w:rsid w:val="00FA1847"/>
    <w:rsid w:val="00FA3797"/>
    <w:rsid w:val="00FA4009"/>
    <w:rsid w:val="00FA72A3"/>
    <w:rsid w:val="00FB0B80"/>
    <w:rsid w:val="00FB16C1"/>
    <w:rsid w:val="00FB319A"/>
    <w:rsid w:val="00FB346D"/>
    <w:rsid w:val="00FB4C14"/>
    <w:rsid w:val="00FB560D"/>
    <w:rsid w:val="00FC0827"/>
    <w:rsid w:val="00FC1880"/>
    <w:rsid w:val="00FC26D2"/>
    <w:rsid w:val="00FC2A20"/>
    <w:rsid w:val="00FC3CB6"/>
    <w:rsid w:val="00FC3F43"/>
    <w:rsid w:val="00FC57F6"/>
    <w:rsid w:val="00FC5BE3"/>
    <w:rsid w:val="00FD14C5"/>
    <w:rsid w:val="00FD1CCA"/>
    <w:rsid w:val="00FD3F4E"/>
    <w:rsid w:val="00FD7C04"/>
    <w:rsid w:val="00FE0391"/>
    <w:rsid w:val="00FE1730"/>
    <w:rsid w:val="00FE339D"/>
    <w:rsid w:val="00FE488E"/>
    <w:rsid w:val="00FE5732"/>
    <w:rsid w:val="00FE791A"/>
    <w:rsid w:val="00FF0E83"/>
    <w:rsid w:val="00FF11C3"/>
    <w:rsid w:val="00FF1EA5"/>
    <w:rsid w:val="00FF26FE"/>
    <w:rsid w:val="016305C2"/>
    <w:rsid w:val="0164C2F9"/>
    <w:rsid w:val="02C41BBD"/>
    <w:rsid w:val="02F61622"/>
    <w:rsid w:val="0351C8C3"/>
    <w:rsid w:val="03A1F3B5"/>
    <w:rsid w:val="03EA95B1"/>
    <w:rsid w:val="04578DC7"/>
    <w:rsid w:val="04E2C7C3"/>
    <w:rsid w:val="054F5727"/>
    <w:rsid w:val="057D2965"/>
    <w:rsid w:val="0668E558"/>
    <w:rsid w:val="07087CC1"/>
    <w:rsid w:val="073251BB"/>
    <w:rsid w:val="07BCF4AE"/>
    <w:rsid w:val="0B43D6DB"/>
    <w:rsid w:val="0BDA0DCE"/>
    <w:rsid w:val="0ED9A10E"/>
    <w:rsid w:val="0F1D27D1"/>
    <w:rsid w:val="0F8849EE"/>
    <w:rsid w:val="0FB6A0DA"/>
    <w:rsid w:val="100E22A5"/>
    <w:rsid w:val="10AC7820"/>
    <w:rsid w:val="10ED635D"/>
    <w:rsid w:val="1103E807"/>
    <w:rsid w:val="13399314"/>
    <w:rsid w:val="137332A7"/>
    <w:rsid w:val="13741087"/>
    <w:rsid w:val="1396CFC6"/>
    <w:rsid w:val="140B42CE"/>
    <w:rsid w:val="1594ED58"/>
    <w:rsid w:val="160D319B"/>
    <w:rsid w:val="1672E1ED"/>
    <w:rsid w:val="16BD35B1"/>
    <w:rsid w:val="179DC612"/>
    <w:rsid w:val="18492DE5"/>
    <w:rsid w:val="192189BA"/>
    <w:rsid w:val="19A13463"/>
    <w:rsid w:val="19A32D9C"/>
    <w:rsid w:val="19A8D6C1"/>
    <w:rsid w:val="19B79D7F"/>
    <w:rsid w:val="1A474CBE"/>
    <w:rsid w:val="1AF36E71"/>
    <w:rsid w:val="1AF64579"/>
    <w:rsid w:val="1C5A6C35"/>
    <w:rsid w:val="1C687619"/>
    <w:rsid w:val="1D9E0795"/>
    <w:rsid w:val="1E9BBD9D"/>
    <w:rsid w:val="1F165D18"/>
    <w:rsid w:val="1F99A8DB"/>
    <w:rsid w:val="202A8CE5"/>
    <w:rsid w:val="202FF186"/>
    <w:rsid w:val="204BCEA6"/>
    <w:rsid w:val="205A1E25"/>
    <w:rsid w:val="22B3D9F7"/>
    <w:rsid w:val="232E0804"/>
    <w:rsid w:val="2339D757"/>
    <w:rsid w:val="23B7EE02"/>
    <w:rsid w:val="23FF34DA"/>
    <w:rsid w:val="2449311E"/>
    <w:rsid w:val="25748728"/>
    <w:rsid w:val="2601EC46"/>
    <w:rsid w:val="2602C09F"/>
    <w:rsid w:val="260DB75C"/>
    <w:rsid w:val="2687341A"/>
    <w:rsid w:val="2709A549"/>
    <w:rsid w:val="273900AB"/>
    <w:rsid w:val="29D879B5"/>
    <w:rsid w:val="2B77C30C"/>
    <w:rsid w:val="2C42D399"/>
    <w:rsid w:val="2CBEB74E"/>
    <w:rsid w:val="2D2B390A"/>
    <w:rsid w:val="2D827E60"/>
    <w:rsid w:val="2E772467"/>
    <w:rsid w:val="2EDCDF28"/>
    <w:rsid w:val="2F9E40FF"/>
    <w:rsid w:val="2FD1E97F"/>
    <w:rsid w:val="300AD496"/>
    <w:rsid w:val="3111018E"/>
    <w:rsid w:val="31586327"/>
    <w:rsid w:val="31F50F10"/>
    <w:rsid w:val="3245C9AE"/>
    <w:rsid w:val="325FB1DD"/>
    <w:rsid w:val="3280AB80"/>
    <w:rsid w:val="3286A705"/>
    <w:rsid w:val="331A1991"/>
    <w:rsid w:val="338459F1"/>
    <w:rsid w:val="34313BF2"/>
    <w:rsid w:val="348E3D5E"/>
    <w:rsid w:val="34A765DE"/>
    <w:rsid w:val="34C92A8C"/>
    <w:rsid w:val="34FFB5CB"/>
    <w:rsid w:val="35A0A922"/>
    <w:rsid w:val="367B1852"/>
    <w:rsid w:val="36C9FBF4"/>
    <w:rsid w:val="3713D043"/>
    <w:rsid w:val="38386A2C"/>
    <w:rsid w:val="38C215DA"/>
    <w:rsid w:val="39CA758B"/>
    <w:rsid w:val="3AC04D63"/>
    <w:rsid w:val="3D9B58D3"/>
    <w:rsid w:val="3EA60C51"/>
    <w:rsid w:val="3F896983"/>
    <w:rsid w:val="4101EF55"/>
    <w:rsid w:val="410ED289"/>
    <w:rsid w:val="4119E8C2"/>
    <w:rsid w:val="433766D5"/>
    <w:rsid w:val="43D35C48"/>
    <w:rsid w:val="4823A156"/>
    <w:rsid w:val="483DB7C6"/>
    <w:rsid w:val="48BD3C85"/>
    <w:rsid w:val="49145748"/>
    <w:rsid w:val="49229CC7"/>
    <w:rsid w:val="4A279567"/>
    <w:rsid w:val="4A56AF7F"/>
    <w:rsid w:val="4B3D46B6"/>
    <w:rsid w:val="4BF5DFB4"/>
    <w:rsid w:val="4C0FDC2D"/>
    <w:rsid w:val="4D233A8B"/>
    <w:rsid w:val="4D682CB7"/>
    <w:rsid w:val="4D9BAE3F"/>
    <w:rsid w:val="4DB3AF05"/>
    <w:rsid w:val="4DB89C1F"/>
    <w:rsid w:val="4E713ACE"/>
    <w:rsid w:val="4ED5AF84"/>
    <w:rsid w:val="4F3A8264"/>
    <w:rsid w:val="4F84D1F0"/>
    <w:rsid w:val="4FDE8E1C"/>
    <w:rsid w:val="507AC0F1"/>
    <w:rsid w:val="52638FC8"/>
    <w:rsid w:val="52DF4D6B"/>
    <w:rsid w:val="534AB55A"/>
    <w:rsid w:val="538E7B98"/>
    <w:rsid w:val="54155990"/>
    <w:rsid w:val="5419363D"/>
    <w:rsid w:val="54FE38D5"/>
    <w:rsid w:val="557C0A39"/>
    <w:rsid w:val="56355C7A"/>
    <w:rsid w:val="565A1EB4"/>
    <w:rsid w:val="572115DD"/>
    <w:rsid w:val="58495E68"/>
    <w:rsid w:val="584DCA28"/>
    <w:rsid w:val="58CB200A"/>
    <w:rsid w:val="593A47B8"/>
    <w:rsid w:val="5A7B324E"/>
    <w:rsid w:val="5A9E77F5"/>
    <w:rsid w:val="5BBB44A0"/>
    <w:rsid w:val="5BCCB49B"/>
    <w:rsid w:val="5BD6A44F"/>
    <w:rsid w:val="5CB67966"/>
    <w:rsid w:val="5CEB69F9"/>
    <w:rsid w:val="5E12636A"/>
    <w:rsid w:val="5FFFD02A"/>
    <w:rsid w:val="601DD31B"/>
    <w:rsid w:val="614F3C0A"/>
    <w:rsid w:val="61CC7165"/>
    <w:rsid w:val="63A8ED68"/>
    <w:rsid w:val="64023B1C"/>
    <w:rsid w:val="645366CF"/>
    <w:rsid w:val="6493BEEA"/>
    <w:rsid w:val="65A27626"/>
    <w:rsid w:val="65EB8FC0"/>
    <w:rsid w:val="66706411"/>
    <w:rsid w:val="66917593"/>
    <w:rsid w:val="66A383CD"/>
    <w:rsid w:val="66EB6ECF"/>
    <w:rsid w:val="67ADE66D"/>
    <w:rsid w:val="68A214F9"/>
    <w:rsid w:val="69C3DF59"/>
    <w:rsid w:val="69DC9B77"/>
    <w:rsid w:val="6B519574"/>
    <w:rsid w:val="6BA8FD98"/>
    <w:rsid w:val="6BCDD450"/>
    <w:rsid w:val="6C5F46C2"/>
    <w:rsid w:val="6C90CE44"/>
    <w:rsid w:val="6C9666BE"/>
    <w:rsid w:val="6CDDC14A"/>
    <w:rsid w:val="6F0B368E"/>
    <w:rsid w:val="6F6D82D9"/>
    <w:rsid w:val="6F99E9C9"/>
    <w:rsid w:val="71F16612"/>
    <w:rsid w:val="72365A02"/>
    <w:rsid w:val="723E533F"/>
    <w:rsid w:val="726DC1BF"/>
    <w:rsid w:val="72BCE315"/>
    <w:rsid w:val="72F81F85"/>
    <w:rsid w:val="732B31FD"/>
    <w:rsid w:val="737C8D51"/>
    <w:rsid w:val="74D10E35"/>
    <w:rsid w:val="75492DB0"/>
    <w:rsid w:val="7632C533"/>
    <w:rsid w:val="76422A1D"/>
    <w:rsid w:val="769FB75C"/>
    <w:rsid w:val="77128A8B"/>
    <w:rsid w:val="773ACEF7"/>
    <w:rsid w:val="78191B2E"/>
    <w:rsid w:val="789532CC"/>
    <w:rsid w:val="7A38094E"/>
    <w:rsid w:val="7AC3B222"/>
    <w:rsid w:val="7BDB7DF5"/>
    <w:rsid w:val="7C6239CC"/>
    <w:rsid w:val="7CDC4763"/>
    <w:rsid w:val="7E9283B8"/>
    <w:rsid w:val="7EEAA9E3"/>
    <w:rsid w:val="7F84A3A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2151A"/>
  <w15:chartTrackingRefBased/>
  <w15:docId w15:val="{40E5AC4B-9BCE-4FFD-8311-F411EE76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4AD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F32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32F2"/>
    <w:rPr>
      <w:rFonts w:ascii="Segoe UI" w:hAnsi="Segoe UI" w:cs="Segoe UI"/>
      <w:sz w:val="18"/>
      <w:szCs w:val="18"/>
    </w:rPr>
  </w:style>
  <w:style w:type="character" w:styleId="Verwijzingopmerking">
    <w:name w:val="annotation reference"/>
    <w:basedOn w:val="Standaardalinea-lettertype"/>
    <w:uiPriority w:val="99"/>
    <w:semiHidden/>
    <w:unhideWhenUsed/>
    <w:rsid w:val="002F32F2"/>
    <w:rPr>
      <w:sz w:val="16"/>
      <w:szCs w:val="16"/>
    </w:rPr>
  </w:style>
  <w:style w:type="paragraph" w:styleId="Tekstopmerking">
    <w:name w:val="annotation text"/>
    <w:basedOn w:val="Standaard"/>
    <w:link w:val="TekstopmerkingChar"/>
    <w:uiPriority w:val="99"/>
    <w:unhideWhenUsed/>
    <w:rsid w:val="002F32F2"/>
    <w:rPr>
      <w:sz w:val="20"/>
      <w:szCs w:val="20"/>
    </w:rPr>
  </w:style>
  <w:style w:type="character" w:customStyle="1" w:styleId="TekstopmerkingChar">
    <w:name w:val="Tekst opmerking Char"/>
    <w:basedOn w:val="Standaardalinea-lettertype"/>
    <w:link w:val="Tekstopmerking"/>
    <w:uiPriority w:val="99"/>
    <w:rsid w:val="002F32F2"/>
    <w:rPr>
      <w:rFonts w:ascii="Calibri" w:hAnsi="Calibri" w:cs="Calibri"/>
      <w:sz w:val="20"/>
      <w:szCs w:val="20"/>
    </w:rPr>
  </w:style>
  <w:style w:type="paragraph" w:styleId="Voetnoottekst">
    <w:name w:val="footnote text"/>
    <w:basedOn w:val="Standaard"/>
    <w:link w:val="VoetnoottekstChar"/>
    <w:uiPriority w:val="99"/>
    <w:semiHidden/>
    <w:unhideWhenUsed/>
    <w:rsid w:val="0081489B"/>
    <w:rPr>
      <w:sz w:val="20"/>
      <w:szCs w:val="20"/>
    </w:rPr>
  </w:style>
  <w:style w:type="character" w:customStyle="1" w:styleId="VoetnoottekstChar">
    <w:name w:val="Voetnoottekst Char"/>
    <w:basedOn w:val="Standaardalinea-lettertype"/>
    <w:link w:val="Voetnoottekst"/>
    <w:uiPriority w:val="99"/>
    <w:semiHidden/>
    <w:rsid w:val="0081489B"/>
    <w:rPr>
      <w:rFonts w:ascii="Calibri" w:hAnsi="Calibri" w:cs="Calibri"/>
      <w:sz w:val="20"/>
      <w:szCs w:val="20"/>
    </w:rPr>
  </w:style>
  <w:style w:type="character" w:styleId="Voetnootmarkering">
    <w:name w:val="footnote reference"/>
    <w:basedOn w:val="Standaardalinea-lettertype"/>
    <w:uiPriority w:val="99"/>
    <w:semiHidden/>
    <w:unhideWhenUsed/>
    <w:rsid w:val="0081489B"/>
    <w:rPr>
      <w:vertAlign w:val="superscript"/>
    </w:rPr>
  </w:style>
  <w:style w:type="paragraph" w:styleId="Onderwerpvanopmerking">
    <w:name w:val="annotation subject"/>
    <w:basedOn w:val="Tekstopmerking"/>
    <w:next w:val="Tekstopmerking"/>
    <w:link w:val="OnderwerpvanopmerkingChar"/>
    <w:uiPriority w:val="99"/>
    <w:semiHidden/>
    <w:unhideWhenUsed/>
    <w:rsid w:val="00675689"/>
    <w:rPr>
      <w:b/>
      <w:bCs/>
    </w:rPr>
  </w:style>
  <w:style w:type="character" w:customStyle="1" w:styleId="OnderwerpvanopmerkingChar">
    <w:name w:val="Onderwerp van opmerking Char"/>
    <w:basedOn w:val="TekstopmerkingChar"/>
    <w:link w:val="Onderwerpvanopmerking"/>
    <w:uiPriority w:val="99"/>
    <w:semiHidden/>
    <w:rsid w:val="00675689"/>
    <w:rPr>
      <w:rFonts w:ascii="Calibri" w:hAnsi="Calibri" w:cs="Calibri"/>
      <w:b/>
      <w:bCs/>
      <w:sz w:val="20"/>
      <w:szCs w:val="20"/>
    </w:rPr>
  </w:style>
  <w:style w:type="paragraph" w:styleId="Koptekst">
    <w:name w:val="header"/>
    <w:basedOn w:val="Standaard"/>
    <w:link w:val="KoptekstChar"/>
    <w:uiPriority w:val="99"/>
    <w:unhideWhenUsed/>
    <w:rsid w:val="00980A12"/>
    <w:pPr>
      <w:tabs>
        <w:tab w:val="center" w:pos="4536"/>
        <w:tab w:val="right" w:pos="9072"/>
      </w:tabs>
    </w:pPr>
  </w:style>
  <w:style w:type="character" w:customStyle="1" w:styleId="KoptekstChar">
    <w:name w:val="Koptekst Char"/>
    <w:basedOn w:val="Standaardalinea-lettertype"/>
    <w:link w:val="Koptekst"/>
    <w:uiPriority w:val="99"/>
    <w:rsid w:val="00980A12"/>
    <w:rPr>
      <w:rFonts w:ascii="Calibri" w:hAnsi="Calibri" w:cs="Calibri"/>
    </w:rPr>
  </w:style>
  <w:style w:type="paragraph" w:styleId="Voettekst">
    <w:name w:val="footer"/>
    <w:basedOn w:val="Standaard"/>
    <w:link w:val="VoettekstChar"/>
    <w:uiPriority w:val="99"/>
    <w:unhideWhenUsed/>
    <w:rsid w:val="00980A12"/>
    <w:pPr>
      <w:tabs>
        <w:tab w:val="center" w:pos="4536"/>
        <w:tab w:val="right" w:pos="9072"/>
      </w:tabs>
    </w:pPr>
  </w:style>
  <w:style w:type="character" w:customStyle="1" w:styleId="VoettekstChar">
    <w:name w:val="Voettekst Char"/>
    <w:basedOn w:val="Standaardalinea-lettertype"/>
    <w:link w:val="Voettekst"/>
    <w:uiPriority w:val="99"/>
    <w:rsid w:val="00980A12"/>
    <w:rPr>
      <w:rFonts w:ascii="Calibri" w:hAnsi="Calibri" w:cs="Calibri"/>
    </w:rPr>
  </w:style>
  <w:style w:type="paragraph" w:customStyle="1" w:styleId="Default">
    <w:name w:val="Default"/>
    <w:rsid w:val="00B73ABF"/>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character" w:styleId="Hyperlink">
    <w:name w:val="Hyperlink"/>
    <w:basedOn w:val="Standaardalinea-lettertype"/>
    <w:uiPriority w:val="99"/>
    <w:unhideWhenUsed/>
    <w:rsid w:val="00541458"/>
    <w:rPr>
      <w:color w:val="0563C1" w:themeColor="hyperlink"/>
      <w:u w:val="single"/>
    </w:rPr>
  </w:style>
  <w:style w:type="paragraph" w:styleId="Lijstalinea">
    <w:name w:val="List Paragraph"/>
    <w:basedOn w:val="Standaard"/>
    <w:uiPriority w:val="34"/>
    <w:qFormat/>
    <w:rsid w:val="001E3967"/>
    <w:pPr>
      <w:ind w:left="720"/>
      <w:contextualSpacing/>
    </w:pPr>
  </w:style>
  <w:style w:type="paragraph" w:styleId="Revisie">
    <w:name w:val="Revision"/>
    <w:hidden/>
    <w:uiPriority w:val="99"/>
    <w:semiHidden/>
    <w:rsid w:val="004908B3"/>
    <w:pPr>
      <w:spacing w:after="0" w:line="240" w:lineRule="auto"/>
    </w:pPr>
    <w:rPr>
      <w:rFonts w:ascii="Calibri" w:hAnsi="Calibri" w:cs="Calibri"/>
    </w:rPr>
  </w:style>
  <w:style w:type="character" w:styleId="Onopgelostemelding">
    <w:name w:val="Unresolved Mention"/>
    <w:basedOn w:val="Standaardalinea-lettertype"/>
    <w:uiPriority w:val="99"/>
    <w:semiHidden/>
    <w:unhideWhenUsed/>
    <w:rsid w:val="00482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7116">
      <w:bodyDiv w:val="1"/>
      <w:marLeft w:val="0"/>
      <w:marRight w:val="0"/>
      <w:marTop w:val="0"/>
      <w:marBottom w:val="0"/>
      <w:divBdr>
        <w:top w:val="none" w:sz="0" w:space="0" w:color="auto"/>
        <w:left w:val="none" w:sz="0" w:space="0" w:color="auto"/>
        <w:bottom w:val="none" w:sz="0" w:space="0" w:color="auto"/>
        <w:right w:val="none" w:sz="0" w:space="0" w:color="auto"/>
      </w:divBdr>
    </w:div>
    <w:div w:id="73204835">
      <w:bodyDiv w:val="1"/>
      <w:marLeft w:val="0"/>
      <w:marRight w:val="0"/>
      <w:marTop w:val="0"/>
      <w:marBottom w:val="0"/>
      <w:divBdr>
        <w:top w:val="none" w:sz="0" w:space="0" w:color="auto"/>
        <w:left w:val="none" w:sz="0" w:space="0" w:color="auto"/>
        <w:bottom w:val="none" w:sz="0" w:space="0" w:color="auto"/>
        <w:right w:val="none" w:sz="0" w:space="0" w:color="auto"/>
      </w:divBdr>
    </w:div>
    <w:div w:id="88892542">
      <w:bodyDiv w:val="1"/>
      <w:marLeft w:val="0"/>
      <w:marRight w:val="0"/>
      <w:marTop w:val="0"/>
      <w:marBottom w:val="0"/>
      <w:divBdr>
        <w:top w:val="none" w:sz="0" w:space="0" w:color="auto"/>
        <w:left w:val="none" w:sz="0" w:space="0" w:color="auto"/>
        <w:bottom w:val="none" w:sz="0" w:space="0" w:color="auto"/>
        <w:right w:val="none" w:sz="0" w:space="0" w:color="auto"/>
      </w:divBdr>
    </w:div>
    <w:div w:id="131682019">
      <w:bodyDiv w:val="1"/>
      <w:marLeft w:val="0"/>
      <w:marRight w:val="0"/>
      <w:marTop w:val="0"/>
      <w:marBottom w:val="0"/>
      <w:divBdr>
        <w:top w:val="none" w:sz="0" w:space="0" w:color="auto"/>
        <w:left w:val="none" w:sz="0" w:space="0" w:color="auto"/>
        <w:bottom w:val="none" w:sz="0" w:space="0" w:color="auto"/>
        <w:right w:val="none" w:sz="0" w:space="0" w:color="auto"/>
      </w:divBdr>
    </w:div>
    <w:div w:id="145779058">
      <w:bodyDiv w:val="1"/>
      <w:marLeft w:val="0"/>
      <w:marRight w:val="0"/>
      <w:marTop w:val="0"/>
      <w:marBottom w:val="0"/>
      <w:divBdr>
        <w:top w:val="none" w:sz="0" w:space="0" w:color="auto"/>
        <w:left w:val="none" w:sz="0" w:space="0" w:color="auto"/>
        <w:bottom w:val="none" w:sz="0" w:space="0" w:color="auto"/>
        <w:right w:val="none" w:sz="0" w:space="0" w:color="auto"/>
      </w:divBdr>
    </w:div>
    <w:div w:id="299843481">
      <w:bodyDiv w:val="1"/>
      <w:marLeft w:val="0"/>
      <w:marRight w:val="0"/>
      <w:marTop w:val="0"/>
      <w:marBottom w:val="0"/>
      <w:divBdr>
        <w:top w:val="none" w:sz="0" w:space="0" w:color="auto"/>
        <w:left w:val="none" w:sz="0" w:space="0" w:color="auto"/>
        <w:bottom w:val="none" w:sz="0" w:space="0" w:color="auto"/>
        <w:right w:val="none" w:sz="0" w:space="0" w:color="auto"/>
      </w:divBdr>
    </w:div>
    <w:div w:id="301885438">
      <w:bodyDiv w:val="1"/>
      <w:marLeft w:val="0"/>
      <w:marRight w:val="0"/>
      <w:marTop w:val="0"/>
      <w:marBottom w:val="0"/>
      <w:divBdr>
        <w:top w:val="none" w:sz="0" w:space="0" w:color="auto"/>
        <w:left w:val="none" w:sz="0" w:space="0" w:color="auto"/>
        <w:bottom w:val="none" w:sz="0" w:space="0" w:color="auto"/>
        <w:right w:val="none" w:sz="0" w:space="0" w:color="auto"/>
      </w:divBdr>
    </w:div>
    <w:div w:id="321277085">
      <w:bodyDiv w:val="1"/>
      <w:marLeft w:val="0"/>
      <w:marRight w:val="0"/>
      <w:marTop w:val="0"/>
      <w:marBottom w:val="0"/>
      <w:divBdr>
        <w:top w:val="none" w:sz="0" w:space="0" w:color="auto"/>
        <w:left w:val="none" w:sz="0" w:space="0" w:color="auto"/>
        <w:bottom w:val="none" w:sz="0" w:space="0" w:color="auto"/>
        <w:right w:val="none" w:sz="0" w:space="0" w:color="auto"/>
      </w:divBdr>
    </w:div>
    <w:div w:id="349335773">
      <w:bodyDiv w:val="1"/>
      <w:marLeft w:val="0"/>
      <w:marRight w:val="0"/>
      <w:marTop w:val="0"/>
      <w:marBottom w:val="0"/>
      <w:divBdr>
        <w:top w:val="none" w:sz="0" w:space="0" w:color="auto"/>
        <w:left w:val="none" w:sz="0" w:space="0" w:color="auto"/>
        <w:bottom w:val="none" w:sz="0" w:space="0" w:color="auto"/>
        <w:right w:val="none" w:sz="0" w:space="0" w:color="auto"/>
      </w:divBdr>
    </w:div>
    <w:div w:id="455024920">
      <w:bodyDiv w:val="1"/>
      <w:marLeft w:val="0"/>
      <w:marRight w:val="0"/>
      <w:marTop w:val="0"/>
      <w:marBottom w:val="0"/>
      <w:divBdr>
        <w:top w:val="none" w:sz="0" w:space="0" w:color="auto"/>
        <w:left w:val="none" w:sz="0" w:space="0" w:color="auto"/>
        <w:bottom w:val="none" w:sz="0" w:space="0" w:color="auto"/>
        <w:right w:val="none" w:sz="0" w:space="0" w:color="auto"/>
      </w:divBdr>
    </w:div>
    <w:div w:id="459303803">
      <w:bodyDiv w:val="1"/>
      <w:marLeft w:val="0"/>
      <w:marRight w:val="0"/>
      <w:marTop w:val="0"/>
      <w:marBottom w:val="0"/>
      <w:divBdr>
        <w:top w:val="none" w:sz="0" w:space="0" w:color="auto"/>
        <w:left w:val="none" w:sz="0" w:space="0" w:color="auto"/>
        <w:bottom w:val="none" w:sz="0" w:space="0" w:color="auto"/>
        <w:right w:val="none" w:sz="0" w:space="0" w:color="auto"/>
      </w:divBdr>
    </w:div>
    <w:div w:id="461701183">
      <w:bodyDiv w:val="1"/>
      <w:marLeft w:val="0"/>
      <w:marRight w:val="0"/>
      <w:marTop w:val="0"/>
      <w:marBottom w:val="0"/>
      <w:divBdr>
        <w:top w:val="none" w:sz="0" w:space="0" w:color="auto"/>
        <w:left w:val="none" w:sz="0" w:space="0" w:color="auto"/>
        <w:bottom w:val="none" w:sz="0" w:space="0" w:color="auto"/>
        <w:right w:val="none" w:sz="0" w:space="0" w:color="auto"/>
      </w:divBdr>
    </w:div>
    <w:div w:id="544682832">
      <w:bodyDiv w:val="1"/>
      <w:marLeft w:val="0"/>
      <w:marRight w:val="0"/>
      <w:marTop w:val="0"/>
      <w:marBottom w:val="0"/>
      <w:divBdr>
        <w:top w:val="none" w:sz="0" w:space="0" w:color="auto"/>
        <w:left w:val="none" w:sz="0" w:space="0" w:color="auto"/>
        <w:bottom w:val="none" w:sz="0" w:space="0" w:color="auto"/>
        <w:right w:val="none" w:sz="0" w:space="0" w:color="auto"/>
      </w:divBdr>
    </w:div>
    <w:div w:id="593785810">
      <w:bodyDiv w:val="1"/>
      <w:marLeft w:val="0"/>
      <w:marRight w:val="0"/>
      <w:marTop w:val="0"/>
      <w:marBottom w:val="0"/>
      <w:divBdr>
        <w:top w:val="none" w:sz="0" w:space="0" w:color="auto"/>
        <w:left w:val="none" w:sz="0" w:space="0" w:color="auto"/>
        <w:bottom w:val="none" w:sz="0" w:space="0" w:color="auto"/>
        <w:right w:val="none" w:sz="0" w:space="0" w:color="auto"/>
      </w:divBdr>
    </w:div>
    <w:div w:id="611017253">
      <w:bodyDiv w:val="1"/>
      <w:marLeft w:val="0"/>
      <w:marRight w:val="0"/>
      <w:marTop w:val="0"/>
      <w:marBottom w:val="0"/>
      <w:divBdr>
        <w:top w:val="none" w:sz="0" w:space="0" w:color="auto"/>
        <w:left w:val="none" w:sz="0" w:space="0" w:color="auto"/>
        <w:bottom w:val="none" w:sz="0" w:space="0" w:color="auto"/>
        <w:right w:val="none" w:sz="0" w:space="0" w:color="auto"/>
      </w:divBdr>
    </w:div>
    <w:div w:id="611399928">
      <w:bodyDiv w:val="1"/>
      <w:marLeft w:val="0"/>
      <w:marRight w:val="0"/>
      <w:marTop w:val="0"/>
      <w:marBottom w:val="0"/>
      <w:divBdr>
        <w:top w:val="none" w:sz="0" w:space="0" w:color="auto"/>
        <w:left w:val="none" w:sz="0" w:space="0" w:color="auto"/>
        <w:bottom w:val="none" w:sz="0" w:space="0" w:color="auto"/>
        <w:right w:val="none" w:sz="0" w:space="0" w:color="auto"/>
      </w:divBdr>
    </w:div>
    <w:div w:id="638804304">
      <w:bodyDiv w:val="1"/>
      <w:marLeft w:val="0"/>
      <w:marRight w:val="0"/>
      <w:marTop w:val="0"/>
      <w:marBottom w:val="0"/>
      <w:divBdr>
        <w:top w:val="none" w:sz="0" w:space="0" w:color="auto"/>
        <w:left w:val="none" w:sz="0" w:space="0" w:color="auto"/>
        <w:bottom w:val="none" w:sz="0" w:space="0" w:color="auto"/>
        <w:right w:val="none" w:sz="0" w:space="0" w:color="auto"/>
      </w:divBdr>
    </w:div>
    <w:div w:id="691416832">
      <w:bodyDiv w:val="1"/>
      <w:marLeft w:val="0"/>
      <w:marRight w:val="0"/>
      <w:marTop w:val="0"/>
      <w:marBottom w:val="0"/>
      <w:divBdr>
        <w:top w:val="none" w:sz="0" w:space="0" w:color="auto"/>
        <w:left w:val="none" w:sz="0" w:space="0" w:color="auto"/>
        <w:bottom w:val="none" w:sz="0" w:space="0" w:color="auto"/>
        <w:right w:val="none" w:sz="0" w:space="0" w:color="auto"/>
      </w:divBdr>
    </w:div>
    <w:div w:id="765351052">
      <w:bodyDiv w:val="1"/>
      <w:marLeft w:val="0"/>
      <w:marRight w:val="0"/>
      <w:marTop w:val="0"/>
      <w:marBottom w:val="0"/>
      <w:divBdr>
        <w:top w:val="none" w:sz="0" w:space="0" w:color="auto"/>
        <w:left w:val="none" w:sz="0" w:space="0" w:color="auto"/>
        <w:bottom w:val="none" w:sz="0" w:space="0" w:color="auto"/>
        <w:right w:val="none" w:sz="0" w:space="0" w:color="auto"/>
      </w:divBdr>
    </w:div>
    <w:div w:id="833304553">
      <w:bodyDiv w:val="1"/>
      <w:marLeft w:val="0"/>
      <w:marRight w:val="0"/>
      <w:marTop w:val="0"/>
      <w:marBottom w:val="0"/>
      <w:divBdr>
        <w:top w:val="none" w:sz="0" w:space="0" w:color="auto"/>
        <w:left w:val="none" w:sz="0" w:space="0" w:color="auto"/>
        <w:bottom w:val="none" w:sz="0" w:space="0" w:color="auto"/>
        <w:right w:val="none" w:sz="0" w:space="0" w:color="auto"/>
      </w:divBdr>
    </w:div>
    <w:div w:id="836504070">
      <w:bodyDiv w:val="1"/>
      <w:marLeft w:val="0"/>
      <w:marRight w:val="0"/>
      <w:marTop w:val="0"/>
      <w:marBottom w:val="0"/>
      <w:divBdr>
        <w:top w:val="none" w:sz="0" w:space="0" w:color="auto"/>
        <w:left w:val="none" w:sz="0" w:space="0" w:color="auto"/>
        <w:bottom w:val="none" w:sz="0" w:space="0" w:color="auto"/>
        <w:right w:val="none" w:sz="0" w:space="0" w:color="auto"/>
      </w:divBdr>
    </w:div>
    <w:div w:id="976572129">
      <w:bodyDiv w:val="1"/>
      <w:marLeft w:val="0"/>
      <w:marRight w:val="0"/>
      <w:marTop w:val="0"/>
      <w:marBottom w:val="0"/>
      <w:divBdr>
        <w:top w:val="none" w:sz="0" w:space="0" w:color="auto"/>
        <w:left w:val="none" w:sz="0" w:space="0" w:color="auto"/>
        <w:bottom w:val="none" w:sz="0" w:space="0" w:color="auto"/>
        <w:right w:val="none" w:sz="0" w:space="0" w:color="auto"/>
      </w:divBdr>
    </w:div>
    <w:div w:id="1055742624">
      <w:bodyDiv w:val="1"/>
      <w:marLeft w:val="0"/>
      <w:marRight w:val="0"/>
      <w:marTop w:val="0"/>
      <w:marBottom w:val="0"/>
      <w:divBdr>
        <w:top w:val="none" w:sz="0" w:space="0" w:color="auto"/>
        <w:left w:val="none" w:sz="0" w:space="0" w:color="auto"/>
        <w:bottom w:val="none" w:sz="0" w:space="0" w:color="auto"/>
        <w:right w:val="none" w:sz="0" w:space="0" w:color="auto"/>
      </w:divBdr>
    </w:div>
    <w:div w:id="1067192719">
      <w:bodyDiv w:val="1"/>
      <w:marLeft w:val="0"/>
      <w:marRight w:val="0"/>
      <w:marTop w:val="0"/>
      <w:marBottom w:val="0"/>
      <w:divBdr>
        <w:top w:val="none" w:sz="0" w:space="0" w:color="auto"/>
        <w:left w:val="none" w:sz="0" w:space="0" w:color="auto"/>
        <w:bottom w:val="none" w:sz="0" w:space="0" w:color="auto"/>
        <w:right w:val="none" w:sz="0" w:space="0" w:color="auto"/>
      </w:divBdr>
    </w:div>
    <w:div w:id="1071584162">
      <w:bodyDiv w:val="1"/>
      <w:marLeft w:val="0"/>
      <w:marRight w:val="0"/>
      <w:marTop w:val="0"/>
      <w:marBottom w:val="0"/>
      <w:divBdr>
        <w:top w:val="none" w:sz="0" w:space="0" w:color="auto"/>
        <w:left w:val="none" w:sz="0" w:space="0" w:color="auto"/>
        <w:bottom w:val="none" w:sz="0" w:space="0" w:color="auto"/>
        <w:right w:val="none" w:sz="0" w:space="0" w:color="auto"/>
      </w:divBdr>
    </w:div>
    <w:div w:id="1093013610">
      <w:bodyDiv w:val="1"/>
      <w:marLeft w:val="0"/>
      <w:marRight w:val="0"/>
      <w:marTop w:val="0"/>
      <w:marBottom w:val="0"/>
      <w:divBdr>
        <w:top w:val="none" w:sz="0" w:space="0" w:color="auto"/>
        <w:left w:val="none" w:sz="0" w:space="0" w:color="auto"/>
        <w:bottom w:val="none" w:sz="0" w:space="0" w:color="auto"/>
        <w:right w:val="none" w:sz="0" w:space="0" w:color="auto"/>
      </w:divBdr>
    </w:div>
    <w:div w:id="1154101092">
      <w:bodyDiv w:val="1"/>
      <w:marLeft w:val="0"/>
      <w:marRight w:val="0"/>
      <w:marTop w:val="0"/>
      <w:marBottom w:val="0"/>
      <w:divBdr>
        <w:top w:val="none" w:sz="0" w:space="0" w:color="auto"/>
        <w:left w:val="none" w:sz="0" w:space="0" w:color="auto"/>
        <w:bottom w:val="none" w:sz="0" w:space="0" w:color="auto"/>
        <w:right w:val="none" w:sz="0" w:space="0" w:color="auto"/>
      </w:divBdr>
    </w:div>
    <w:div w:id="1172792256">
      <w:bodyDiv w:val="1"/>
      <w:marLeft w:val="0"/>
      <w:marRight w:val="0"/>
      <w:marTop w:val="0"/>
      <w:marBottom w:val="0"/>
      <w:divBdr>
        <w:top w:val="none" w:sz="0" w:space="0" w:color="auto"/>
        <w:left w:val="none" w:sz="0" w:space="0" w:color="auto"/>
        <w:bottom w:val="none" w:sz="0" w:space="0" w:color="auto"/>
        <w:right w:val="none" w:sz="0" w:space="0" w:color="auto"/>
      </w:divBdr>
    </w:div>
    <w:div w:id="1209296062">
      <w:bodyDiv w:val="1"/>
      <w:marLeft w:val="0"/>
      <w:marRight w:val="0"/>
      <w:marTop w:val="0"/>
      <w:marBottom w:val="0"/>
      <w:divBdr>
        <w:top w:val="none" w:sz="0" w:space="0" w:color="auto"/>
        <w:left w:val="none" w:sz="0" w:space="0" w:color="auto"/>
        <w:bottom w:val="none" w:sz="0" w:space="0" w:color="auto"/>
        <w:right w:val="none" w:sz="0" w:space="0" w:color="auto"/>
      </w:divBdr>
    </w:div>
    <w:div w:id="1239704044">
      <w:bodyDiv w:val="1"/>
      <w:marLeft w:val="0"/>
      <w:marRight w:val="0"/>
      <w:marTop w:val="0"/>
      <w:marBottom w:val="0"/>
      <w:divBdr>
        <w:top w:val="none" w:sz="0" w:space="0" w:color="auto"/>
        <w:left w:val="none" w:sz="0" w:space="0" w:color="auto"/>
        <w:bottom w:val="none" w:sz="0" w:space="0" w:color="auto"/>
        <w:right w:val="none" w:sz="0" w:space="0" w:color="auto"/>
      </w:divBdr>
    </w:div>
    <w:div w:id="1295405863">
      <w:bodyDiv w:val="1"/>
      <w:marLeft w:val="0"/>
      <w:marRight w:val="0"/>
      <w:marTop w:val="0"/>
      <w:marBottom w:val="0"/>
      <w:divBdr>
        <w:top w:val="none" w:sz="0" w:space="0" w:color="auto"/>
        <w:left w:val="none" w:sz="0" w:space="0" w:color="auto"/>
        <w:bottom w:val="none" w:sz="0" w:space="0" w:color="auto"/>
        <w:right w:val="none" w:sz="0" w:space="0" w:color="auto"/>
      </w:divBdr>
    </w:div>
    <w:div w:id="1312295697">
      <w:bodyDiv w:val="1"/>
      <w:marLeft w:val="0"/>
      <w:marRight w:val="0"/>
      <w:marTop w:val="0"/>
      <w:marBottom w:val="0"/>
      <w:divBdr>
        <w:top w:val="none" w:sz="0" w:space="0" w:color="auto"/>
        <w:left w:val="none" w:sz="0" w:space="0" w:color="auto"/>
        <w:bottom w:val="none" w:sz="0" w:space="0" w:color="auto"/>
        <w:right w:val="none" w:sz="0" w:space="0" w:color="auto"/>
      </w:divBdr>
    </w:div>
    <w:div w:id="1469736281">
      <w:bodyDiv w:val="1"/>
      <w:marLeft w:val="0"/>
      <w:marRight w:val="0"/>
      <w:marTop w:val="0"/>
      <w:marBottom w:val="0"/>
      <w:divBdr>
        <w:top w:val="none" w:sz="0" w:space="0" w:color="auto"/>
        <w:left w:val="none" w:sz="0" w:space="0" w:color="auto"/>
        <w:bottom w:val="none" w:sz="0" w:space="0" w:color="auto"/>
        <w:right w:val="none" w:sz="0" w:space="0" w:color="auto"/>
      </w:divBdr>
    </w:div>
    <w:div w:id="1506433531">
      <w:bodyDiv w:val="1"/>
      <w:marLeft w:val="0"/>
      <w:marRight w:val="0"/>
      <w:marTop w:val="0"/>
      <w:marBottom w:val="0"/>
      <w:divBdr>
        <w:top w:val="none" w:sz="0" w:space="0" w:color="auto"/>
        <w:left w:val="none" w:sz="0" w:space="0" w:color="auto"/>
        <w:bottom w:val="none" w:sz="0" w:space="0" w:color="auto"/>
        <w:right w:val="none" w:sz="0" w:space="0" w:color="auto"/>
      </w:divBdr>
    </w:div>
    <w:div w:id="1561135318">
      <w:bodyDiv w:val="1"/>
      <w:marLeft w:val="0"/>
      <w:marRight w:val="0"/>
      <w:marTop w:val="0"/>
      <w:marBottom w:val="0"/>
      <w:divBdr>
        <w:top w:val="none" w:sz="0" w:space="0" w:color="auto"/>
        <w:left w:val="none" w:sz="0" w:space="0" w:color="auto"/>
        <w:bottom w:val="none" w:sz="0" w:space="0" w:color="auto"/>
        <w:right w:val="none" w:sz="0" w:space="0" w:color="auto"/>
      </w:divBdr>
    </w:div>
    <w:div w:id="1629238767">
      <w:bodyDiv w:val="1"/>
      <w:marLeft w:val="0"/>
      <w:marRight w:val="0"/>
      <w:marTop w:val="0"/>
      <w:marBottom w:val="0"/>
      <w:divBdr>
        <w:top w:val="none" w:sz="0" w:space="0" w:color="auto"/>
        <w:left w:val="none" w:sz="0" w:space="0" w:color="auto"/>
        <w:bottom w:val="none" w:sz="0" w:space="0" w:color="auto"/>
        <w:right w:val="none" w:sz="0" w:space="0" w:color="auto"/>
      </w:divBdr>
    </w:div>
    <w:div w:id="1689719058">
      <w:bodyDiv w:val="1"/>
      <w:marLeft w:val="0"/>
      <w:marRight w:val="0"/>
      <w:marTop w:val="0"/>
      <w:marBottom w:val="0"/>
      <w:divBdr>
        <w:top w:val="none" w:sz="0" w:space="0" w:color="auto"/>
        <w:left w:val="none" w:sz="0" w:space="0" w:color="auto"/>
        <w:bottom w:val="none" w:sz="0" w:space="0" w:color="auto"/>
        <w:right w:val="none" w:sz="0" w:space="0" w:color="auto"/>
      </w:divBdr>
    </w:div>
    <w:div w:id="1705204079">
      <w:bodyDiv w:val="1"/>
      <w:marLeft w:val="0"/>
      <w:marRight w:val="0"/>
      <w:marTop w:val="0"/>
      <w:marBottom w:val="0"/>
      <w:divBdr>
        <w:top w:val="none" w:sz="0" w:space="0" w:color="auto"/>
        <w:left w:val="none" w:sz="0" w:space="0" w:color="auto"/>
        <w:bottom w:val="none" w:sz="0" w:space="0" w:color="auto"/>
        <w:right w:val="none" w:sz="0" w:space="0" w:color="auto"/>
      </w:divBdr>
    </w:div>
    <w:div w:id="1726946414">
      <w:bodyDiv w:val="1"/>
      <w:marLeft w:val="0"/>
      <w:marRight w:val="0"/>
      <w:marTop w:val="0"/>
      <w:marBottom w:val="0"/>
      <w:divBdr>
        <w:top w:val="none" w:sz="0" w:space="0" w:color="auto"/>
        <w:left w:val="none" w:sz="0" w:space="0" w:color="auto"/>
        <w:bottom w:val="none" w:sz="0" w:space="0" w:color="auto"/>
        <w:right w:val="none" w:sz="0" w:space="0" w:color="auto"/>
      </w:divBdr>
    </w:div>
    <w:div w:id="1822429287">
      <w:bodyDiv w:val="1"/>
      <w:marLeft w:val="0"/>
      <w:marRight w:val="0"/>
      <w:marTop w:val="0"/>
      <w:marBottom w:val="0"/>
      <w:divBdr>
        <w:top w:val="none" w:sz="0" w:space="0" w:color="auto"/>
        <w:left w:val="none" w:sz="0" w:space="0" w:color="auto"/>
        <w:bottom w:val="none" w:sz="0" w:space="0" w:color="auto"/>
        <w:right w:val="none" w:sz="0" w:space="0" w:color="auto"/>
      </w:divBdr>
    </w:div>
    <w:div w:id="1888755990">
      <w:bodyDiv w:val="1"/>
      <w:marLeft w:val="0"/>
      <w:marRight w:val="0"/>
      <w:marTop w:val="0"/>
      <w:marBottom w:val="0"/>
      <w:divBdr>
        <w:top w:val="none" w:sz="0" w:space="0" w:color="auto"/>
        <w:left w:val="none" w:sz="0" w:space="0" w:color="auto"/>
        <w:bottom w:val="none" w:sz="0" w:space="0" w:color="auto"/>
        <w:right w:val="none" w:sz="0" w:space="0" w:color="auto"/>
      </w:divBdr>
    </w:div>
    <w:div w:id="1988122152">
      <w:bodyDiv w:val="1"/>
      <w:marLeft w:val="0"/>
      <w:marRight w:val="0"/>
      <w:marTop w:val="0"/>
      <w:marBottom w:val="0"/>
      <w:divBdr>
        <w:top w:val="none" w:sz="0" w:space="0" w:color="auto"/>
        <w:left w:val="none" w:sz="0" w:space="0" w:color="auto"/>
        <w:bottom w:val="none" w:sz="0" w:space="0" w:color="auto"/>
        <w:right w:val="none" w:sz="0" w:space="0" w:color="auto"/>
      </w:divBdr>
    </w:div>
    <w:div w:id="1988589110">
      <w:bodyDiv w:val="1"/>
      <w:marLeft w:val="0"/>
      <w:marRight w:val="0"/>
      <w:marTop w:val="0"/>
      <w:marBottom w:val="0"/>
      <w:divBdr>
        <w:top w:val="none" w:sz="0" w:space="0" w:color="auto"/>
        <w:left w:val="none" w:sz="0" w:space="0" w:color="auto"/>
        <w:bottom w:val="none" w:sz="0" w:space="0" w:color="auto"/>
        <w:right w:val="none" w:sz="0" w:space="0" w:color="auto"/>
      </w:divBdr>
    </w:div>
    <w:div w:id="1991640030">
      <w:bodyDiv w:val="1"/>
      <w:marLeft w:val="0"/>
      <w:marRight w:val="0"/>
      <w:marTop w:val="0"/>
      <w:marBottom w:val="0"/>
      <w:divBdr>
        <w:top w:val="none" w:sz="0" w:space="0" w:color="auto"/>
        <w:left w:val="none" w:sz="0" w:space="0" w:color="auto"/>
        <w:bottom w:val="none" w:sz="0" w:space="0" w:color="auto"/>
        <w:right w:val="none" w:sz="0" w:space="0" w:color="auto"/>
      </w:divBdr>
    </w:div>
    <w:div w:id="1998652917">
      <w:bodyDiv w:val="1"/>
      <w:marLeft w:val="0"/>
      <w:marRight w:val="0"/>
      <w:marTop w:val="0"/>
      <w:marBottom w:val="0"/>
      <w:divBdr>
        <w:top w:val="none" w:sz="0" w:space="0" w:color="auto"/>
        <w:left w:val="none" w:sz="0" w:space="0" w:color="auto"/>
        <w:bottom w:val="none" w:sz="0" w:space="0" w:color="auto"/>
        <w:right w:val="none" w:sz="0" w:space="0" w:color="auto"/>
      </w:divBdr>
    </w:div>
    <w:div w:id="2013801485">
      <w:bodyDiv w:val="1"/>
      <w:marLeft w:val="0"/>
      <w:marRight w:val="0"/>
      <w:marTop w:val="0"/>
      <w:marBottom w:val="0"/>
      <w:divBdr>
        <w:top w:val="none" w:sz="0" w:space="0" w:color="auto"/>
        <w:left w:val="none" w:sz="0" w:space="0" w:color="auto"/>
        <w:bottom w:val="none" w:sz="0" w:space="0" w:color="auto"/>
        <w:right w:val="none" w:sz="0" w:space="0" w:color="auto"/>
      </w:divBdr>
    </w:div>
    <w:div w:id="2050641533">
      <w:bodyDiv w:val="1"/>
      <w:marLeft w:val="0"/>
      <w:marRight w:val="0"/>
      <w:marTop w:val="0"/>
      <w:marBottom w:val="0"/>
      <w:divBdr>
        <w:top w:val="none" w:sz="0" w:space="0" w:color="auto"/>
        <w:left w:val="none" w:sz="0" w:space="0" w:color="auto"/>
        <w:bottom w:val="none" w:sz="0" w:space="0" w:color="auto"/>
        <w:right w:val="none" w:sz="0" w:space="0" w:color="auto"/>
      </w:divBdr>
    </w:div>
    <w:div w:id="2076583013">
      <w:bodyDiv w:val="1"/>
      <w:marLeft w:val="0"/>
      <w:marRight w:val="0"/>
      <w:marTop w:val="0"/>
      <w:marBottom w:val="0"/>
      <w:divBdr>
        <w:top w:val="none" w:sz="0" w:space="0" w:color="auto"/>
        <w:left w:val="none" w:sz="0" w:space="0" w:color="auto"/>
        <w:bottom w:val="none" w:sz="0" w:space="0" w:color="auto"/>
        <w:right w:val="none" w:sz="0" w:space="0" w:color="auto"/>
      </w:divBdr>
    </w:div>
    <w:div w:id="2093237181">
      <w:bodyDiv w:val="1"/>
      <w:marLeft w:val="0"/>
      <w:marRight w:val="0"/>
      <w:marTop w:val="0"/>
      <w:marBottom w:val="0"/>
      <w:divBdr>
        <w:top w:val="none" w:sz="0" w:space="0" w:color="auto"/>
        <w:left w:val="none" w:sz="0" w:space="0" w:color="auto"/>
        <w:bottom w:val="none" w:sz="0" w:space="0" w:color="auto"/>
        <w:right w:val="none" w:sz="0" w:space="0" w:color="auto"/>
      </w:divBdr>
    </w:div>
    <w:div w:id="2126120514">
      <w:bodyDiv w:val="1"/>
      <w:marLeft w:val="0"/>
      <w:marRight w:val="0"/>
      <w:marTop w:val="0"/>
      <w:marBottom w:val="0"/>
      <w:divBdr>
        <w:top w:val="none" w:sz="0" w:space="0" w:color="auto"/>
        <w:left w:val="none" w:sz="0" w:space="0" w:color="auto"/>
        <w:bottom w:val="none" w:sz="0" w:space="0" w:color="auto"/>
        <w:right w:val="none" w:sz="0" w:space="0" w:color="auto"/>
      </w:divBdr>
    </w:div>
    <w:div w:id="214014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1893</ap:Words>
  <ap:Characters>10412</ap:Characters>
  <ap:DocSecurity>0</ap:DocSecurity>
  <ap:Lines>86</ap:Lines>
  <ap:Paragraphs>24</ap:Paragraphs>
  <ap:ScaleCrop>false</ap:ScaleCrop>
  <ap:LinksUpToDate>false</ap:LinksUpToDate>
  <ap:CharactersWithSpaces>12281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2025-11-20T16:45:00.0000000Z</dcterms:created>
  <dcterms:modified xsi:type="dcterms:W3CDTF">2025-11-20T16:45:00.0000000Z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2022-10-05T14:49:02Z</vt:lpwstr>
  </property>
  <property fmtid="{D5CDD505-2E9C-101B-9397-08002B2CF9AE}" pid="4" name="MSIP_Label_acd88dc2-102c-473d-aa45-6161565a3617_Method">
    <vt:lpwstr>Privileged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6ba13a1f-9de1-4866-893e-fcb144d1070a</vt:lpwstr>
  </property>
  <property fmtid="{D5CDD505-2E9C-101B-9397-08002B2CF9AE}" pid="8" name="MSIP_Label_acd88dc2-102c-473d-aa45-6161565a3617_ContentBits">
    <vt:lpwstr>3</vt:lpwstr>
  </property>
  <property fmtid="{D5CDD505-2E9C-101B-9397-08002B2CF9AE}" pid="9" name="ContentTypeId">
    <vt:lpwstr>0x010100E8B0DA84DB430E4085623546A2FCA439</vt:lpwstr>
  </property>
</Properties>
</file>