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1E1CAA" w14:paraId="57E8D14E" w14:textId="18FA0B0D">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00BD2419">
            <w:pPr>
              <w:pStyle w:val="Amendement"/>
              <w:tabs>
                <w:tab w:val="clear" w:pos="3310"/>
                <w:tab w:val="clear" w:pos="3600"/>
              </w:tabs>
              <w:rPr>
                <w:rFonts w:ascii="Times New Roman" w:hAnsi="Times New Roman"/>
              </w:rPr>
            </w:pPr>
            <w:r w:rsidRPr="00C035D4">
              <w:rPr>
                <w:rFonts w:ascii="Times New Roman" w:hAnsi="Times New Roman"/>
              </w:rPr>
              <w:t xml:space="preserve">Nr. </w:t>
            </w:r>
            <w:r w:rsidR="001E1CAA">
              <w:rPr>
                <w:rFonts w:ascii="Times New Roman" w:hAnsi="Times New Roman"/>
                <w:caps/>
              </w:rPr>
              <w:t>47</w:t>
            </w:r>
          </w:p>
        </w:tc>
        <w:tc>
          <w:tcPr>
            <w:tcW w:w="7371" w:type="dxa"/>
            <w:gridSpan w:val="2"/>
          </w:tcPr>
          <w:p w:rsidRPr="00C035D4" w:rsidR="003C21AC" w:rsidP="006E0971" w:rsidRDefault="001E1CAA" w14:paraId="43334D50" w14:textId="1189E9F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Pr>
                <w:rFonts w:ascii="Times New Roman" w:hAnsi="Times New Roman"/>
                <w:caps/>
              </w:rPr>
              <w:t xml:space="preserve"> Grinwis c.s. ter vervanging van dat gedrukt onder 42</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8CDCE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1CAA">
              <w:rPr>
                <w:rFonts w:ascii="Times New Roman" w:hAnsi="Times New Roman"/>
                <w:b w:val="0"/>
              </w:rPr>
              <w:t>21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39ABC933">
            <w:pPr>
              <w:ind w:firstLine="284"/>
            </w:pPr>
            <w:r w:rsidRPr="00EA69AC">
              <w:t>De ondergetekende</w:t>
            </w:r>
            <w:r w:rsidR="001E1CAA">
              <w:t>n</w:t>
            </w:r>
            <w:r w:rsidRPr="00EA69AC">
              <w:t xml:space="preserve"> stel</w:t>
            </w:r>
            <w:r w:rsidR="001E1CAA">
              <w:t>len</w:t>
            </w:r>
            <w:r w:rsidRPr="00EA69AC">
              <w:t xml:space="preserve"> het volgende amendement voor:</w:t>
            </w:r>
          </w:p>
        </w:tc>
      </w:tr>
    </w:tbl>
    <w:p w:rsidR="004330ED" w:rsidP="00D774B3" w:rsidRDefault="004330ED" w14:paraId="31111856" w14:textId="77777777"/>
    <w:p w:rsidR="00C04CA6" w:rsidP="00C04CA6" w:rsidRDefault="004973F3" w14:paraId="2BDA49C0" w14:textId="650F52DA">
      <w:r>
        <w:t>I</w:t>
      </w:r>
    </w:p>
    <w:p w:rsidR="001E1CAA" w:rsidP="00C04CA6" w:rsidRDefault="001E1CAA" w14:paraId="2C6CDB57" w14:textId="77777777"/>
    <w:p w:rsidRPr="00810BF6" w:rsidR="00C04CA6" w:rsidP="001E1CAA" w:rsidRDefault="002573FF" w14:paraId="61B909F0" w14:textId="38D3B253">
      <w:pPr>
        <w:ind w:firstLine="284"/>
      </w:pPr>
      <w:r>
        <w:t>Voor</w:t>
      </w:r>
      <w:r w:rsidRPr="00810BF6" w:rsidR="00C04CA6">
        <w:t xml:space="preserve"> artikel I, onderdeel </w:t>
      </w:r>
      <w:r>
        <w:t>I</w:t>
      </w:r>
      <w:r w:rsidRPr="00810BF6" w:rsidR="00C04CA6">
        <w:t>, word</w:t>
      </w:r>
      <w:r w:rsidR="00C04CA6">
        <w:t>t</w:t>
      </w:r>
      <w:r w:rsidRPr="00810BF6" w:rsidR="00C04CA6">
        <w:t xml:space="preserve"> </w:t>
      </w:r>
      <w:r w:rsidR="00C04CA6">
        <w:t>een onderdeel</w:t>
      </w:r>
      <w:r w:rsidRPr="00810BF6" w:rsidR="00C04CA6">
        <w:t xml:space="preserve"> ingevoegd, luidende:</w:t>
      </w:r>
    </w:p>
    <w:p w:rsidR="00C04CA6" w:rsidP="00C04CA6" w:rsidRDefault="00C04CA6" w14:paraId="41F59157" w14:textId="77777777"/>
    <w:p w:rsidR="00C04CA6" w:rsidP="00C04CA6" w:rsidRDefault="00C04CA6" w14:paraId="6BA0D62E" w14:textId="31CA765F">
      <w:r>
        <w:t>Ha</w:t>
      </w:r>
    </w:p>
    <w:p w:rsidR="00C04CA6" w:rsidP="00C04CA6" w:rsidRDefault="00C04CA6" w14:paraId="3EBE9712" w14:textId="77777777"/>
    <w:p w:rsidR="0041171F" w:rsidP="001E1CAA" w:rsidRDefault="00C04CA6" w14:paraId="3345CD96" w14:textId="0254ECEC">
      <w:pPr>
        <w:ind w:firstLine="284"/>
      </w:pPr>
      <w:r>
        <w:t>In a</w:t>
      </w:r>
      <w:r w:rsidRPr="00810BF6">
        <w:t xml:space="preserve">rtikel 10.6bis </w:t>
      </w:r>
      <w:r>
        <w:t>wordt “3</w:t>
      </w:r>
      <w:r w:rsidRPr="00E36028">
        <w:rPr>
          <w:vertAlign w:val="superscript"/>
        </w:rPr>
        <w:t>1</w:t>
      </w:r>
      <w:r w:rsidRPr="007972CE">
        <w:t>/</w:t>
      </w:r>
      <w:r w:rsidRPr="00E36028">
        <w:rPr>
          <w:vertAlign w:val="subscript"/>
        </w:rPr>
        <w:t>3</w:t>
      </w:r>
      <w:r w:rsidRPr="007972CE">
        <w:t>%</w:t>
      </w:r>
      <w:r>
        <w:t xml:space="preserve">-punt” vervangen </w:t>
      </w:r>
      <w:r w:rsidRPr="00890162">
        <w:t>door “</w:t>
      </w:r>
      <w:r w:rsidR="00E36028">
        <w:t>4,</w:t>
      </w:r>
      <w:r w:rsidR="005E4E0A">
        <w:t>8</w:t>
      </w:r>
      <w:r w:rsidRPr="00890162">
        <w:t>%-punt</w:t>
      </w:r>
      <w:r w:rsidR="00196064">
        <w:t>”</w:t>
      </w:r>
      <w:r w:rsidR="002B1D5E">
        <w:t>.</w:t>
      </w:r>
    </w:p>
    <w:p w:rsidRPr="00EA69AC" w:rsidR="00A27808" w:rsidP="00D774B3" w:rsidRDefault="00A27808" w14:paraId="28BCB15B" w14:textId="77777777"/>
    <w:p w:rsidR="00524B9F" w:rsidP="00EA1CE4" w:rsidRDefault="00524B9F" w14:paraId="020C5EC7" w14:textId="46B3C941">
      <w:r>
        <w:t>I</w:t>
      </w:r>
      <w:r w:rsidR="004973F3">
        <w:t>I</w:t>
      </w:r>
    </w:p>
    <w:p w:rsidR="00524B9F" w:rsidP="00EA1CE4" w:rsidRDefault="00524B9F" w14:paraId="676EA3E9" w14:textId="77777777"/>
    <w:p w:rsidR="00524B9F" w:rsidP="001E1CAA" w:rsidRDefault="00524B9F" w14:paraId="18F979D8" w14:textId="43878444">
      <w:pPr>
        <w:ind w:firstLine="284"/>
      </w:pPr>
      <w:r>
        <w:t>Artikel I, onderdeel D, vervalt.</w:t>
      </w:r>
    </w:p>
    <w:p w:rsidR="00524B9F" w:rsidP="00EA1CE4" w:rsidRDefault="00524B9F" w14:paraId="28653705" w14:textId="77777777"/>
    <w:p w:rsidRPr="00EA69AC" w:rsidR="004330ED" w:rsidP="00EA1CE4" w:rsidRDefault="004330ED" w14:paraId="77DF5FF3" w14:textId="5FFEE92F">
      <w:r w:rsidRPr="00EA69AC">
        <w:t>I</w:t>
      </w:r>
      <w:r w:rsidR="00396352">
        <w:t>II</w:t>
      </w:r>
    </w:p>
    <w:p w:rsidR="00EA1CE4" w:rsidP="00EA1CE4" w:rsidRDefault="00EA1CE4" w14:paraId="1B4193D5" w14:textId="77777777"/>
    <w:p w:rsidR="00C90E88" w:rsidP="001E1CAA" w:rsidRDefault="00C90E88" w14:paraId="799FCE80" w14:textId="46475C33">
      <w:pPr>
        <w:ind w:firstLine="284"/>
      </w:pPr>
      <w:r>
        <w:t>Artikel I, onderdeel I, vervalt.</w:t>
      </w:r>
    </w:p>
    <w:p w:rsidR="00C90E88" w:rsidP="00EA1CE4" w:rsidRDefault="00C90E88" w14:paraId="7E9579E9" w14:textId="77777777"/>
    <w:p w:rsidRPr="004F5B8D" w:rsidR="004F5B8D" w:rsidP="004F5B8D" w:rsidRDefault="00396352" w14:paraId="4AD4C256" w14:textId="51449A3F">
      <w:r>
        <w:t>I</w:t>
      </w:r>
      <w:r w:rsidR="004973F3">
        <w:t>V</w:t>
      </w:r>
    </w:p>
    <w:p w:rsidRPr="004F5B8D" w:rsidR="004F5B8D" w:rsidP="004F5B8D" w:rsidRDefault="004F5B8D" w14:paraId="5F304697" w14:textId="77777777"/>
    <w:p w:rsidR="004F5B8D" w:rsidP="001E1CAA" w:rsidRDefault="004F5B8D" w14:paraId="35687915" w14:textId="5088E29A">
      <w:pPr>
        <w:ind w:firstLine="284"/>
      </w:pPr>
      <w:r w:rsidRPr="004F5B8D">
        <w:t>Artikel II</w:t>
      </w:r>
      <w:r w:rsidR="00744968">
        <w:t>, onderdeel B, vervalt</w:t>
      </w:r>
      <w:r w:rsidR="003377C7">
        <w:t>.</w:t>
      </w:r>
    </w:p>
    <w:p w:rsidR="002E227C" w:rsidP="003377C7" w:rsidRDefault="002E227C" w14:paraId="0032111E" w14:textId="77777777"/>
    <w:p w:rsidR="00C04CA6" w:rsidP="002E227C" w:rsidRDefault="00C04CA6" w14:paraId="1F4A8DB5" w14:textId="1A5CA009">
      <w:r>
        <w:t>V</w:t>
      </w:r>
    </w:p>
    <w:p w:rsidR="00C04CA6" w:rsidP="002E227C" w:rsidRDefault="00C04CA6" w14:paraId="0C794B99" w14:textId="77777777"/>
    <w:p w:rsidRPr="002E227C" w:rsidR="002E227C" w:rsidP="001E1CAA" w:rsidRDefault="002E227C" w14:paraId="2F2C2A25" w14:textId="73BE5EBA">
      <w:pPr>
        <w:ind w:firstLine="284"/>
      </w:pPr>
      <w:r w:rsidRPr="002E227C">
        <w:t xml:space="preserve">Na artikel </w:t>
      </w:r>
      <w:r w:rsidR="007947DA">
        <w:t>XXX</w:t>
      </w:r>
      <w:r w:rsidR="00410DE2">
        <w:t>VIII</w:t>
      </w:r>
      <w:r w:rsidRPr="002E227C">
        <w:t xml:space="preserve"> word</w:t>
      </w:r>
      <w:r w:rsidR="007947DA">
        <w:t>t</w:t>
      </w:r>
      <w:r w:rsidRPr="002E227C">
        <w:t xml:space="preserve"> </w:t>
      </w:r>
      <w:r w:rsidR="007947DA">
        <w:t>een</w:t>
      </w:r>
      <w:r w:rsidRPr="002E227C">
        <w:t xml:space="preserve"> artikel ingevoegd, luidende: </w:t>
      </w:r>
    </w:p>
    <w:p w:rsidRPr="002E227C" w:rsidR="002E227C" w:rsidP="002E227C" w:rsidRDefault="002E227C" w14:paraId="4C59955F" w14:textId="77777777"/>
    <w:p w:rsidRPr="001E1CAA" w:rsidR="002E227C" w:rsidP="002E227C" w:rsidRDefault="002E227C" w14:paraId="23C445BD" w14:textId="1D4E9B05">
      <w:pPr>
        <w:rPr>
          <w:b/>
          <w:bCs/>
        </w:rPr>
      </w:pPr>
      <w:r w:rsidRPr="001E1CAA">
        <w:rPr>
          <w:b/>
          <w:bCs/>
        </w:rPr>
        <w:t xml:space="preserve">Artikel </w:t>
      </w:r>
      <w:r w:rsidRPr="001E1CAA" w:rsidR="007947DA">
        <w:rPr>
          <w:b/>
          <w:bCs/>
        </w:rPr>
        <w:t>XXXV</w:t>
      </w:r>
      <w:r w:rsidRPr="001E1CAA" w:rsidR="00410DE2">
        <w:rPr>
          <w:b/>
          <w:bCs/>
        </w:rPr>
        <w:t>III</w:t>
      </w:r>
      <w:r w:rsidRPr="001E1CAA" w:rsidR="00930564">
        <w:rPr>
          <w:b/>
          <w:bCs/>
        </w:rPr>
        <w:t>BIS</w:t>
      </w:r>
    </w:p>
    <w:p w:rsidRPr="00890162" w:rsidR="007947DA" w:rsidP="002E227C" w:rsidRDefault="007947DA" w14:paraId="788B167E" w14:textId="77777777"/>
    <w:p w:rsidRPr="00410DE2" w:rsidR="00410DE2" w:rsidP="001E1CAA" w:rsidRDefault="00410DE2" w14:paraId="7BC1A10A" w14:textId="6727737E">
      <w:pPr>
        <w:ind w:firstLine="284"/>
      </w:pPr>
      <w:r w:rsidRPr="00410DE2">
        <w:t xml:space="preserve">In de Wet van 20 december 2017 tot wijziging van de Wet inkomstenbelasting 2001 tot het geleidelijk </w:t>
      </w:r>
      <w:proofErr w:type="spellStart"/>
      <w:r w:rsidRPr="00410DE2">
        <w:t>uitfaseren</w:t>
      </w:r>
      <w:proofErr w:type="spellEnd"/>
      <w:r w:rsidRPr="00410DE2">
        <w:t xml:space="preserve"> van de aftrek wegens geen of geringe eigenwoningschuld (Stb. 2017, 523) wordt in artikel III, aanhef, </w:t>
      </w:r>
      <w:r w:rsidRPr="00890162">
        <w:t>“</w:t>
      </w:r>
      <w:r w:rsidRPr="00410DE2">
        <w:t>2048</w:t>
      </w:r>
      <w:r w:rsidRPr="00890162">
        <w:t>”</w:t>
      </w:r>
      <w:r>
        <w:t xml:space="preserve"> </w:t>
      </w:r>
      <w:r w:rsidRPr="00410DE2">
        <w:t xml:space="preserve">vervangen door </w:t>
      </w:r>
      <w:r w:rsidRPr="00890162">
        <w:t>“</w:t>
      </w:r>
      <w:r w:rsidRPr="00410DE2">
        <w:t>20</w:t>
      </w:r>
      <w:r w:rsidR="00CE7F3C">
        <w:t>4</w:t>
      </w:r>
      <w:r w:rsidR="005E4E0A">
        <w:t>1</w:t>
      </w:r>
      <w:r w:rsidRPr="00890162">
        <w:t>”</w:t>
      </w:r>
      <w:r w:rsidRPr="00410DE2">
        <w:t>.</w:t>
      </w:r>
    </w:p>
    <w:p w:rsidR="00073CEE" w:rsidP="003377C7" w:rsidRDefault="00073CEE" w14:paraId="112FEDB2" w14:textId="77777777"/>
    <w:p w:rsidR="00073CEE" w:rsidP="003377C7" w:rsidRDefault="00073CEE" w14:paraId="07AF83EC" w14:textId="159A5AAB">
      <w:r>
        <w:t>V</w:t>
      </w:r>
      <w:r w:rsidR="00C04CA6">
        <w:t>I</w:t>
      </w:r>
    </w:p>
    <w:p w:rsidR="00073CEE" w:rsidP="003377C7" w:rsidRDefault="00073CEE" w14:paraId="2030CB4F" w14:textId="77777777"/>
    <w:p w:rsidRPr="00073CEE" w:rsidR="00073CEE" w:rsidP="001E1CAA" w:rsidRDefault="00073CEE" w14:paraId="58D05335" w14:textId="2BA0FCBC">
      <w:pPr>
        <w:ind w:firstLine="284"/>
      </w:pPr>
      <w:r w:rsidRPr="00073CEE">
        <w:t>In artikel XXXVIIIA, onderdeel A</w:t>
      </w:r>
      <w:r>
        <w:t>, wordt “4.17a, achtste lid, onderdeel c” vervangen door “4.17a, achtste lid, onderdeel c, 5.5”</w:t>
      </w:r>
      <w:r w:rsidR="001C344A">
        <w:t>.</w:t>
      </w:r>
    </w:p>
    <w:p w:rsidRPr="00073CEE" w:rsidR="00524B9F" w:rsidP="003377C7" w:rsidRDefault="00524B9F" w14:paraId="3F3FF345" w14:textId="77777777"/>
    <w:p w:rsidRPr="00A27808" w:rsidR="004973F3" w:rsidP="003377C7" w:rsidRDefault="004973F3" w14:paraId="01F38CD1" w14:textId="150F1F2E">
      <w:r w:rsidRPr="00A27808">
        <w:t>V</w:t>
      </w:r>
      <w:r w:rsidRPr="00A27808" w:rsidR="00073CEE">
        <w:t>I</w:t>
      </w:r>
      <w:r w:rsidR="00C04CA6">
        <w:t>I</w:t>
      </w:r>
    </w:p>
    <w:p w:rsidRPr="00A27808" w:rsidR="004973F3" w:rsidP="003377C7" w:rsidRDefault="004973F3" w14:paraId="315D659F" w14:textId="77777777"/>
    <w:p w:rsidR="004973F3" w:rsidP="001E1CAA" w:rsidRDefault="004973F3" w14:paraId="78DC3931" w14:textId="61D82EF8">
      <w:pPr>
        <w:ind w:firstLine="284"/>
      </w:pPr>
      <w:r>
        <w:t xml:space="preserve">In artikel XLI, </w:t>
      </w:r>
      <w:r w:rsidR="005E1A6F">
        <w:t>derde lid</w:t>
      </w:r>
      <w:r>
        <w:t>, wordt “</w:t>
      </w:r>
      <w:r w:rsidRPr="00073CEE" w:rsidR="00073CEE">
        <w:t>artikelen 4.17a, achtste lid, onderdeel c</w:t>
      </w:r>
      <w:r>
        <w:t>” vervangen door “</w:t>
      </w:r>
      <w:r w:rsidRPr="00073CEE" w:rsidR="00073CEE">
        <w:t>artikelen 4.17a, achtste lid, onderdeel c</w:t>
      </w:r>
      <w:r w:rsidR="00073CEE">
        <w:t>, 5.5</w:t>
      </w:r>
      <w:r w:rsidR="004A07EA">
        <w:t>”</w:t>
      </w:r>
      <w:r>
        <w:t>.</w:t>
      </w:r>
    </w:p>
    <w:p w:rsidR="004973F3" w:rsidP="003377C7" w:rsidRDefault="004973F3" w14:paraId="31372368" w14:textId="77777777"/>
    <w:p w:rsidR="00524B9F" w:rsidP="003377C7" w:rsidRDefault="00396352" w14:paraId="10BA8C8F" w14:textId="0F23BB64">
      <w:r>
        <w:t>VIII</w:t>
      </w:r>
    </w:p>
    <w:p w:rsidR="00524B9F" w:rsidP="003377C7" w:rsidRDefault="00524B9F" w14:paraId="1EB2399B" w14:textId="77777777"/>
    <w:p w:rsidR="00524B9F" w:rsidP="001E1CAA" w:rsidRDefault="00524B9F" w14:paraId="064392D4" w14:textId="194B29B9">
      <w:pPr>
        <w:ind w:firstLine="284"/>
      </w:pPr>
      <w:r w:rsidRPr="00524B9F">
        <w:t>Artikel XLIV</w:t>
      </w:r>
      <w:r>
        <w:t xml:space="preserve"> vervalt.</w:t>
      </w:r>
    </w:p>
    <w:p w:rsidR="00C90E88" w:rsidP="00EA1CE4" w:rsidRDefault="00C90E88" w14:paraId="7903A6C9" w14:textId="77777777"/>
    <w:p w:rsidRPr="00EA69AC" w:rsidR="003C21AC" w:rsidP="00EA1CE4" w:rsidRDefault="003C21AC" w14:paraId="3DD119C9" w14:textId="77777777">
      <w:pPr>
        <w:rPr>
          <w:b/>
        </w:rPr>
      </w:pPr>
      <w:r w:rsidRPr="00EA69AC">
        <w:rPr>
          <w:b/>
        </w:rPr>
        <w:t>Toelichting</w:t>
      </w:r>
    </w:p>
    <w:p w:rsidR="001E1CAA" w:rsidP="000C48F4" w:rsidRDefault="001E1CAA" w14:paraId="69212D4C" w14:textId="77777777"/>
    <w:p w:rsidR="000C48F4" w:rsidP="001E1CAA" w:rsidRDefault="000C48F4" w14:paraId="75AD09EC" w14:textId="7CF8A00E">
      <w:r>
        <w:t xml:space="preserve">Dit amendement regelt dat de door het kabinet voorgestelde verhoging van het forfait voor overige bezittingen in box 3 met 1,78%, en de verlaging van het </w:t>
      </w:r>
      <w:proofErr w:type="spellStart"/>
      <w:r>
        <w:t>heffingvrije</w:t>
      </w:r>
      <w:proofErr w:type="spellEnd"/>
      <w:r>
        <w:t xml:space="preserve"> vermogen in box 3 niet doorgaat. Indiener</w:t>
      </w:r>
      <w:r w:rsidR="005377D3">
        <w:t>s</w:t>
      </w:r>
      <w:r>
        <w:t xml:space="preserve"> </w:t>
      </w:r>
      <w:r w:rsidR="005377D3">
        <w:t>zijn</w:t>
      </w:r>
      <w:r>
        <w:t xml:space="preserve"> van mening dat deze voorgestelde lastenverhogingen tot onrechtvaardige en anderszins onwenselijke uitkomsten leidt, met name op de woningmarkt door de drastische afname (uitponden) van private huurwoningen.</w:t>
      </w:r>
    </w:p>
    <w:p w:rsidR="000C48F4" w:rsidP="000C48F4" w:rsidRDefault="000C48F4" w14:paraId="0A6297DA" w14:textId="77777777"/>
    <w:p w:rsidR="000C48F4" w:rsidP="000C48F4" w:rsidRDefault="000C48F4" w14:paraId="03683614" w14:textId="208F7862">
      <w:r>
        <w:t xml:space="preserve">De alternatieve dekking wordt gevonden in het licht versnellen van de afbouw van de Wet Hillen, zodat deze niet in 2048 maar in 2041 </w:t>
      </w:r>
      <w:proofErr w:type="spellStart"/>
      <w:r>
        <w:t>uitgefaseerd</w:t>
      </w:r>
      <w:proofErr w:type="spellEnd"/>
      <w:r>
        <w:t xml:space="preserve"> is. Dat betekent dat het huidige afbouwpercentage van 3,33% per jaar wordt verhoogd met 1,47%-punt, zodat deze 4,8% bedraagt.</w:t>
      </w:r>
    </w:p>
    <w:p w:rsidR="000C48F4" w:rsidP="000C48F4" w:rsidRDefault="000C48F4" w14:paraId="4FEF535D" w14:textId="77777777">
      <w:r>
        <w:t>Bij een woning met een WOZ-waarde van 500.000 euro waarvan de hypotheek in het geheel is afbetaald, betekent dit in 2026 dat de korting op het eigenwoningforfait niet 1283,33 euro maar 1257,67 euro bedraagt (een verschil van ca. 25 euro). Na toepassing van het relevante box 1-tarief leidt dit tot een lastenverhoging van ongeveer 10 euro per jaar in 2026.</w:t>
      </w:r>
      <w:r>
        <w:rPr>
          <w:rStyle w:val="Voetnootmarkering"/>
        </w:rPr>
        <w:footnoteReference w:id="1"/>
      </w:r>
      <w:r>
        <w:t xml:space="preserve"> Bij huizen met een hogere WOZ-waarde is het effect uiteraard groter (en </w:t>
      </w:r>
      <w:proofErr w:type="spellStart"/>
      <w:r>
        <w:t>vice</w:t>
      </w:r>
      <w:proofErr w:type="spellEnd"/>
      <w:r>
        <w:t xml:space="preserve"> versa); en bij niet-geheel afgeloste hypotheken is het effect kleiner.</w:t>
      </w:r>
    </w:p>
    <w:p w:rsidR="000C48F4" w:rsidP="000C48F4" w:rsidRDefault="000C48F4" w14:paraId="2B5DF62C" w14:textId="77777777"/>
    <w:p w:rsidR="000C48F4" w:rsidP="000C48F4" w:rsidRDefault="000C48F4" w14:paraId="4EB9B23A" w14:textId="246BBA94">
      <w:r>
        <w:t xml:space="preserve">Het terugdraaien van de lastenverzwaringen in box 3 zorgt voor een budgettaire derving van 1.268 miljoen euro in 2026 en 2027. De versnelling in het </w:t>
      </w:r>
      <w:proofErr w:type="spellStart"/>
      <w:r>
        <w:t>afbouwpad</w:t>
      </w:r>
      <w:proofErr w:type="spellEnd"/>
      <w:r>
        <w:t xml:space="preserve"> van de Wet Hillen leidt tot een cumulatieve opbrengst van 2.831 miljoen euro in de periode tot en met 2047. Per saldo voorziet dit amendement dus in een cumulatieve overdekking van 295 miljoen euro. Indiener sluit qua dekkingssystematiek aan bij de accijnskorting van het demissionaire kabinet, waar de rekening van de korting in 2026 pas in 2033 is afbetaald.</w:t>
      </w:r>
    </w:p>
    <w:p w:rsidR="000C48F4" w:rsidP="000C48F4" w:rsidRDefault="000C48F4" w14:paraId="44F73668" w14:textId="77777777"/>
    <w:p w:rsidRPr="001E1CAA" w:rsidR="003C21AC" w:rsidP="00BF623B" w:rsidRDefault="000C48F4" w14:paraId="19D711D5" w14:textId="51A38E57">
      <w:pPr>
        <w:rPr>
          <w:i/>
          <w:iCs/>
        </w:rPr>
      </w:pPr>
      <w:r>
        <w:rPr>
          <w:i/>
          <w:iCs/>
        </w:rPr>
        <w:t>Technische toelichting</w:t>
      </w:r>
    </w:p>
    <w:p w:rsidR="00C90E88" w:rsidP="00EA1CE4" w:rsidRDefault="00C90E88" w14:paraId="2C04EF57" w14:textId="392AAD94">
      <w:r>
        <w:t>Dit amendement zorgt ervoor dat de berekenings</w:t>
      </w:r>
      <w:r w:rsidR="004F5B8D">
        <w:t>wijze</w:t>
      </w:r>
      <w:r>
        <w:t xml:space="preserve"> van het forfait voor overige bezittingen in box 3 </w:t>
      </w:r>
      <w:r w:rsidR="004F5B8D">
        <w:t>niet wordt aangepast</w:t>
      </w:r>
      <w:r w:rsidR="0041171F">
        <w:t xml:space="preserve"> per 1 januari 2026</w:t>
      </w:r>
      <w:r>
        <w:t xml:space="preserve">. Daardoor zal het forfait voor overige bezittingen voor het kalenderjaar 2026 uitkomen op 6% in plaats van op 7,78%. </w:t>
      </w:r>
      <w:r w:rsidR="003377C7">
        <w:t xml:space="preserve">Ook de </w:t>
      </w:r>
      <w:r w:rsidRPr="003377C7" w:rsidR="003377C7">
        <w:t xml:space="preserve">bijbehorende aanpassing van de berekeningswijze van het forfait per 1 januari 2027 </w:t>
      </w:r>
      <w:r w:rsidR="003377C7">
        <w:t>vervalt.</w:t>
      </w:r>
      <w:r w:rsidR="00F04C00">
        <w:t xml:space="preserve"> </w:t>
      </w:r>
      <w:r>
        <w:t xml:space="preserve">Dit zorgt voor een budgettaire derving </w:t>
      </w:r>
      <w:r w:rsidRPr="00C90E88">
        <w:t>van € 1.1</w:t>
      </w:r>
      <w:r w:rsidR="00B840A1">
        <w:t>07</w:t>
      </w:r>
      <w:r w:rsidRPr="00C90E88">
        <w:t xml:space="preserve"> miljoen per jaar voor de jaren 2026 en 2027</w:t>
      </w:r>
      <w:r>
        <w:t>.</w:t>
      </w:r>
    </w:p>
    <w:p w:rsidR="00524B9F" w:rsidP="00EA1CE4" w:rsidRDefault="00524B9F" w14:paraId="6951964E" w14:textId="77777777"/>
    <w:p w:rsidR="00524B9F" w:rsidP="00EA1CE4" w:rsidRDefault="00524B9F" w14:paraId="6A00BA80" w14:textId="1F9B7D92">
      <w:r w:rsidRPr="004973F3">
        <w:t xml:space="preserve">Verder regelt dit amendement dat het </w:t>
      </w:r>
      <w:proofErr w:type="spellStart"/>
      <w:r w:rsidRPr="004973F3">
        <w:t>heffingvrije</w:t>
      </w:r>
      <w:proofErr w:type="spellEnd"/>
      <w:r w:rsidRPr="004973F3">
        <w:t xml:space="preserve"> vermogen in box 3 niet wordt verlaagd met ingang van 1 januari 2026. Ook vervalt de in het wetsvoorstel opgenomen bepaling die regelt dat het</w:t>
      </w:r>
      <w:r w:rsidR="00A27808">
        <w:t xml:space="preserve"> bedrag van het</w:t>
      </w:r>
      <w:r w:rsidRPr="004973F3">
        <w:t xml:space="preserve"> </w:t>
      </w:r>
      <w:proofErr w:type="spellStart"/>
      <w:r w:rsidRPr="004973F3">
        <w:t>heffingvrije</w:t>
      </w:r>
      <w:proofErr w:type="spellEnd"/>
      <w:r w:rsidRPr="004973F3">
        <w:t xml:space="preserve"> vermogen niet zou worden geïndexeerd </w:t>
      </w:r>
      <w:r w:rsidR="00A27808">
        <w:t>op</w:t>
      </w:r>
      <w:r w:rsidRPr="004973F3">
        <w:t xml:space="preserve"> 1 januari 2026. </w:t>
      </w:r>
      <w:r w:rsidR="004973F3">
        <w:t xml:space="preserve">Dit amendement regelt dat het </w:t>
      </w:r>
      <w:proofErr w:type="spellStart"/>
      <w:r w:rsidR="004973F3">
        <w:t>heffingvrije</w:t>
      </w:r>
      <w:proofErr w:type="spellEnd"/>
      <w:r w:rsidR="004973F3">
        <w:t xml:space="preserve"> vermogen </w:t>
      </w:r>
      <w:r w:rsidR="00A27808">
        <w:t>op</w:t>
      </w:r>
      <w:r w:rsidR="004973F3">
        <w:t xml:space="preserve"> 1 januari 2026 volledig wordt geïndexeerd met de tabelcorrectiefactor</w:t>
      </w:r>
      <w:r w:rsidRPr="004973F3">
        <w:t xml:space="preserve">. Het </w:t>
      </w:r>
      <w:proofErr w:type="spellStart"/>
      <w:r w:rsidRPr="004973F3">
        <w:t>heffingvrije</w:t>
      </w:r>
      <w:proofErr w:type="spellEnd"/>
      <w:r w:rsidRPr="004973F3">
        <w:t xml:space="preserve"> vermogen in 2026 komt daardoor uit op €</w:t>
      </w:r>
      <w:r w:rsidR="005E1A6F">
        <w:t> </w:t>
      </w:r>
      <w:r w:rsidRPr="004973F3">
        <w:t>59.357.</w:t>
      </w:r>
      <w:r w:rsidR="00F04C00">
        <w:t xml:space="preserve"> </w:t>
      </w:r>
      <w:r w:rsidRPr="004973F3">
        <w:t>Dit zorgt voor een budgettaire derving van €</w:t>
      </w:r>
      <w:r w:rsidR="005E1A6F">
        <w:t> </w:t>
      </w:r>
      <w:r w:rsidRPr="004973F3" w:rsidR="00B840A1">
        <w:t>161</w:t>
      </w:r>
      <w:r w:rsidRPr="004973F3" w:rsidR="004973F3">
        <w:t xml:space="preserve"> miljoen per jaar voor de jaren 2026 en 2027</w:t>
      </w:r>
      <w:r w:rsidRPr="004973F3">
        <w:t>.</w:t>
      </w:r>
    </w:p>
    <w:p w:rsidR="00AD1842" w:rsidP="00EA1CE4" w:rsidRDefault="00AD1842" w14:paraId="01F2B02D" w14:textId="77777777"/>
    <w:p w:rsidR="00460A6C" w:rsidP="008821A7" w:rsidRDefault="00AD1842" w14:paraId="419FC727" w14:textId="7B917867">
      <w:r>
        <w:t xml:space="preserve">De budgettaire derving wordt gedekt door </w:t>
      </w:r>
      <w:r w:rsidR="00C04CA6">
        <w:t xml:space="preserve">een versnelde afbouw van de aftrek wegens geen of geringe </w:t>
      </w:r>
      <w:r w:rsidR="00C04CA6">
        <w:lastRenderedPageBreak/>
        <w:t>eigenwoningschuld</w:t>
      </w:r>
      <w:r w:rsidR="00BB5424">
        <w:t xml:space="preserve"> (Wet Hillen)</w:t>
      </w:r>
      <w:r w:rsidR="00396352">
        <w:t xml:space="preserve"> </w:t>
      </w:r>
      <w:r w:rsidR="00BE3DDB">
        <w:t>die is opgenomen in</w:t>
      </w:r>
      <w:r w:rsidR="00396352">
        <w:t xml:space="preserve"> artikel 3.123a, </w:t>
      </w:r>
      <w:r w:rsidRPr="00370669" w:rsidR="00396352">
        <w:t>tweede lid van de Wet inkomstenbelasting 2001</w:t>
      </w:r>
      <w:r w:rsidRPr="00370669" w:rsidR="00BE3DDB">
        <w:t xml:space="preserve"> (Wet IB 200</w:t>
      </w:r>
      <w:r w:rsidRPr="00370669" w:rsidR="007340A7">
        <w:t>1)</w:t>
      </w:r>
      <w:r w:rsidRPr="00370669" w:rsidR="00C04CA6">
        <w:t>.</w:t>
      </w:r>
      <w:r w:rsidRPr="00370669" w:rsidR="00396352">
        <w:t xml:space="preserve"> </w:t>
      </w:r>
      <w:r w:rsidRPr="00370669" w:rsidR="00214A44">
        <w:t>Bij het begin van het kalenderjaar wordt het in </w:t>
      </w:r>
      <w:hyperlink w:history="1" w:anchor="Hoofdstuk3_Afdeling3.6a_Artikel3.123a" r:id="rId11">
        <w:r w:rsidRPr="00890162" w:rsidR="00214A44">
          <w:rPr>
            <w:rStyle w:val="Hyperlink"/>
            <w:color w:val="auto"/>
            <w:u w:val="none"/>
          </w:rPr>
          <w:t>artikel 3.123a, tweede lid</w:t>
        </w:r>
      </w:hyperlink>
      <w:r w:rsidRPr="00370669" w:rsidR="00214A44">
        <w:t xml:space="preserve">, </w:t>
      </w:r>
      <w:r w:rsidRPr="00370669" w:rsidR="00BE3DDB">
        <w:t xml:space="preserve">Wet IB 2001 </w:t>
      </w:r>
      <w:r w:rsidRPr="00370669" w:rsidR="00214A44">
        <w:t xml:space="preserve">vermelde percentage </w:t>
      </w:r>
      <w:r w:rsidRPr="00370669" w:rsidR="00BE3DDB">
        <w:t xml:space="preserve">op grond van artikel 10.6bis Wet IB 2001 </w:t>
      </w:r>
      <w:r w:rsidRPr="00370669" w:rsidR="00214A44">
        <w:t>bij ministeriële regeling vervangen door een ander percentage</w:t>
      </w:r>
      <w:r w:rsidRPr="00370669" w:rsidR="00370669">
        <w:t xml:space="preserve">. Met dit amendement wordt het percentage waarmee het te vervangen percentage jaarlijks wordt aangepast </w:t>
      </w:r>
      <w:r w:rsidRPr="00370669" w:rsidR="00214A44">
        <w:t xml:space="preserve">met ingang van 1 januari 2026 </w:t>
      </w:r>
      <w:r w:rsidRPr="00370669" w:rsidR="00370669">
        <w:t>gewijzigd naar</w:t>
      </w:r>
      <w:r w:rsidRPr="00370669" w:rsidR="00214A44">
        <w:t xml:space="preserve"> </w:t>
      </w:r>
      <w:r w:rsidR="00CE7F3C">
        <w:t>4,</w:t>
      </w:r>
      <w:r w:rsidR="005E4E0A">
        <w:t>8</w:t>
      </w:r>
      <w:r w:rsidRPr="00890162" w:rsidR="00CE7F3C">
        <w:t>%-punt</w:t>
      </w:r>
      <w:r w:rsidR="00460A6C">
        <w:t xml:space="preserve">. Met ingang van 1 januari 2041 is de afbouw dan </w:t>
      </w:r>
      <w:r w:rsidR="00526104">
        <w:t xml:space="preserve">volledig </w:t>
      </w:r>
      <w:proofErr w:type="spellStart"/>
      <w:r w:rsidR="00460A6C">
        <w:t>uitgefaseerd</w:t>
      </w:r>
      <w:proofErr w:type="spellEnd"/>
      <w:r w:rsidRPr="00370669" w:rsidR="00214A44">
        <w:t xml:space="preserve">. </w:t>
      </w:r>
    </w:p>
    <w:p w:rsidRPr="00370669" w:rsidR="00921414" w:rsidP="008821A7" w:rsidRDefault="00460A6C" w14:paraId="0B822E6E" w14:textId="0F4D927E">
      <w:r>
        <w:t>Als gevolg van de genoemde afbouw bedraagt d</w:t>
      </w:r>
      <w:r w:rsidRPr="00370669" w:rsidR="00214A44">
        <w:t xml:space="preserve">e aftrek wegens geen of geringe eigenwoningschuld op 1 januari 2026 </w:t>
      </w:r>
      <w:r w:rsidR="00CE7F3C">
        <w:t>7</w:t>
      </w:r>
      <w:r w:rsidR="005E4E0A">
        <w:t>1</w:t>
      </w:r>
      <w:r w:rsidR="00CE7F3C">
        <w:t>,</w:t>
      </w:r>
      <w:r w:rsidR="005E4E0A">
        <w:t>8</w:t>
      </w:r>
      <w:r w:rsidR="00DB6D72">
        <w:t>2</w:t>
      </w:r>
      <w:r w:rsidRPr="00370669" w:rsidR="00214A44">
        <w:t>% van het verschil tussen de voordelen uit eigen woning, bedoeld in </w:t>
      </w:r>
      <w:hyperlink w:history="1" w:anchor="Hoofdstuk3_Afdeling3.6_Artikel3.112" r:id="rId12">
        <w:r w:rsidRPr="00890162" w:rsidR="00214A44">
          <w:rPr>
            <w:rStyle w:val="Hyperlink"/>
            <w:color w:val="auto"/>
            <w:u w:val="none"/>
          </w:rPr>
          <w:t>artikel 3.112</w:t>
        </w:r>
      </w:hyperlink>
      <w:r w:rsidRPr="00370669" w:rsidR="00BE3DDB">
        <w:t xml:space="preserve"> Wet IB 2001</w:t>
      </w:r>
      <w:r w:rsidRPr="00370669" w:rsidR="00214A44">
        <w:t>, en de op deze voordelen drukkende aftrekbare kosten</w:t>
      </w:r>
      <w:r w:rsidR="0041171F">
        <w:t xml:space="preserve"> en </w:t>
      </w:r>
      <w:r w:rsidR="00526104">
        <w:t xml:space="preserve">zou </w:t>
      </w:r>
      <w:r w:rsidR="00BA688F">
        <w:t xml:space="preserve">dit percentage </w:t>
      </w:r>
      <w:r w:rsidR="0041171F">
        <w:t xml:space="preserve">op 1 januari 2041 </w:t>
      </w:r>
      <w:r w:rsidR="00526104">
        <w:t>negatief worden</w:t>
      </w:r>
      <w:r w:rsidRPr="00370669" w:rsidR="0041171F">
        <w:t>.</w:t>
      </w:r>
      <w:r w:rsidR="0041171F">
        <w:t xml:space="preserve"> </w:t>
      </w:r>
      <w:r w:rsidR="00526104">
        <w:t>Daarom</w:t>
      </w:r>
      <w:r w:rsidR="0041171F">
        <w:t xml:space="preserve"> </w:t>
      </w:r>
      <w:r w:rsidR="00526104">
        <w:t>dient</w:t>
      </w:r>
      <w:r w:rsidR="0041171F">
        <w:t xml:space="preserve"> deze regeling met ingang van 1 januari 2041 </w:t>
      </w:r>
      <w:r w:rsidR="00526104">
        <w:t xml:space="preserve">te </w:t>
      </w:r>
      <w:r w:rsidR="0041171F">
        <w:t xml:space="preserve">vervallen in plaats van met ingang van 1 januari 2048, zoals nu nog is opgenomen in artikel III, aanhef, van </w:t>
      </w:r>
      <w:r w:rsidRPr="00410DE2" w:rsidR="0041171F">
        <w:t xml:space="preserve">de Wet van 20 december 2017 tot wijziging van de Wet inkomstenbelasting 2001 tot het geleidelijk </w:t>
      </w:r>
      <w:proofErr w:type="spellStart"/>
      <w:r w:rsidRPr="00410DE2" w:rsidR="0041171F">
        <w:t>uitfaseren</w:t>
      </w:r>
      <w:proofErr w:type="spellEnd"/>
      <w:r w:rsidRPr="00410DE2" w:rsidR="0041171F">
        <w:t xml:space="preserve"> van de aftrek wegens geen of geringe eigenwoningschuld (Stb. 2017, 523)</w:t>
      </w:r>
      <w:r w:rsidR="0041171F">
        <w:t>.</w:t>
      </w:r>
      <w:r w:rsidR="00BB5424">
        <w:t xml:space="preserve"> De budgettaire opbrengst loopt door t/m 2047, omdat er een vergelijking wordt gemaakt tussen het huidig afbouwplan dat tot 2048 loopt en </w:t>
      </w:r>
      <w:r w:rsidR="00724E13">
        <w:t xml:space="preserve">het </w:t>
      </w:r>
      <w:r w:rsidR="00BB5424">
        <w:t xml:space="preserve">afbouwplan dat met dit voorstel tot 2041 zal lopen. </w:t>
      </w:r>
      <w:r w:rsidR="00724E13">
        <w:t xml:space="preserve">Omdat met dit voorstel </w:t>
      </w:r>
      <w:r w:rsidR="00BA688F">
        <w:t>de genoemde aftrek</w:t>
      </w:r>
      <w:r w:rsidR="00724E13">
        <w:t xml:space="preserve"> sneller volledig wordt afgebouwd loopt de budgettaire opbrengst t/m 2048 door. </w:t>
      </w:r>
    </w:p>
    <w:p w:rsidR="00921414" w:rsidP="008821A7" w:rsidRDefault="00921414" w14:paraId="079766D0" w14:textId="77777777"/>
    <w:tbl>
      <w:tblPr>
        <w:tblW w:w="9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699"/>
        <w:gridCol w:w="867"/>
        <w:gridCol w:w="656"/>
        <w:gridCol w:w="620"/>
        <w:gridCol w:w="620"/>
        <w:gridCol w:w="669"/>
        <w:gridCol w:w="656"/>
        <w:gridCol w:w="620"/>
        <w:gridCol w:w="620"/>
        <w:gridCol w:w="632"/>
        <w:gridCol w:w="620"/>
        <w:gridCol w:w="660"/>
        <w:gridCol w:w="680"/>
      </w:tblGrid>
      <w:tr w:rsidRPr="00CE7F3C" w:rsidR="005E4E0A" w:rsidTr="00CE7F3C" w14:paraId="397A546B" w14:textId="77777777">
        <w:trPr>
          <w:trHeight w:val="295"/>
        </w:trPr>
        <w:tc>
          <w:tcPr>
            <w:tcW w:w="1699" w:type="dxa"/>
            <w:vMerge w:val="restart"/>
            <w:noWrap/>
            <w:tcMar>
              <w:top w:w="0" w:type="dxa"/>
              <w:left w:w="70" w:type="dxa"/>
              <w:bottom w:w="0" w:type="dxa"/>
              <w:right w:w="70" w:type="dxa"/>
            </w:tcMar>
            <w:vAlign w:val="bottom"/>
            <w:hideMark/>
          </w:tcPr>
          <w:p w:rsidRPr="00BA53CE" w:rsidR="005E4E0A" w:rsidP="005E4E0A" w:rsidRDefault="005E4E0A" w14:paraId="31D074D6" w14:textId="68A77712">
            <w:pPr>
              <w:rPr>
                <w:b/>
                <w:bCs/>
              </w:rPr>
            </w:pPr>
            <w:r w:rsidRPr="00BA53CE">
              <w:rPr>
                <w:b/>
                <w:bCs/>
              </w:rPr>
              <w:t>Wet Hillen afbouwen t/m 204</w:t>
            </w:r>
            <w:r>
              <w:rPr>
                <w:b/>
                <w:bCs/>
              </w:rPr>
              <w:t>1</w:t>
            </w:r>
            <w:r w:rsidRPr="00BA53CE">
              <w:rPr>
                <w:b/>
                <w:bCs/>
              </w:rPr>
              <w:t xml:space="preserve"> (x miljoen)</w:t>
            </w:r>
          </w:p>
        </w:tc>
        <w:tc>
          <w:tcPr>
            <w:tcW w:w="867" w:type="dxa"/>
            <w:noWrap/>
            <w:tcMar>
              <w:top w:w="0" w:type="dxa"/>
              <w:left w:w="70" w:type="dxa"/>
              <w:bottom w:w="0" w:type="dxa"/>
              <w:right w:w="70" w:type="dxa"/>
            </w:tcMar>
            <w:vAlign w:val="bottom"/>
            <w:hideMark/>
          </w:tcPr>
          <w:p w:rsidRPr="005E4E0A" w:rsidR="005E4E0A" w:rsidP="005E4E0A" w:rsidRDefault="005E4E0A" w14:paraId="251EF19D" w14:textId="130B91C9">
            <w:pPr>
              <w:rPr>
                <w:b/>
                <w:bCs/>
              </w:rPr>
            </w:pPr>
            <w:r w:rsidRPr="005E4E0A">
              <w:rPr>
                <w:rFonts w:ascii="Arial" w:hAnsi="Arial" w:cs="Arial"/>
                <w:b/>
                <w:bCs/>
                <w:sz w:val="20"/>
              </w:rPr>
              <w:t>2026</w:t>
            </w:r>
          </w:p>
        </w:tc>
        <w:tc>
          <w:tcPr>
            <w:tcW w:w="656" w:type="dxa"/>
            <w:noWrap/>
            <w:tcMar>
              <w:top w:w="0" w:type="dxa"/>
              <w:left w:w="70" w:type="dxa"/>
              <w:bottom w:w="0" w:type="dxa"/>
              <w:right w:w="70" w:type="dxa"/>
            </w:tcMar>
            <w:vAlign w:val="bottom"/>
            <w:hideMark/>
          </w:tcPr>
          <w:p w:rsidRPr="005E4E0A" w:rsidR="005E4E0A" w:rsidP="005E4E0A" w:rsidRDefault="005E4E0A" w14:paraId="2F27CC88" w14:textId="039FA9EE">
            <w:pPr>
              <w:rPr>
                <w:b/>
                <w:bCs/>
              </w:rPr>
            </w:pPr>
            <w:r w:rsidRPr="005E4E0A">
              <w:rPr>
                <w:rFonts w:ascii="Arial" w:hAnsi="Arial" w:cs="Arial"/>
                <w:b/>
                <w:bCs/>
                <w:sz w:val="20"/>
              </w:rPr>
              <w:t>2027</w:t>
            </w:r>
          </w:p>
        </w:tc>
        <w:tc>
          <w:tcPr>
            <w:tcW w:w="620" w:type="dxa"/>
            <w:noWrap/>
            <w:tcMar>
              <w:top w:w="0" w:type="dxa"/>
              <w:left w:w="70" w:type="dxa"/>
              <w:bottom w:w="0" w:type="dxa"/>
              <w:right w:w="70" w:type="dxa"/>
            </w:tcMar>
            <w:vAlign w:val="bottom"/>
            <w:hideMark/>
          </w:tcPr>
          <w:p w:rsidRPr="005E4E0A" w:rsidR="005E4E0A" w:rsidP="005E4E0A" w:rsidRDefault="005E4E0A" w14:paraId="24DE5599" w14:textId="7A71AEAE">
            <w:pPr>
              <w:rPr>
                <w:b/>
                <w:bCs/>
              </w:rPr>
            </w:pPr>
            <w:r w:rsidRPr="005E4E0A">
              <w:rPr>
                <w:rFonts w:ascii="Arial" w:hAnsi="Arial" w:cs="Arial"/>
                <w:b/>
                <w:bCs/>
                <w:sz w:val="20"/>
              </w:rPr>
              <w:t>2028</w:t>
            </w:r>
          </w:p>
        </w:tc>
        <w:tc>
          <w:tcPr>
            <w:tcW w:w="620" w:type="dxa"/>
            <w:noWrap/>
            <w:tcMar>
              <w:top w:w="0" w:type="dxa"/>
              <w:left w:w="70" w:type="dxa"/>
              <w:bottom w:w="0" w:type="dxa"/>
              <w:right w:w="70" w:type="dxa"/>
            </w:tcMar>
            <w:vAlign w:val="bottom"/>
            <w:hideMark/>
          </w:tcPr>
          <w:p w:rsidRPr="005E4E0A" w:rsidR="005E4E0A" w:rsidP="005E4E0A" w:rsidRDefault="005E4E0A" w14:paraId="0086A068" w14:textId="292B69FF">
            <w:pPr>
              <w:rPr>
                <w:b/>
                <w:bCs/>
              </w:rPr>
            </w:pPr>
            <w:r w:rsidRPr="005E4E0A">
              <w:rPr>
                <w:rFonts w:ascii="Arial" w:hAnsi="Arial" w:cs="Arial"/>
                <w:b/>
                <w:bCs/>
                <w:sz w:val="20"/>
              </w:rPr>
              <w:t>2029</w:t>
            </w:r>
          </w:p>
        </w:tc>
        <w:tc>
          <w:tcPr>
            <w:tcW w:w="669" w:type="dxa"/>
            <w:noWrap/>
            <w:tcMar>
              <w:top w:w="0" w:type="dxa"/>
              <w:left w:w="70" w:type="dxa"/>
              <w:bottom w:w="0" w:type="dxa"/>
              <w:right w:w="70" w:type="dxa"/>
            </w:tcMar>
            <w:vAlign w:val="bottom"/>
            <w:hideMark/>
          </w:tcPr>
          <w:p w:rsidRPr="005E4E0A" w:rsidR="005E4E0A" w:rsidP="005E4E0A" w:rsidRDefault="005E4E0A" w14:paraId="47C476BE" w14:textId="44C0BC5C">
            <w:pPr>
              <w:rPr>
                <w:b/>
                <w:bCs/>
              </w:rPr>
            </w:pPr>
            <w:r w:rsidRPr="005E4E0A">
              <w:rPr>
                <w:rFonts w:ascii="Arial" w:hAnsi="Arial" w:cs="Arial"/>
                <w:b/>
                <w:bCs/>
                <w:sz w:val="20"/>
              </w:rPr>
              <w:t>2030</w:t>
            </w:r>
          </w:p>
        </w:tc>
        <w:tc>
          <w:tcPr>
            <w:tcW w:w="656" w:type="dxa"/>
            <w:noWrap/>
            <w:tcMar>
              <w:top w:w="0" w:type="dxa"/>
              <w:left w:w="70" w:type="dxa"/>
              <w:bottom w:w="0" w:type="dxa"/>
              <w:right w:w="70" w:type="dxa"/>
            </w:tcMar>
            <w:vAlign w:val="bottom"/>
            <w:hideMark/>
          </w:tcPr>
          <w:p w:rsidRPr="005E4E0A" w:rsidR="005E4E0A" w:rsidP="005E4E0A" w:rsidRDefault="005E4E0A" w14:paraId="570C435F" w14:textId="7060CE21">
            <w:pPr>
              <w:rPr>
                <w:b/>
                <w:bCs/>
              </w:rPr>
            </w:pPr>
            <w:r w:rsidRPr="005E4E0A">
              <w:rPr>
                <w:rFonts w:ascii="Arial" w:hAnsi="Arial" w:cs="Arial"/>
                <w:b/>
                <w:bCs/>
                <w:sz w:val="20"/>
              </w:rPr>
              <w:t>2031</w:t>
            </w:r>
          </w:p>
        </w:tc>
        <w:tc>
          <w:tcPr>
            <w:tcW w:w="620" w:type="dxa"/>
            <w:noWrap/>
            <w:tcMar>
              <w:top w:w="0" w:type="dxa"/>
              <w:left w:w="70" w:type="dxa"/>
              <w:bottom w:w="0" w:type="dxa"/>
              <w:right w:w="70" w:type="dxa"/>
            </w:tcMar>
            <w:vAlign w:val="bottom"/>
            <w:hideMark/>
          </w:tcPr>
          <w:p w:rsidRPr="005E4E0A" w:rsidR="005E4E0A" w:rsidP="005E4E0A" w:rsidRDefault="005E4E0A" w14:paraId="0C816B7B" w14:textId="013AEA84">
            <w:pPr>
              <w:rPr>
                <w:b/>
                <w:bCs/>
              </w:rPr>
            </w:pPr>
            <w:r w:rsidRPr="005E4E0A">
              <w:rPr>
                <w:rFonts w:ascii="Arial" w:hAnsi="Arial" w:cs="Arial"/>
                <w:b/>
                <w:bCs/>
                <w:sz w:val="20"/>
              </w:rPr>
              <w:t>2032</w:t>
            </w:r>
          </w:p>
        </w:tc>
        <w:tc>
          <w:tcPr>
            <w:tcW w:w="620" w:type="dxa"/>
            <w:noWrap/>
            <w:tcMar>
              <w:top w:w="0" w:type="dxa"/>
              <w:left w:w="70" w:type="dxa"/>
              <w:bottom w:w="0" w:type="dxa"/>
              <w:right w:w="70" w:type="dxa"/>
            </w:tcMar>
            <w:vAlign w:val="bottom"/>
            <w:hideMark/>
          </w:tcPr>
          <w:p w:rsidRPr="005E4E0A" w:rsidR="005E4E0A" w:rsidP="005E4E0A" w:rsidRDefault="005E4E0A" w14:paraId="5C050A99" w14:textId="50FC7B7E">
            <w:pPr>
              <w:rPr>
                <w:b/>
                <w:bCs/>
              </w:rPr>
            </w:pPr>
            <w:r w:rsidRPr="005E4E0A">
              <w:rPr>
                <w:rFonts w:ascii="Arial" w:hAnsi="Arial" w:cs="Arial"/>
                <w:b/>
                <w:bCs/>
                <w:sz w:val="20"/>
              </w:rPr>
              <w:t>2033</w:t>
            </w:r>
          </w:p>
        </w:tc>
        <w:tc>
          <w:tcPr>
            <w:tcW w:w="632" w:type="dxa"/>
            <w:noWrap/>
            <w:tcMar>
              <w:top w:w="0" w:type="dxa"/>
              <w:left w:w="70" w:type="dxa"/>
              <w:bottom w:w="0" w:type="dxa"/>
              <w:right w:w="70" w:type="dxa"/>
            </w:tcMar>
            <w:vAlign w:val="bottom"/>
            <w:hideMark/>
          </w:tcPr>
          <w:p w:rsidRPr="005E4E0A" w:rsidR="005E4E0A" w:rsidP="005E4E0A" w:rsidRDefault="005E4E0A" w14:paraId="48748345" w14:textId="6CE9212C">
            <w:pPr>
              <w:rPr>
                <w:b/>
                <w:bCs/>
              </w:rPr>
            </w:pPr>
            <w:r w:rsidRPr="005E4E0A">
              <w:rPr>
                <w:rFonts w:ascii="Arial" w:hAnsi="Arial" w:cs="Arial"/>
                <w:b/>
                <w:bCs/>
                <w:sz w:val="20"/>
              </w:rPr>
              <w:t>2034</w:t>
            </w:r>
          </w:p>
        </w:tc>
        <w:tc>
          <w:tcPr>
            <w:tcW w:w="620" w:type="dxa"/>
            <w:noWrap/>
            <w:tcMar>
              <w:top w:w="0" w:type="dxa"/>
              <w:left w:w="70" w:type="dxa"/>
              <w:bottom w:w="0" w:type="dxa"/>
              <w:right w:w="70" w:type="dxa"/>
            </w:tcMar>
            <w:vAlign w:val="bottom"/>
            <w:hideMark/>
          </w:tcPr>
          <w:p w:rsidRPr="005E4E0A" w:rsidR="005E4E0A" w:rsidP="005E4E0A" w:rsidRDefault="005E4E0A" w14:paraId="38DCD94A" w14:textId="157B5A25">
            <w:pPr>
              <w:rPr>
                <w:b/>
                <w:bCs/>
              </w:rPr>
            </w:pPr>
            <w:r w:rsidRPr="005E4E0A">
              <w:rPr>
                <w:rFonts w:ascii="Arial" w:hAnsi="Arial" w:cs="Arial"/>
                <w:b/>
                <w:bCs/>
                <w:sz w:val="20"/>
              </w:rPr>
              <w:t>2035</w:t>
            </w:r>
          </w:p>
        </w:tc>
        <w:tc>
          <w:tcPr>
            <w:tcW w:w="660" w:type="dxa"/>
            <w:noWrap/>
            <w:tcMar>
              <w:top w:w="0" w:type="dxa"/>
              <w:left w:w="70" w:type="dxa"/>
              <w:bottom w:w="0" w:type="dxa"/>
              <w:right w:w="70" w:type="dxa"/>
            </w:tcMar>
            <w:vAlign w:val="bottom"/>
            <w:hideMark/>
          </w:tcPr>
          <w:p w:rsidRPr="005E4E0A" w:rsidR="005E4E0A" w:rsidP="005E4E0A" w:rsidRDefault="005E4E0A" w14:paraId="0B88C2F4" w14:textId="3D7B0015">
            <w:pPr>
              <w:rPr>
                <w:b/>
                <w:bCs/>
              </w:rPr>
            </w:pPr>
            <w:r w:rsidRPr="005E4E0A">
              <w:rPr>
                <w:rFonts w:ascii="Arial" w:hAnsi="Arial" w:cs="Arial"/>
                <w:b/>
                <w:bCs/>
                <w:sz w:val="20"/>
              </w:rPr>
              <w:t>2036</w:t>
            </w:r>
          </w:p>
        </w:tc>
        <w:tc>
          <w:tcPr>
            <w:tcW w:w="680" w:type="dxa"/>
            <w:noWrap/>
            <w:tcMar>
              <w:top w:w="0" w:type="dxa"/>
              <w:left w:w="70" w:type="dxa"/>
              <w:bottom w:w="0" w:type="dxa"/>
              <w:right w:w="70" w:type="dxa"/>
            </w:tcMar>
            <w:vAlign w:val="bottom"/>
            <w:hideMark/>
          </w:tcPr>
          <w:p w:rsidRPr="005E4E0A" w:rsidR="005E4E0A" w:rsidP="005E4E0A" w:rsidRDefault="005E4E0A" w14:paraId="18ABC0AB" w14:textId="65D3FF52">
            <w:pPr>
              <w:rPr>
                <w:b/>
                <w:bCs/>
              </w:rPr>
            </w:pPr>
            <w:r w:rsidRPr="005E4E0A">
              <w:rPr>
                <w:rFonts w:ascii="Arial" w:hAnsi="Arial" w:cs="Arial"/>
                <w:b/>
                <w:bCs/>
                <w:sz w:val="20"/>
              </w:rPr>
              <w:t>2037</w:t>
            </w:r>
          </w:p>
        </w:tc>
      </w:tr>
      <w:tr w:rsidRPr="00CE7F3C" w:rsidR="005E4E0A" w:rsidTr="00CE7F3C" w14:paraId="418F651D" w14:textId="77777777">
        <w:trPr>
          <w:trHeight w:val="295"/>
        </w:trPr>
        <w:tc>
          <w:tcPr>
            <w:tcW w:w="1699" w:type="dxa"/>
            <w:vMerge/>
            <w:noWrap/>
            <w:tcMar>
              <w:top w:w="0" w:type="dxa"/>
              <w:left w:w="70" w:type="dxa"/>
              <w:bottom w:w="0" w:type="dxa"/>
              <w:right w:w="70" w:type="dxa"/>
            </w:tcMar>
            <w:vAlign w:val="bottom"/>
            <w:hideMark/>
          </w:tcPr>
          <w:p w:rsidRPr="00CE7F3C" w:rsidR="005E4E0A" w:rsidP="005E4E0A" w:rsidRDefault="005E4E0A" w14:paraId="25055C86" w14:textId="19B2592C"/>
        </w:tc>
        <w:tc>
          <w:tcPr>
            <w:tcW w:w="867" w:type="dxa"/>
            <w:noWrap/>
            <w:tcMar>
              <w:top w:w="0" w:type="dxa"/>
              <w:left w:w="70" w:type="dxa"/>
              <w:bottom w:w="0" w:type="dxa"/>
              <w:right w:w="70" w:type="dxa"/>
            </w:tcMar>
            <w:vAlign w:val="bottom"/>
            <w:hideMark/>
          </w:tcPr>
          <w:p w:rsidRPr="005E4E0A" w:rsidR="005E4E0A" w:rsidP="005E4E0A" w:rsidRDefault="005E4E0A" w14:paraId="59BB3760" w14:textId="6B730381">
            <w:r w:rsidRPr="005E4E0A">
              <w:rPr>
                <w:rFonts w:ascii="Arial" w:hAnsi="Arial" w:cs="Arial"/>
                <w:sz w:val="20"/>
              </w:rPr>
              <w:t>13</w:t>
            </w:r>
          </w:p>
        </w:tc>
        <w:tc>
          <w:tcPr>
            <w:tcW w:w="656" w:type="dxa"/>
            <w:noWrap/>
            <w:tcMar>
              <w:top w:w="0" w:type="dxa"/>
              <w:left w:w="70" w:type="dxa"/>
              <w:bottom w:w="0" w:type="dxa"/>
              <w:right w:w="70" w:type="dxa"/>
            </w:tcMar>
            <w:vAlign w:val="bottom"/>
            <w:hideMark/>
          </w:tcPr>
          <w:p w:rsidRPr="005E4E0A" w:rsidR="005E4E0A" w:rsidP="005E4E0A" w:rsidRDefault="005E4E0A" w14:paraId="7E484EA3" w14:textId="43AED3FE">
            <w:r w:rsidRPr="005E4E0A">
              <w:rPr>
                <w:rFonts w:ascii="Arial" w:hAnsi="Arial" w:cs="Arial"/>
                <w:sz w:val="20"/>
              </w:rPr>
              <w:t>29</w:t>
            </w:r>
          </w:p>
        </w:tc>
        <w:tc>
          <w:tcPr>
            <w:tcW w:w="620" w:type="dxa"/>
            <w:noWrap/>
            <w:tcMar>
              <w:top w:w="0" w:type="dxa"/>
              <w:left w:w="70" w:type="dxa"/>
              <w:bottom w:w="0" w:type="dxa"/>
              <w:right w:w="70" w:type="dxa"/>
            </w:tcMar>
            <w:vAlign w:val="bottom"/>
            <w:hideMark/>
          </w:tcPr>
          <w:p w:rsidRPr="005E4E0A" w:rsidR="005E4E0A" w:rsidP="005E4E0A" w:rsidRDefault="005E4E0A" w14:paraId="36FDD194" w14:textId="2E037AF5">
            <w:r w:rsidRPr="005E4E0A">
              <w:rPr>
                <w:rFonts w:ascii="Arial" w:hAnsi="Arial" w:cs="Arial"/>
                <w:sz w:val="20"/>
              </w:rPr>
              <w:t>44</w:t>
            </w:r>
          </w:p>
        </w:tc>
        <w:tc>
          <w:tcPr>
            <w:tcW w:w="620" w:type="dxa"/>
            <w:noWrap/>
            <w:tcMar>
              <w:top w:w="0" w:type="dxa"/>
              <w:left w:w="70" w:type="dxa"/>
              <w:bottom w:w="0" w:type="dxa"/>
              <w:right w:w="70" w:type="dxa"/>
            </w:tcMar>
            <w:vAlign w:val="bottom"/>
            <w:hideMark/>
          </w:tcPr>
          <w:p w:rsidRPr="005E4E0A" w:rsidR="005E4E0A" w:rsidP="005E4E0A" w:rsidRDefault="005E4E0A" w14:paraId="425DF91A" w14:textId="0FF3A34A">
            <w:r w:rsidRPr="005E4E0A">
              <w:rPr>
                <w:rFonts w:ascii="Arial" w:hAnsi="Arial" w:cs="Arial"/>
                <w:sz w:val="20"/>
              </w:rPr>
              <w:t>60</w:t>
            </w:r>
          </w:p>
        </w:tc>
        <w:tc>
          <w:tcPr>
            <w:tcW w:w="669" w:type="dxa"/>
            <w:noWrap/>
            <w:tcMar>
              <w:top w:w="0" w:type="dxa"/>
              <w:left w:w="70" w:type="dxa"/>
              <w:bottom w:w="0" w:type="dxa"/>
              <w:right w:w="70" w:type="dxa"/>
            </w:tcMar>
            <w:vAlign w:val="bottom"/>
            <w:hideMark/>
          </w:tcPr>
          <w:p w:rsidRPr="005E4E0A" w:rsidR="005E4E0A" w:rsidP="005E4E0A" w:rsidRDefault="005E4E0A" w14:paraId="2A2A2839" w14:textId="7F0F0490">
            <w:r w:rsidRPr="005E4E0A">
              <w:rPr>
                <w:rFonts w:ascii="Arial" w:hAnsi="Arial" w:cs="Arial"/>
                <w:sz w:val="20"/>
              </w:rPr>
              <w:t>76</w:t>
            </w:r>
          </w:p>
        </w:tc>
        <w:tc>
          <w:tcPr>
            <w:tcW w:w="656" w:type="dxa"/>
            <w:noWrap/>
            <w:tcMar>
              <w:top w:w="0" w:type="dxa"/>
              <w:left w:w="70" w:type="dxa"/>
              <w:bottom w:w="0" w:type="dxa"/>
              <w:right w:w="70" w:type="dxa"/>
            </w:tcMar>
            <w:vAlign w:val="bottom"/>
            <w:hideMark/>
          </w:tcPr>
          <w:p w:rsidRPr="005E4E0A" w:rsidR="005E4E0A" w:rsidP="005E4E0A" w:rsidRDefault="005E4E0A" w14:paraId="2E55DB04" w14:textId="6C107103">
            <w:r w:rsidRPr="005E4E0A">
              <w:rPr>
                <w:rFonts w:ascii="Arial" w:hAnsi="Arial" w:cs="Arial"/>
                <w:sz w:val="20"/>
              </w:rPr>
              <w:t>92</w:t>
            </w:r>
          </w:p>
        </w:tc>
        <w:tc>
          <w:tcPr>
            <w:tcW w:w="620" w:type="dxa"/>
            <w:noWrap/>
            <w:tcMar>
              <w:top w:w="0" w:type="dxa"/>
              <w:left w:w="70" w:type="dxa"/>
              <w:bottom w:w="0" w:type="dxa"/>
              <w:right w:w="70" w:type="dxa"/>
            </w:tcMar>
            <w:vAlign w:val="bottom"/>
            <w:hideMark/>
          </w:tcPr>
          <w:p w:rsidRPr="005E4E0A" w:rsidR="005E4E0A" w:rsidP="005E4E0A" w:rsidRDefault="005E4E0A" w14:paraId="2EBFE6CB" w14:textId="38151DFF">
            <w:r w:rsidRPr="005E4E0A">
              <w:rPr>
                <w:rFonts w:ascii="Arial" w:hAnsi="Arial" w:cs="Arial"/>
                <w:sz w:val="20"/>
              </w:rPr>
              <w:t>108</w:t>
            </w:r>
          </w:p>
        </w:tc>
        <w:tc>
          <w:tcPr>
            <w:tcW w:w="620" w:type="dxa"/>
            <w:noWrap/>
            <w:tcMar>
              <w:top w:w="0" w:type="dxa"/>
              <w:left w:w="70" w:type="dxa"/>
              <w:bottom w:w="0" w:type="dxa"/>
              <w:right w:w="70" w:type="dxa"/>
            </w:tcMar>
            <w:vAlign w:val="bottom"/>
            <w:hideMark/>
          </w:tcPr>
          <w:p w:rsidRPr="005E4E0A" w:rsidR="005E4E0A" w:rsidP="005E4E0A" w:rsidRDefault="005E4E0A" w14:paraId="1305D862" w14:textId="50E9676F">
            <w:r w:rsidRPr="005E4E0A">
              <w:rPr>
                <w:rFonts w:ascii="Arial" w:hAnsi="Arial" w:cs="Arial"/>
                <w:sz w:val="20"/>
              </w:rPr>
              <w:t>123</w:t>
            </w:r>
          </w:p>
        </w:tc>
        <w:tc>
          <w:tcPr>
            <w:tcW w:w="632" w:type="dxa"/>
            <w:noWrap/>
            <w:tcMar>
              <w:top w:w="0" w:type="dxa"/>
              <w:left w:w="70" w:type="dxa"/>
              <w:bottom w:w="0" w:type="dxa"/>
              <w:right w:w="70" w:type="dxa"/>
            </w:tcMar>
            <w:vAlign w:val="bottom"/>
            <w:hideMark/>
          </w:tcPr>
          <w:p w:rsidRPr="005E4E0A" w:rsidR="005E4E0A" w:rsidP="005E4E0A" w:rsidRDefault="005E4E0A" w14:paraId="624AEAE3" w14:textId="082A54AA">
            <w:r w:rsidRPr="005E4E0A">
              <w:rPr>
                <w:rFonts w:ascii="Arial" w:hAnsi="Arial" w:cs="Arial"/>
                <w:sz w:val="20"/>
              </w:rPr>
              <w:t>139</w:t>
            </w:r>
          </w:p>
        </w:tc>
        <w:tc>
          <w:tcPr>
            <w:tcW w:w="620" w:type="dxa"/>
            <w:noWrap/>
            <w:tcMar>
              <w:top w:w="0" w:type="dxa"/>
              <w:left w:w="70" w:type="dxa"/>
              <w:bottom w:w="0" w:type="dxa"/>
              <w:right w:w="70" w:type="dxa"/>
            </w:tcMar>
            <w:vAlign w:val="bottom"/>
            <w:hideMark/>
          </w:tcPr>
          <w:p w:rsidRPr="005E4E0A" w:rsidR="005E4E0A" w:rsidP="005E4E0A" w:rsidRDefault="005E4E0A" w14:paraId="6F21E4A6" w14:textId="77C83DA1">
            <w:r w:rsidRPr="005E4E0A">
              <w:rPr>
                <w:rFonts w:ascii="Arial" w:hAnsi="Arial" w:cs="Arial"/>
                <w:sz w:val="20"/>
              </w:rPr>
              <w:t>155</w:t>
            </w:r>
          </w:p>
        </w:tc>
        <w:tc>
          <w:tcPr>
            <w:tcW w:w="660" w:type="dxa"/>
            <w:noWrap/>
            <w:tcMar>
              <w:top w:w="0" w:type="dxa"/>
              <w:left w:w="70" w:type="dxa"/>
              <w:bottom w:w="0" w:type="dxa"/>
              <w:right w:w="70" w:type="dxa"/>
            </w:tcMar>
            <w:vAlign w:val="bottom"/>
            <w:hideMark/>
          </w:tcPr>
          <w:p w:rsidRPr="005E4E0A" w:rsidR="005E4E0A" w:rsidP="005E4E0A" w:rsidRDefault="005E4E0A" w14:paraId="024D9A83" w14:textId="5E62BFF2">
            <w:r w:rsidRPr="005E4E0A">
              <w:rPr>
                <w:rFonts w:ascii="Arial" w:hAnsi="Arial" w:cs="Arial"/>
                <w:sz w:val="20"/>
              </w:rPr>
              <w:t>171</w:t>
            </w:r>
          </w:p>
        </w:tc>
        <w:tc>
          <w:tcPr>
            <w:tcW w:w="680" w:type="dxa"/>
            <w:noWrap/>
            <w:tcMar>
              <w:top w:w="0" w:type="dxa"/>
              <w:left w:w="70" w:type="dxa"/>
              <w:bottom w:w="0" w:type="dxa"/>
              <w:right w:w="70" w:type="dxa"/>
            </w:tcMar>
            <w:vAlign w:val="bottom"/>
            <w:hideMark/>
          </w:tcPr>
          <w:p w:rsidRPr="005E4E0A" w:rsidR="005E4E0A" w:rsidP="005E4E0A" w:rsidRDefault="005E4E0A" w14:paraId="762D3DC6" w14:textId="4C7DBF65">
            <w:r w:rsidRPr="005E4E0A">
              <w:rPr>
                <w:rFonts w:ascii="Arial" w:hAnsi="Arial" w:cs="Arial"/>
                <w:sz w:val="20"/>
              </w:rPr>
              <w:t>186</w:t>
            </w:r>
          </w:p>
        </w:tc>
      </w:tr>
      <w:tr w:rsidRPr="00CE7F3C" w:rsidR="005E4E0A" w:rsidTr="00CE7F3C" w14:paraId="5D7FB2E7" w14:textId="77777777">
        <w:trPr>
          <w:trHeight w:val="295"/>
        </w:trPr>
        <w:tc>
          <w:tcPr>
            <w:tcW w:w="1699" w:type="dxa"/>
            <w:vMerge/>
            <w:noWrap/>
            <w:tcMar>
              <w:top w:w="0" w:type="dxa"/>
              <w:left w:w="70" w:type="dxa"/>
              <w:bottom w:w="0" w:type="dxa"/>
              <w:right w:w="70" w:type="dxa"/>
            </w:tcMar>
            <w:vAlign w:val="bottom"/>
          </w:tcPr>
          <w:p w:rsidRPr="00CE7F3C" w:rsidR="005E4E0A" w:rsidP="005E4E0A" w:rsidRDefault="005E4E0A" w14:paraId="3C3DF61D" w14:textId="77777777"/>
        </w:tc>
        <w:tc>
          <w:tcPr>
            <w:tcW w:w="867" w:type="dxa"/>
            <w:noWrap/>
            <w:tcMar>
              <w:top w:w="0" w:type="dxa"/>
              <w:left w:w="70" w:type="dxa"/>
              <w:bottom w:w="0" w:type="dxa"/>
              <w:right w:w="70" w:type="dxa"/>
            </w:tcMar>
            <w:vAlign w:val="bottom"/>
          </w:tcPr>
          <w:p w:rsidRPr="00CE7F3C" w:rsidR="005E4E0A" w:rsidP="005E4E0A" w:rsidRDefault="005E4E0A" w14:paraId="301788BC" w14:textId="265E2F32">
            <w:r>
              <w:rPr>
                <w:rFonts w:ascii="Arial" w:hAnsi="Arial" w:cs="Arial"/>
                <w:b/>
                <w:bCs/>
                <w:sz w:val="20"/>
              </w:rPr>
              <w:t>2038</w:t>
            </w:r>
          </w:p>
        </w:tc>
        <w:tc>
          <w:tcPr>
            <w:tcW w:w="656" w:type="dxa"/>
            <w:noWrap/>
            <w:tcMar>
              <w:top w:w="0" w:type="dxa"/>
              <w:left w:w="70" w:type="dxa"/>
              <w:bottom w:w="0" w:type="dxa"/>
              <w:right w:w="70" w:type="dxa"/>
            </w:tcMar>
            <w:vAlign w:val="bottom"/>
          </w:tcPr>
          <w:p w:rsidRPr="00CE7F3C" w:rsidR="005E4E0A" w:rsidP="005E4E0A" w:rsidRDefault="005E4E0A" w14:paraId="11E551BE" w14:textId="2EC27E13">
            <w:r>
              <w:rPr>
                <w:rFonts w:ascii="Arial" w:hAnsi="Arial" w:cs="Arial"/>
                <w:b/>
                <w:bCs/>
                <w:sz w:val="20"/>
              </w:rPr>
              <w:t>2039</w:t>
            </w:r>
          </w:p>
        </w:tc>
        <w:tc>
          <w:tcPr>
            <w:tcW w:w="620" w:type="dxa"/>
            <w:noWrap/>
            <w:tcMar>
              <w:top w:w="0" w:type="dxa"/>
              <w:left w:w="70" w:type="dxa"/>
              <w:bottom w:w="0" w:type="dxa"/>
              <w:right w:w="70" w:type="dxa"/>
            </w:tcMar>
            <w:vAlign w:val="bottom"/>
          </w:tcPr>
          <w:p w:rsidRPr="00CE7F3C" w:rsidR="005E4E0A" w:rsidP="005E4E0A" w:rsidRDefault="005E4E0A" w14:paraId="257D9767" w14:textId="146E3DEA">
            <w:r>
              <w:rPr>
                <w:rFonts w:ascii="Arial" w:hAnsi="Arial" w:cs="Arial"/>
                <w:b/>
                <w:bCs/>
                <w:sz w:val="20"/>
              </w:rPr>
              <w:t>2040</w:t>
            </w:r>
          </w:p>
        </w:tc>
        <w:tc>
          <w:tcPr>
            <w:tcW w:w="620" w:type="dxa"/>
            <w:noWrap/>
            <w:tcMar>
              <w:top w:w="0" w:type="dxa"/>
              <w:left w:w="70" w:type="dxa"/>
              <w:bottom w:w="0" w:type="dxa"/>
              <w:right w:w="70" w:type="dxa"/>
            </w:tcMar>
            <w:vAlign w:val="bottom"/>
          </w:tcPr>
          <w:p w:rsidRPr="00CE7F3C" w:rsidR="005E4E0A" w:rsidP="005E4E0A" w:rsidRDefault="005E4E0A" w14:paraId="5E2618CB" w14:textId="033F7EB0">
            <w:r>
              <w:rPr>
                <w:rFonts w:ascii="Arial" w:hAnsi="Arial" w:cs="Arial"/>
                <w:b/>
                <w:bCs/>
                <w:sz w:val="20"/>
              </w:rPr>
              <w:t>2041</w:t>
            </w:r>
          </w:p>
        </w:tc>
        <w:tc>
          <w:tcPr>
            <w:tcW w:w="669" w:type="dxa"/>
            <w:noWrap/>
            <w:tcMar>
              <w:top w:w="0" w:type="dxa"/>
              <w:left w:w="70" w:type="dxa"/>
              <w:bottom w:w="0" w:type="dxa"/>
              <w:right w:w="70" w:type="dxa"/>
            </w:tcMar>
            <w:vAlign w:val="bottom"/>
          </w:tcPr>
          <w:p w:rsidRPr="00CE7F3C" w:rsidR="005E4E0A" w:rsidP="005E4E0A" w:rsidRDefault="005E4E0A" w14:paraId="7691FD6F" w14:textId="34BE40A6">
            <w:r>
              <w:rPr>
                <w:rFonts w:ascii="Arial" w:hAnsi="Arial" w:cs="Arial"/>
                <w:b/>
                <w:bCs/>
                <w:sz w:val="20"/>
              </w:rPr>
              <w:t>2042</w:t>
            </w:r>
          </w:p>
        </w:tc>
        <w:tc>
          <w:tcPr>
            <w:tcW w:w="656" w:type="dxa"/>
            <w:noWrap/>
            <w:tcMar>
              <w:top w:w="0" w:type="dxa"/>
              <w:left w:w="70" w:type="dxa"/>
              <w:bottom w:w="0" w:type="dxa"/>
              <w:right w:w="70" w:type="dxa"/>
            </w:tcMar>
            <w:vAlign w:val="bottom"/>
          </w:tcPr>
          <w:p w:rsidRPr="00CE7F3C" w:rsidR="005E4E0A" w:rsidP="005E4E0A" w:rsidRDefault="005E4E0A" w14:paraId="59B4756C" w14:textId="2D20705A">
            <w:r>
              <w:rPr>
                <w:rFonts w:ascii="Arial" w:hAnsi="Arial" w:cs="Arial"/>
                <w:b/>
                <w:bCs/>
                <w:sz w:val="20"/>
              </w:rPr>
              <w:t>2043</w:t>
            </w:r>
          </w:p>
        </w:tc>
        <w:tc>
          <w:tcPr>
            <w:tcW w:w="620" w:type="dxa"/>
            <w:noWrap/>
            <w:tcMar>
              <w:top w:w="0" w:type="dxa"/>
              <w:left w:w="70" w:type="dxa"/>
              <w:bottom w:w="0" w:type="dxa"/>
              <w:right w:w="70" w:type="dxa"/>
            </w:tcMar>
            <w:vAlign w:val="bottom"/>
          </w:tcPr>
          <w:p w:rsidRPr="00CE7F3C" w:rsidR="005E4E0A" w:rsidP="005E4E0A" w:rsidRDefault="005E4E0A" w14:paraId="7B0991DD" w14:textId="4B4B9937">
            <w:r>
              <w:rPr>
                <w:rFonts w:ascii="Arial" w:hAnsi="Arial" w:cs="Arial"/>
                <w:b/>
                <w:bCs/>
                <w:sz w:val="20"/>
              </w:rPr>
              <w:t>2044</w:t>
            </w:r>
          </w:p>
        </w:tc>
        <w:tc>
          <w:tcPr>
            <w:tcW w:w="620" w:type="dxa"/>
            <w:noWrap/>
            <w:tcMar>
              <w:top w:w="0" w:type="dxa"/>
              <w:left w:w="70" w:type="dxa"/>
              <w:bottom w:w="0" w:type="dxa"/>
              <w:right w:w="70" w:type="dxa"/>
            </w:tcMar>
            <w:vAlign w:val="bottom"/>
          </w:tcPr>
          <w:p w:rsidRPr="00CE7F3C" w:rsidR="005E4E0A" w:rsidP="005E4E0A" w:rsidRDefault="005E4E0A" w14:paraId="392DBF20" w14:textId="287E86BD">
            <w:r>
              <w:rPr>
                <w:rFonts w:ascii="Arial" w:hAnsi="Arial" w:cs="Arial"/>
                <w:b/>
                <w:bCs/>
                <w:sz w:val="20"/>
              </w:rPr>
              <w:t>2045</w:t>
            </w:r>
          </w:p>
        </w:tc>
        <w:tc>
          <w:tcPr>
            <w:tcW w:w="632" w:type="dxa"/>
            <w:noWrap/>
            <w:tcMar>
              <w:top w:w="0" w:type="dxa"/>
              <w:left w:w="70" w:type="dxa"/>
              <w:bottom w:w="0" w:type="dxa"/>
              <w:right w:w="70" w:type="dxa"/>
            </w:tcMar>
            <w:vAlign w:val="bottom"/>
          </w:tcPr>
          <w:p w:rsidRPr="00CE7F3C" w:rsidR="005E4E0A" w:rsidP="005E4E0A" w:rsidRDefault="005E4E0A" w14:paraId="2B0A0192" w14:textId="41C5CA7C">
            <w:r>
              <w:rPr>
                <w:rFonts w:ascii="Arial" w:hAnsi="Arial" w:cs="Arial"/>
                <w:b/>
                <w:bCs/>
                <w:sz w:val="20"/>
              </w:rPr>
              <w:t>2046</w:t>
            </w:r>
          </w:p>
        </w:tc>
        <w:tc>
          <w:tcPr>
            <w:tcW w:w="620" w:type="dxa"/>
            <w:noWrap/>
            <w:tcMar>
              <w:top w:w="0" w:type="dxa"/>
              <w:left w:w="70" w:type="dxa"/>
              <w:bottom w:w="0" w:type="dxa"/>
              <w:right w:w="70" w:type="dxa"/>
            </w:tcMar>
            <w:vAlign w:val="bottom"/>
          </w:tcPr>
          <w:p w:rsidRPr="00CE7F3C" w:rsidR="005E4E0A" w:rsidP="005E4E0A" w:rsidRDefault="005E4E0A" w14:paraId="39EB1ACD" w14:textId="016999FC">
            <w:r>
              <w:rPr>
                <w:rFonts w:ascii="Arial" w:hAnsi="Arial" w:cs="Arial"/>
                <w:b/>
                <w:bCs/>
                <w:sz w:val="20"/>
              </w:rPr>
              <w:t>2047</w:t>
            </w:r>
          </w:p>
        </w:tc>
        <w:tc>
          <w:tcPr>
            <w:tcW w:w="660" w:type="dxa"/>
            <w:noWrap/>
            <w:tcMar>
              <w:top w:w="0" w:type="dxa"/>
              <w:left w:w="70" w:type="dxa"/>
              <w:bottom w:w="0" w:type="dxa"/>
              <w:right w:w="70" w:type="dxa"/>
            </w:tcMar>
            <w:vAlign w:val="bottom"/>
          </w:tcPr>
          <w:p w:rsidRPr="00CE7F3C" w:rsidR="005E4E0A" w:rsidP="005E4E0A" w:rsidRDefault="005E4E0A" w14:paraId="0B6FFF5F" w14:textId="324A1B19">
            <w:proofErr w:type="spellStart"/>
            <w:r>
              <w:rPr>
                <w:rFonts w:ascii="Arial" w:hAnsi="Arial" w:cs="Arial"/>
                <w:b/>
                <w:bCs/>
                <w:sz w:val="20"/>
              </w:rPr>
              <w:t>struc</w:t>
            </w:r>
            <w:proofErr w:type="spellEnd"/>
          </w:p>
        </w:tc>
        <w:tc>
          <w:tcPr>
            <w:tcW w:w="680" w:type="dxa"/>
            <w:noWrap/>
            <w:tcMar>
              <w:top w:w="0" w:type="dxa"/>
              <w:left w:w="70" w:type="dxa"/>
              <w:bottom w:w="0" w:type="dxa"/>
              <w:right w:w="70" w:type="dxa"/>
            </w:tcMar>
            <w:vAlign w:val="bottom"/>
          </w:tcPr>
          <w:p w:rsidRPr="00CE7F3C" w:rsidR="005E4E0A" w:rsidP="005E4E0A" w:rsidRDefault="005E4E0A" w14:paraId="62A48B45" w14:textId="39E36894">
            <w:r>
              <w:rPr>
                <w:rFonts w:ascii="Arial" w:hAnsi="Arial" w:cs="Arial"/>
                <w:b/>
                <w:bCs/>
                <w:sz w:val="20"/>
              </w:rPr>
              <w:t>cum</w:t>
            </w:r>
          </w:p>
        </w:tc>
      </w:tr>
      <w:tr w:rsidRPr="00CE7F3C" w:rsidR="005E4E0A" w:rsidTr="00CE7F3C" w14:paraId="4BFB1E13" w14:textId="77777777">
        <w:trPr>
          <w:trHeight w:val="295"/>
        </w:trPr>
        <w:tc>
          <w:tcPr>
            <w:tcW w:w="1699" w:type="dxa"/>
            <w:vMerge/>
            <w:noWrap/>
            <w:tcMar>
              <w:top w:w="0" w:type="dxa"/>
              <w:left w:w="70" w:type="dxa"/>
              <w:bottom w:w="0" w:type="dxa"/>
              <w:right w:w="70" w:type="dxa"/>
            </w:tcMar>
            <w:vAlign w:val="bottom"/>
          </w:tcPr>
          <w:p w:rsidRPr="00CE7F3C" w:rsidR="005E4E0A" w:rsidP="005E4E0A" w:rsidRDefault="005E4E0A" w14:paraId="5B0E2AF9" w14:textId="77777777"/>
        </w:tc>
        <w:tc>
          <w:tcPr>
            <w:tcW w:w="867" w:type="dxa"/>
            <w:noWrap/>
            <w:tcMar>
              <w:top w:w="0" w:type="dxa"/>
              <w:left w:w="70" w:type="dxa"/>
              <w:bottom w:w="0" w:type="dxa"/>
              <w:right w:w="70" w:type="dxa"/>
            </w:tcMar>
            <w:vAlign w:val="bottom"/>
          </w:tcPr>
          <w:p w:rsidRPr="00CE7F3C" w:rsidR="005E4E0A" w:rsidP="005E4E0A" w:rsidRDefault="005E4E0A" w14:paraId="49937C08" w14:textId="156DCAD3">
            <w:r>
              <w:rPr>
                <w:rFonts w:ascii="Arial" w:hAnsi="Arial" w:cs="Arial"/>
                <w:sz w:val="20"/>
              </w:rPr>
              <w:t>202</w:t>
            </w:r>
          </w:p>
        </w:tc>
        <w:tc>
          <w:tcPr>
            <w:tcW w:w="656" w:type="dxa"/>
            <w:noWrap/>
            <w:tcMar>
              <w:top w:w="0" w:type="dxa"/>
              <w:left w:w="70" w:type="dxa"/>
              <w:bottom w:w="0" w:type="dxa"/>
              <w:right w:w="70" w:type="dxa"/>
            </w:tcMar>
            <w:vAlign w:val="bottom"/>
          </w:tcPr>
          <w:p w:rsidRPr="00CE7F3C" w:rsidR="005E4E0A" w:rsidP="005E4E0A" w:rsidRDefault="005E4E0A" w14:paraId="3A0A1620" w14:textId="28002CE4">
            <w:r>
              <w:rPr>
                <w:rFonts w:ascii="Arial" w:hAnsi="Arial" w:cs="Arial"/>
                <w:sz w:val="20"/>
              </w:rPr>
              <w:t>218</w:t>
            </w:r>
          </w:p>
        </w:tc>
        <w:tc>
          <w:tcPr>
            <w:tcW w:w="620" w:type="dxa"/>
            <w:noWrap/>
            <w:tcMar>
              <w:top w:w="0" w:type="dxa"/>
              <w:left w:w="70" w:type="dxa"/>
              <w:bottom w:w="0" w:type="dxa"/>
              <w:right w:w="70" w:type="dxa"/>
            </w:tcMar>
            <w:vAlign w:val="bottom"/>
          </w:tcPr>
          <w:p w:rsidRPr="00CE7F3C" w:rsidR="005E4E0A" w:rsidP="005E4E0A" w:rsidRDefault="005E4E0A" w14:paraId="2FFF8D96" w14:textId="51046237">
            <w:r>
              <w:rPr>
                <w:rFonts w:ascii="Arial" w:hAnsi="Arial" w:cs="Arial"/>
                <w:sz w:val="20"/>
              </w:rPr>
              <w:t>234</w:t>
            </w:r>
          </w:p>
        </w:tc>
        <w:tc>
          <w:tcPr>
            <w:tcW w:w="620" w:type="dxa"/>
            <w:noWrap/>
            <w:tcMar>
              <w:top w:w="0" w:type="dxa"/>
              <w:left w:w="70" w:type="dxa"/>
              <w:bottom w:w="0" w:type="dxa"/>
              <w:right w:w="70" w:type="dxa"/>
            </w:tcMar>
            <w:vAlign w:val="bottom"/>
          </w:tcPr>
          <w:p w:rsidRPr="00CE7F3C" w:rsidR="005E4E0A" w:rsidP="005E4E0A" w:rsidRDefault="005E4E0A" w14:paraId="79E783AA" w14:textId="0DAB0D31">
            <w:r>
              <w:rPr>
                <w:rFonts w:ascii="Arial" w:hAnsi="Arial" w:cs="Arial"/>
                <w:sz w:val="20"/>
              </w:rPr>
              <w:t>248</w:t>
            </w:r>
          </w:p>
        </w:tc>
        <w:tc>
          <w:tcPr>
            <w:tcW w:w="669" w:type="dxa"/>
            <w:noWrap/>
            <w:tcMar>
              <w:top w:w="0" w:type="dxa"/>
              <w:left w:w="70" w:type="dxa"/>
              <w:bottom w:w="0" w:type="dxa"/>
              <w:right w:w="70" w:type="dxa"/>
            </w:tcMar>
            <w:vAlign w:val="bottom"/>
          </w:tcPr>
          <w:p w:rsidRPr="00CE7F3C" w:rsidR="005E4E0A" w:rsidP="005E4E0A" w:rsidRDefault="005E4E0A" w14:paraId="41B2F83C" w14:textId="2393F633">
            <w:r>
              <w:rPr>
                <w:rFonts w:ascii="Arial" w:hAnsi="Arial" w:cs="Arial"/>
                <w:sz w:val="20"/>
              </w:rPr>
              <w:t>212</w:t>
            </w:r>
          </w:p>
        </w:tc>
        <w:tc>
          <w:tcPr>
            <w:tcW w:w="656" w:type="dxa"/>
            <w:noWrap/>
            <w:tcMar>
              <w:top w:w="0" w:type="dxa"/>
              <w:left w:w="70" w:type="dxa"/>
              <w:bottom w:w="0" w:type="dxa"/>
              <w:right w:w="70" w:type="dxa"/>
            </w:tcMar>
            <w:vAlign w:val="bottom"/>
          </w:tcPr>
          <w:p w:rsidRPr="00CE7F3C" w:rsidR="005E4E0A" w:rsidP="005E4E0A" w:rsidRDefault="005E4E0A" w14:paraId="09E9E9CC" w14:textId="2C341712">
            <w:r>
              <w:rPr>
                <w:rFonts w:ascii="Arial" w:hAnsi="Arial" w:cs="Arial"/>
                <w:sz w:val="20"/>
              </w:rPr>
              <w:t>176</w:t>
            </w:r>
          </w:p>
        </w:tc>
        <w:tc>
          <w:tcPr>
            <w:tcW w:w="620" w:type="dxa"/>
            <w:noWrap/>
            <w:tcMar>
              <w:top w:w="0" w:type="dxa"/>
              <w:left w:w="70" w:type="dxa"/>
              <w:bottom w:w="0" w:type="dxa"/>
              <w:right w:w="70" w:type="dxa"/>
            </w:tcMar>
            <w:vAlign w:val="bottom"/>
          </w:tcPr>
          <w:p w:rsidRPr="00CE7F3C" w:rsidR="005E4E0A" w:rsidP="005E4E0A" w:rsidRDefault="005E4E0A" w14:paraId="6DBADBF9" w14:textId="108FCFBE">
            <w:r>
              <w:rPr>
                <w:rFonts w:ascii="Arial" w:hAnsi="Arial" w:cs="Arial"/>
                <w:sz w:val="20"/>
              </w:rPr>
              <w:t>140</w:t>
            </w:r>
          </w:p>
        </w:tc>
        <w:tc>
          <w:tcPr>
            <w:tcW w:w="620" w:type="dxa"/>
            <w:noWrap/>
            <w:tcMar>
              <w:top w:w="0" w:type="dxa"/>
              <w:left w:w="70" w:type="dxa"/>
              <w:bottom w:w="0" w:type="dxa"/>
              <w:right w:w="70" w:type="dxa"/>
            </w:tcMar>
            <w:vAlign w:val="bottom"/>
          </w:tcPr>
          <w:p w:rsidRPr="00CE7F3C" w:rsidR="005E4E0A" w:rsidP="005E4E0A" w:rsidRDefault="005E4E0A" w14:paraId="3495C762" w14:textId="3439B916">
            <w:r>
              <w:rPr>
                <w:rFonts w:ascii="Arial" w:hAnsi="Arial" w:cs="Arial"/>
                <w:sz w:val="20"/>
              </w:rPr>
              <w:t>105</w:t>
            </w:r>
          </w:p>
        </w:tc>
        <w:tc>
          <w:tcPr>
            <w:tcW w:w="632" w:type="dxa"/>
            <w:noWrap/>
            <w:tcMar>
              <w:top w:w="0" w:type="dxa"/>
              <w:left w:w="70" w:type="dxa"/>
              <w:bottom w:w="0" w:type="dxa"/>
              <w:right w:w="70" w:type="dxa"/>
            </w:tcMar>
            <w:vAlign w:val="bottom"/>
          </w:tcPr>
          <w:p w:rsidRPr="00CE7F3C" w:rsidR="005E4E0A" w:rsidP="005E4E0A" w:rsidRDefault="005E4E0A" w14:paraId="710ED20A" w14:textId="793088EA">
            <w:r>
              <w:rPr>
                <w:rFonts w:ascii="Arial" w:hAnsi="Arial" w:cs="Arial"/>
                <w:sz w:val="20"/>
              </w:rPr>
              <w:t>69</w:t>
            </w:r>
          </w:p>
        </w:tc>
        <w:tc>
          <w:tcPr>
            <w:tcW w:w="620" w:type="dxa"/>
            <w:noWrap/>
            <w:tcMar>
              <w:top w:w="0" w:type="dxa"/>
              <w:left w:w="70" w:type="dxa"/>
              <w:bottom w:w="0" w:type="dxa"/>
              <w:right w:w="70" w:type="dxa"/>
            </w:tcMar>
            <w:vAlign w:val="bottom"/>
          </w:tcPr>
          <w:p w:rsidRPr="00CE7F3C" w:rsidR="005E4E0A" w:rsidP="005E4E0A" w:rsidRDefault="005E4E0A" w14:paraId="609CC8DC" w14:textId="0E8BC149">
            <w:r>
              <w:rPr>
                <w:rFonts w:ascii="Arial" w:hAnsi="Arial" w:cs="Arial"/>
                <w:sz w:val="20"/>
              </w:rPr>
              <w:t>33</w:t>
            </w:r>
          </w:p>
        </w:tc>
        <w:tc>
          <w:tcPr>
            <w:tcW w:w="660" w:type="dxa"/>
            <w:noWrap/>
            <w:tcMar>
              <w:top w:w="0" w:type="dxa"/>
              <w:left w:w="70" w:type="dxa"/>
              <w:bottom w:w="0" w:type="dxa"/>
              <w:right w:w="70" w:type="dxa"/>
            </w:tcMar>
            <w:vAlign w:val="bottom"/>
          </w:tcPr>
          <w:p w:rsidRPr="00CE7F3C" w:rsidR="005E4E0A" w:rsidP="005E4E0A" w:rsidRDefault="005E4E0A" w14:paraId="79D28A3E" w14:textId="0E329CCD">
            <w:r>
              <w:rPr>
                <w:rFonts w:ascii="Arial" w:hAnsi="Arial" w:cs="Arial"/>
                <w:sz w:val="20"/>
              </w:rPr>
              <w:t>0</w:t>
            </w:r>
          </w:p>
        </w:tc>
        <w:tc>
          <w:tcPr>
            <w:tcW w:w="680" w:type="dxa"/>
            <w:noWrap/>
            <w:tcMar>
              <w:top w:w="0" w:type="dxa"/>
              <w:left w:w="70" w:type="dxa"/>
              <w:bottom w:w="0" w:type="dxa"/>
              <w:right w:w="70" w:type="dxa"/>
            </w:tcMar>
            <w:vAlign w:val="bottom"/>
          </w:tcPr>
          <w:p w:rsidRPr="00CE7F3C" w:rsidR="005E4E0A" w:rsidP="005E4E0A" w:rsidRDefault="005E4E0A" w14:paraId="1D0E6310" w14:textId="55371AA0">
            <w:r>
              <w:rPr>
                <w:rFonts w:ascii="Arial" w:hAnsi="Arial" w:cs="Arial"/>
                <w:sz w:val="20"/>
              </w:rPr>
              <w:t>2</w:t>
            </w:r>
            <w:r>
              <w:rPr>
                <w:rFonts w:ascii="Arial" w:hAnsi="Arial" w:cs="Arial"/>
                <w:color w:val="000000"/>
                <w:sz w:val="20"/>
              </w:rPr>
              <w:t>.</w:t>
            </w:r>
            <w:r>
              <w:rPr>
                <w:rFonts w:ascii="Arial" w:hAnsi="Arial" w:cs="Arial"/>
                <w:sz w:val="20"/>
              </w:rPr>
              <w:t>831</w:t>
            </w:r>
          </w:p>
        </w:tc>
      </w:tr>
    </w:tbl>
    <w:p w:rsidR="00CE7F3C" w:rsidP="008821A7" w:rsidRDefault="00CE7F3C" w14:paraId="73AFD146" w14:textId="77777777"/>
    <w:p w:rsidR="00B4708A" w:rsidP="00EA1CE4" w:rsidRDefault="00BA7AE3" w14:paraId="4554FBCB" w14:textId="7B761B0C">
      <w:r>
        <w:t>Grinwis</w:t>
      </w:r>
    </w:p>
    <w:p w:rsidR="00BA7AE3" w:rsidP="00EA1CE4" w:rsidRDefault="00BA7AE3" w14:paraId="167052EC" w14:textId="047860CD">
      <w:r>
        <w:t>Stoffer</w:t>
      </w:r>
    </w:p>
    <w:p w:rsidRPr="00EA69AC" w:rsidR="00BA7AE3" w:rsidP="00EA1CE4" w:rsidRDefault="00BA7AE3" w14:paraId="0491B4E9" w14:textId="02F06EC5">
      <w:r>
        <w:t>Vermeer</w:t>
      </w:r>
    </w:p>
    <w:sectPr w:rsidRPr="00EA69AC" w:rsidR="00BA7AE3" w:rsidSect="00EA1CE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F9CC" w14:textId="77777777" w:rsidR="003C6085" w:rsidRDefault="003C6085">
      <w:pPr>
        <w:spacing w:line="20" w:lineRule="exact"/>
      </w:pPr>
    </w:p>
  </w:endnote>
  <w:endnote w:type="continuationSeparator" w:id="0">
    <w:p w14:paraId="75CE4C1D" w14:textId="77777777" w:rsidR="003C6085" w:rsidRDefault="003C6085">
      <w:pPr>
        <w:pStyle w:val="Amendement"/>
      </w:pPr>
      <w:r>
        <w:rPr>
          <w:b w:val="0"/>
        </w:rPr>
        <w:t xml:space="preserve"> </w:t>
      </w:r>
    </w:p>
  </w:endnote>
  <w:endnote w:type="continuationNotice" w:id="1">
    <w:p w14:paraId="01404F01" w14:textId="77777777" w:rsidR="003C6085" w:rsidRDefault="003C60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0C4D" w14:textId="77777777" w:rsidR="003C6085" w:rsidRDefault="003C6085">
      <w:pPr>
        <w:pStyle w:val="Amendement"/>
      </w:pPr>
      <w:r>
        <w:rPr>
          <w:b w:val="0"/>
        </w:rPr>
        <w:separator/>
      </w:r>
    </w:p>
  </w:footnote>
  <w:footnote w:type="continuationSeparator" w:id="0">
    <w:p w14:paraId="078F9F68" w14:textId="77777777" w:rsidR="003C6085" w:rsidRDefault="003C6085">
      <w:r>
        <w:continuationSeparator/>
      </w:r>
    </w:p>
  </w:footnote>
  <w:footnote w:id="1">
    <w:p w14:paraId="225462A1" w14:textId="77777777" w:rsidR="000C48F4" w:rsidRDefault="000C48F4" w:rsidP="000C48F4">
      <w:pPr>
        <w:pStyle w:val="Voetnoottekst"/>
      </w:pPr>
      <w:r>
        <w:rPr>
          <w:rStyle w:val="Voetnootmarkering"/>
        </w:rPr>
        <w:footnoteRef/>
      </w:r>
      <w:r>
        <w:t xml:space="preserve"> </w:t>
      </w:r>
      <w:r w:rsidRPr="00FC0E65">
        <w:rPr>
          <w:sz w:val="18"/>
          <w:szCs w:val="13"/>
        </w:rPr>
        <w:t>Bij een marginaal tarief van 35,75% bedraagt de lastenverhoging in 2026 9,18 euro per jaar (76 eurocent per maand); bij een marginaal tarief van 49,5% bedraagt de lastenverhoging in 2026 12,70 euro per jaar (1,06 euro per maand).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3423"/>
    <w:multiLevelType w:val="hybridMultilevel"/>
    <w:tmpl w:val="F42E4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63266A"/>
    <w:multiLevelType w:val="hybridMultilevel"/>
    <w:tmpl w:val="98FC7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0370975">
    <w:abstractNumId w:val="0"/>
  </w:num>
  <w:num w:numId="2" w16cid:durableId="118116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11926"/>
    <w:rsid w:val="0001636C"/>
    <w:rsid w:val="000213F2"/>
    <w:rsid w:val="000573A0"/>
    <w:rsid w:val="00073CEE"/>
    <w:rsid w:val="000C48F4"/>
    <w:rsid w:val="000D17BF"/>
    <w:rsid w:val="000D724F"/>
    <w:rsid w:val="000F55A2"/>
    <w:rsid w:val="00114B5C"/>
    <w:rsid w:val="0015132F"/>
    <w:rsid w:val="00155393"/>
    <w:rsid w:val="00157CAF"/>
    <w:rsid w:val="001612FF"/>
    <w:rsid w:val="001656EE"/>
    <w:rsid w:val="0016653D"/>
    <w:rsid w:val="00166B56"/>
    <w:rsid w:val="00196064"/>
    <w:rsid w:val="001A19C0"/>
    <w:rsid w:val="001C344A"/>
    <w:rsid w:val="001E0E21"/>
    <w:rsid w:val="001E1CAA"/>
    <w:rsid w:val="001E5F3A"/>
    <w:rsid w:val="002026D8"/>
    <w:rsid w:val="00203FA5"/>
    <w:rsid w:val="00207868"/>
    <w:rsid w:val="00214A44"/>
    <w:rsid w:val="002153B0"/>
    <w:rsid w:val="0021777F"/>
    <w:rsid w:val="002245EB"/>
    <w:rsid w:val="002262FF"/>
    <w:rsid w:val="00241DD0"/>
    <w:rsid w:val="00245314"/>
    <w:rsid w:val="002573FF"/>
    <w:rsid w:val="0026395D"/>
    <w:rsid w:val="00266A91"/>
    <w:rsid w:val="002A0713"/>
    <w:rsid w:val="002B1D5E"/>
    <w:rsid w:val="002C3D3A"/>
    <w:rsid w:val="002E227C"/>
    <w:rsid w:val="002F67DB"/>
    <w:rsid w:val="00300E76"/>
    <w:rsid w:val="0030158A"/>
    <w:rsid w:val="00322B1A"/>
    <w:rsid w:val="003377C7"/>
    <w:rsid w:val="003428D3"/>
    <w:rsid w:val="00365FE5"/>
    <w:rsid w:val="00370669"/>
    <w:rsid w:val="00375788"/>
    <w:rsid w:val="003917D8"/>
    <w:rsid w:val="003954DC"/>
    <w:rsid w:val="00396352"/>
    <w:rsid w:val="003C21AC"/>
    <w:rsid w:val="003C5218"/>
    <w:rsid w:val="003C6085"/>
    <w:rsid w:val="003E2F98"/>
    <w:rsid w:val="003F37F3"/>
    <w:rsid w:val="00410DE2"/>
    <w:rsid w:val="0041171F"/>
    <w:rsid w:val="00415F26"/>
    <w:rsid w:val="0042574B"/>
    <w:rsid w:val="004330ED"/>
    <w:rsid w:val="00460A6C"/>
    <w:rsid w:val="00472404"/>
    <w:rsid w:val="00476CE1"/>
    <w:rsid w:val="00481C91"/>
    <w:rsid w:val="0048236F"/>
    <w:rsid w:val="004911E3"/>
    <w:rsid w:val="004973F3"/>
    <w:rsid w:val="00497D57"/>
    <w:rsid w:val="004A07EA"/>
    <w:rsid w:val="004A7DD4"/>
    <w:rsid w:val="004B50D8"/>
    <w:rsid w:val="004B5B90"/>
    <w:rsid w:val="004E58A5"/>
    <w:rsid w:val="004E718E"/>
    <w:rsid w:val="004F5B8D"/>
    <w:rsid w:val="00501109"/>
    <w:rsid w:val="00524B9F"/>
    <w:rsid w:val="00526104"/>
    <w:rsid w:val="005333F0"/>
    <w:rsid w:val="005377D3"/>
    <w:rsid w:val="005703C9"/>
    <w:rsid w:val="00597703"/>
    <w:rsid w:val="005A6097"/>
    <w:rsid w:val="005B1DCC"/>
    <w:rsid w:val="005B345B"/>
    <w:rsid w:val="005B7323"/>
    <w:rsid w:val="005C25B9"/>
    <w:rsid w:val="005E1A6F"/>
    <w:rsid w:val="005E4E0A"/>
    <w:rsid w:val="00611613"/>
    <w:rsid w:val="006267E6"/>
    <w:rsid w:val="00633F94"/>
    <w:rsid w:val="00653DAA"/>
    <w:rsid w:val="006558D2"/>
    <w:rsid w:val="00672830"/>
    <w:rsid w:val="00672D25"/>
    <w:rsid w:val="006738BC"/>
    <w:rsid w:val="00674353"/>
    <w:rsid w:val="00683B61"/>
    <w:rsid w:val="00684EF5"/>
    <w:rsid w:val="0069647F"/>
    <w:rsid w:val="006A72BF"/>
    <w:rsid w:val="006B06CE"/>
    <w:rsid w:val="006D3E69"/>
    <w:rsid w:val="006D7738"/>
    <w:rsid w:val="006E0971"/>
    <w:rsid w:val="006F4C88"/>
    <w:rsid w:val="00700CEF"/>
    <w:rsid w:val="007131F7"/>
    <w:rsid w:val="007216CC"/>
    <w:rsid w:val="00724E13"/>
    <w:rsid w:val="007251AD"/>
    <w:rsid w:val="007340A7"/>
    <w:rsid w:val="00744968"/>
    <w:rsid w:val="007474AF"/>
    <w:rsid w:val="00760922"/>
    <w:rsid w:val="007709F6"/>
    <w:rsid w:val="00782BEC"/>
    <w:rsid w:val="00786649"/>
    <w:rsid w:val="007947DA"/>
    <w:rsid w:val="007965FC"/>
    <w:rsid w:val="007A056C"/>
    <w:rsid w:val="007B4893"/>
    <w:rsid w:val="007C33E7"/>
    <w:rsid w:val="007D2608"/>
    <w:rsid w:val="007E3E68"/>
    <w:rsid w:val="007F2F3D"/>
    <w:rsid w:val="00815750"/>
    <w:rsid w:val="008164E5"/>
    <w:rsid w:val="00827898"/>
    <w:rsid w:val="00830081"/>
    <w:rsid w:val="00832303"/>
    <w:rsid w:val="00832A36"/>
    <w:rsid w:val="008359B8"/>
    <w:rsid w:val="008409F0"/>
    <w:rsid w:val="008413F4"/>
    <w:rsid w:val="00844BF9"/>
    <w:rsid w:val="008467D7"/>
    <w:rsid w:val="00847E12"/>
    <w:rsid w:val="00852541"/>
    <w:rsid w:val="00856A6D"/>
    <w:rsid w:val="00865D47"/>
    <w:rsid w:val="008716A4"/>
    <w:rsid w:val="008766F7"/>
    <w:rsid w:val="008821A7"/>
    <w:rsid w:val="0088452C"/>
    <w:rsid w:val="00890162"/>
    <w:rsid w:val="00895940"/>
    <w:rsid w:val="008962F8"/>
    <w:rsid w:val="008A31B3"/>
    <w:rsid w:val="008C01D2"/>
    <w:rsid w:val="008C3322"/>
    <w:rsid w:val="008D3276"/>
    <w:rsid w:val="008D7DCB"/>
    <w:rsid w:val="009055DB"/>
    <w:rsid w:val="00905ECB"/>
    <w:rsid w:val="00921414"/>
    <w:rsid w:val="00930564"/>
    <w:rsid w:val="009318DB"/>
    <w:rsid w:val="00941C3A"/>
    <w:rsid w:val="0094760E"/>
    <w:rsid w:val="0096165D"/>
    <w:rsid w:val="00976297"/>
    <w:rsid w:val="009A2EAF"/>
    <w:rsid w:val="009A409F"/>
    <w:rsid w:val="009B4A62"/>
    <w:rsid w:val="009B5845"/>
    <w:rsid w:val="009C0C1F"/>
    <w:rsid w:val="009F6BF2"/>
    <w:rsid w:val="00A10505"/>
    <w:rsid w:val="00A1288B"/>
    <w:rsid w:val="00A27808"/>
    <w:rsid w:val="00A53203"/>
    <w:rsid w:val="00A772EB"/>
    <w:rsid w:val="00A9746F"/>
    <w:rsid w:val="00AB47D0"/>
    <w:rsid w:val="00AD1842"/>
    <w:rsid w:val="00AE76B6"/>
    <w:rsid w:val="00B01BA6"/>
    <w:rsid w:val="00B01F58"/>
    <w:rsid w:val="00B12B1F"/>
    <w:rsid w:val="00B4708A"/>
    <w:rsid w:val="00B7008B"/>
    <w:rsid w:val="00B709BF"/>
    <w:rsid w:val="00B8333F"/>
    <w:rsid w:val="00B84083"/>
    <w:rsid w:val="00B840A1"/>
    <w:rsid w:val="00B87F58"/>
    <w:rsid w:val="00B907F8"/>
    <w:rsid w:val="00BA0069"/>
    <w:rsid w:val="00BA53CE"/>
    <w:rsid w:val="00BA65C8"/>
    <w:rsid w:val="00BA688F"/>
    <w:rsid w:val="00BA7902"/>
    <w:rsid w:val="00BA7AE3"/>
    <w:rsid w:val="00BB17F6"/>
    <w:rsid w:val="00BB5424"/>
    <w:rsid w:val="00BE3DDB"/>
    <w:rsid w:val="00BF623B"/>
    <w:rsid w:val="00BF76E5"/>
    <w:rsid w:val="00C035D4"/>
    <w:rsid w:val="00C04CA6"/>
    <w:rsid w:val="00C159CB"/>
    <w:rsid w:val="00C25E2B"/>
    <w:rsid w:val="00C34704"/>
    <w:rsid w:val="00C43837"/>
    <w:rsid w:val="00C5746B"/>
    <w:rsid w:val="00C64858"/>
    <w:rsid w:val="00C679BF"/>
    <w:rsid w:val="00C71D33"/>
    <w:rsid w:val="00C81BBD"/>
    <w:rsid w:val="00C90E88"/>
    <w:rsid w:val="00CB2ED1"/>
    <w:rsid w:val="00CD3132"/>
    <w:rsid w:val="00CE27CD"/>
    <w:rsid w:val="00CE45C5"/>
    <w:rsid w:val="00CE7F3C"/>
    <w:rsid w:val="00D015CB"/>
    <w:rsid w:val="00D07CAC"/>
    <w:rsid w:val="00D07D3F"/>
    <w:rsid w:val="00D11020"/>
    <w:rsid w:val="00D11C1A"/>
    <w:rsid w:val="00D134F3"/>
    <w:rsid w:val="00D4772B"/>
    <w:rsid w:val="00D47D01"/>
    <w:rsid w:val="00D54D3C"/>
    <w:rsid w:val="00D55432"/>
    <w:rsid w:val="00D65BCE"/>
    <w:rsid w:val="00D66E38"/>
    <w:rsid w:val="00D7007F"/>
    <w:rsid w:val="00D74552"/>
    <w:rsid w:val="00D774B3"/>
    <w:rsid w:val="00D776F9"/>
    <w:rsid w:val="00D82BE6"/>
    <w:rsid w:val="00DB29B9"/>
    <w:rsid w:val="00DB6D72"/>
    <w:rsid w:val="00DD02AC"/>
    <w:rsid w:val="00DD35A5"/>
    <w:rsid w:val="00DE45AD"/>
    <w:rsid w:val="00DE651D"/>
    <w:rsid w:val="00DF4CFA"/>
    <w:rsid w:val="00DF68BE"/>
    <w:rsid w:val="00DF6AB1"/>
    <w:rsid w:val="00DF712A"/>
    <w:rsid w:val="00E01659"/>
    <w:rsid w:val="00E0167F"/>
    <w:rsid w:val="00E14CC9"/>
    <w:rsid w:val="00E15B5E"/>
    <w:rsid w:val="00E25DF4"/>
    <w:rsid w:val="00E3485D"/>
    <w:rsid w:val="00E36028"/>
    <w:rsid w:val="00E4257C"/>
    <w:rsid w:val="00E6619B"/>
    <w:rsid w:val="00E94B6C"/>
    <w:rsid w:val="00EA1CE4"/>
    <w:rsid w:val="00EA3D72"/>
    <w:rsid w:val="00EA69AC"/>
    <w:rsid w:val="00EB3153"/>
    <w:rsid w:val="00EB40A1"/>
    <w:rsid w:val="00EB4A66"/>
    <w:rsid w:val="00EB780D"/>
    <w:rsid w:val="00EC3112"/>
    <w:rsid w:val="00ED0585"/>
    <w:rsid w:val="00ED5E57"/>
    <w:rsid w:val="00EE1BD8"/>
    <w:rsid w:val="00EE398F"/>
    <w:rsid w:val="00EF5093"/>
    <w:rsid w:val="00F04C00"/>
    <w:rsid w:val="00F0524D"/>
    <w:rsid w:val="00F23320"/>
    <w:rsid w:val="00F359F2"/>
    <w:rsid w:val="00F75C40"/>
    <w:rsid w:val="00FA5BBE"/>
    <w:rsid w:val="00FB1F96"/>
    <w:rsid w:val="00FD437A"/>
    <w:rsid w:val="00FF3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66E38"/>
    <w:rPr>
      <w:sz w:val="16"/>
      <w:szCs w:val="16"/>
    </w:rPr>
  </w:style>
  <w:style w:type="paragraph" w:styleId="Tekstopmerking">
    <w:name w:val="annotation text"/>
    <w:basedOn w:val="Standaard"/>
    <w:link w:val="TekstopmerkingChar"/>
    <w:unhideWhenUsed/>
    <w:rsid w:val="00D66E38"/>
    <w:rPr>
      <w:sz w:val="20"/>
    </w:rPr>
  </w:style>
  <w:style w:type="character" w:customStyle="1" w:styleId="TekstopmerkingChar">
    <w:name w:val="Tekst opmerking Char"/>
    <w:basedOn w:val="Standaardalinea-lettertype"/>
    <w:link w:val="Tekstopmerking"/>
    <w:rsid w:val="00D66E38"/>
  </w:style>
  <w:style w:type="paragraph" w:styleId="Onderwerpvanopmerking">
    <w:name w:val="annotation subject"/>
    <w:basedOn w:val="Tekstopmerking"/>
    <w:next w:val="Tekstopmerking"/>
    <w:link w:val="OnderwerpvanopmerkingChar"/>
    <w:semiHidden/>
    <w:unhideWhenUsed/>
    <w:rsid w:val="00D66E38"/>
    <w:rPr>
      <w:b/>
      <w:bCs/>
    </w:rPr>
  </w:style>
  <w:style w:type="character" w:customStyle="1" w:styleId="OnderwerpvanopmerkingChar">
    <w:name w:val="Onderwerp van opmerking Char"/>
    <w:basedOn w:val="TekstopmerkingChar"/>
    <w:link w:val="Onderwerpvanopmerking"/>
    <w:semiHidden/>
    <w:rsid w:val="00D66E38"/>
    <w:rPr>
      <w:b/>
      <w:bCs/>
    </w:rPr>
  </w:style>
  <w:style w:type="paragraph" w:styleId="Revisie">
    <w:name w:val="Revision"/>
    <w:hidden/>
    <w:uiPriority w:val="99"/>
    <w:semiHidden/>
    <w:rsid w:val="00744968"/>
    <w:rPr>
      <w:sz w:val="24"/>
    </w:rPr>
  </w:style>
  <w:style w:type="character" w:styleId="Hyperlink">
    <w:name w:val="Hyperlink"/>
    <w:basedOn w:val="Standaardalinea-lettertype"/>
    <w:unhideWhenUsed/>
    <w:rsid w:val="00396352"/>
    <w:rPr>
      <w:color w:val="0000FF" w:themeColor="hyperlink"/>
      <w:u w:val="single"/>
    </w:rPr>
  </w:style>
  <w:style w:type="character" w:styleId="Onopgelostemelding">
    <w:name w:val="Unresolved Mention"/>
    <w:basedOn w:val="Standaardalinea-lettertype"/>
    <w:uiPriority w:val="99"/>
    <w:semiHidden/>
    <w:unhideWhenUsed/>
    <w:rsid w:val="00396352"/>
    <w:rPr>
      <w:color w:val="605E5C"/>
      <w:shd w:val="clear" w:color="auto" w:fill="E1DFDD"/>
    </w:rPr>
  </w:style>
  <w:style w:type="table" w:styleId="Tabelraster">
    <w:name w:val="Table Grid"/>
    <w:basedOn w:val="Standaardtabel"/>
    <w:rsid w:val="0092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6028"/>
    <w:pPr>
      <w:ind w:left="720"/>
      <w:contextualSpacing/>
    </w:pPr>
  </w:style>
  <w:style w:type="character" w:styleId="Voetnootmarkering">
    <w:name w:val="footnote reference"/>
    <w:basedOn w:val="Standaardalinea-lettertype"/>
    <w:semiHidden/>
    <w:unhideWhenUsed/>
    <w:rsid w:val="000C4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036">
      <w:bodyDiv w:val="1"/>
      <w:marLeft w:val="0"/>
      <w:marRight w:val="0"/>
      <w:marTop w:val="0"/>
      <w:marBottom w:val="0"/>
      <w:divBdr>
        <w:top w:val="none" w:sz="0" w:space="0" w:color="auto"/>
        <w:left w:val="none" w:sz="0" w:space="0" w:color="auto"/>
        <w:bottom w:val="none" w:sz="0" w:space="0" w:color="auto"/>
        <w:right w:val="none" w:sz="0" w:space="0" w:color="auto"/>
      </w:divBdr>
    </w:div>
    <w:div w:id="303585477">
      <w:bodyDiv w:val="1"/>
      <w:marLeft w:val="0"/>
      <w:marRight w:val="0"/>
      <w:marTop w:val="0"/>
      <w:marBottom w:val="0"/>
      <w:divBdr>
        <w:top w:val="none" w:sz="0" w:space="0" w:color="auto"/>
        <w:left w:val="none" w:sz="0" w:space="0" w:color="auto"/>
        <w:bottom w:val="none" w:sz="0" w:space="0" w:color="auto"/>
        <w:right w:val="none" w:sz="0" w:space="0" w:color="auto"/>
      </w:divBdr>
    </w:div>
    <w:div w:id="518935900">
      <w:bodyDiv w:val="1"/>
      <w:marLeft w:val="0"/>
      <w:marRight w:val="0"/>
      <w:marTop w:val="0"/>
      <w:marBottom w:val="0"/>
      <w:divBdr>
        <w:top w:val="none" w:sz="0" w:space="0" w:color="auto"/>
        <w:left w:val="none" w:sz="0" w:space="0" w:color="auto"/>
        <w:bottom w:val="none" w:sz="0" w:space="0" w:color="auto"/>
        <w:right w:val="none" w:sz="0" w:space="0" w:color="auto"/>
      </w:divBdr>
    </w:div>
    <w:div w:id="540241238">
      <w:bodyDiv w:val="1"/>
      <w:marLeft w:val="0"/>
      <w:marRight w:val="0"/>
      <w:marTop w:val="0"/>
      <w:marBottom w:val="0"/>
      <w:divBdr>
        <w:top w:val="none" w:sz="0" w:space="0" w:color="auto"/>
        <w:left w:val="none" w:sz="0" w:space="0" w:color="auto"/>
        <w:bottom w:val="none" w:sz="0" w:space="0" w:color="auto"/>
        <w:right w:val="none" w:sz="0" w:space="0" w:color="auto"/>
      </w:divBdr>
    </w:div>
    <w:div w:id="569579888">
      <w:bodyDiv w:val="1"/>
      <w:marLeft w:val="0"/>
      <w:marRight w:val="0"/>
      <w:marTop w:val="0"/>
      <w:marBottom w:val="0"/>
      <w:divBdr>
        <w:top w:val="none" w:sz="0" w:space="0" w:color="auto"/>
        <w:left w:val="none" w:sz="0" w:space="0" w:color="auto"/>
        <w:bottom w:val="none" w:sz="0" w:space="0" w:color="auto"/>
        <w:right w:val="none" w:sz="0" w:space="0" w:color="auto"/>
      </w:divBdr>
    </w:div>
    <w:div w:id="714040335">
      <w:bodyDiv w:val="1"/>
      <w:marLeft w:val="0"/>
      <w:marRight w:val="0"/>
      <w:marTop w:val="0"/>
      <w:marBottom w:val="0"/>
      <w:divBdr>
        <w:top w:val="none" w:sz="0" w:space="0" w:color="auto"/>
        <w:left w:val="none" w:sz="0" w:space="0" w:color="auto"/>
        <w:bottom w:val="none" w:sz="0" w:space="0" w:color="auto"/>
        <w:right w:val="none" w:sz="0" w:space="0" w:color="auto"/>
      </w:divBdr>
    </w:div>
    <w:div w:id="856695885">
      <w:bodyDiv w:val="1"/>
      <w:marLeft w:val="0"/>
      <w:marRight w:val="0"/>
      <w:marTop w:val="0"/>
      <w:marBottom w:val="0"/>
      <w:divBdr>
        <w:top w:val="none" w:sz="0" w:space="0" w:color="auto"/>
        <w:left w:val="none" w:sz="0" w:space="0" w:color="auto"/>
        <w:bottom w:val="none" w:sz="0" w:space="0" w:color="auto"/>
        <w:right w:val="none" w:sz="0" w:space="0" w:color="auto"/>
      </w:divBdr>
    </w:div>
    <w:div w:id="1013655497">
      <w:bodyDiv w:val="1"/>
      <w:marLeft w:val="0"/>
      <w:marRight w:val="0"/>
      <w:marTop w:val="0"/>
      <w:marBottom w:val="0"/>
      <w:divBdr>
        <w:top w:val="none" w:sz="0" w:space="0" w:color="auto"/>
        <w:left w:val="none" w:sz="0" w:space="0" w:color="auto"/>
        <w:bottom w:val="none" w:sz="0" w:space="0" w:color="auto"/>
        <w:right w:val="none" w:sz="0" w:space="0" w:color="auto"/>
      </w:divBdr>
    </w:div>
    <w:div w:id="1077674940">
      <w:bodyDiv w:val="1"/>
      <w:marLeft w:val="0"/>
      <w:marRight w:val="0"/>
      <w:marTop w:val="0"/>
      <w:marBottom w:val="0"/>
      <w:divBdr>
        <w:top w:val="none" w:sz="0" w:space="0" w:color="auto"/>
        <w:left w:val="none" w:sz="0" w:space="0" w:color="auto"/>
        <w:bottom w:val="none" w:sz="0" w:space="0" w:color="auto"/>
        <w:right w:val="none" w:sz="0" w:space="0" w:color="auto"/>
      </w:divBdr>
    </w:div>
    <w:div w:id="1279797019">
      <w:bodyDiv w:val="1"/>
      <w:marLeft w:val="0"/>
      <w:marRight w:val="0"/>
      <w:marTop w:val="0"/>
      <w:marBottom w:val="0"/>
      <w:divBdr>
        <w:top w:val="none" w:sz="0" w:space="0" w:color="auto"/>
        <w:left w:val="none" w:sz="0" w:space="0" w:color="auto"/>
        <w:bottom w:val="none" w:sz="0" w:space="0" w:color="auto"/>
        <w:right w:val="none" w:sz="0" w:space="0" w:color="auto"/>
      </w:divBdr>
    </w:div>
    <w:div w:id="1284996097">
      <w:bodyDiv w:val="1"/>
      <w:marLeft w:val="0"/>
      <w:marRight w:val="0"/>
      <w:marTop w:val="0"/>
      <w:marBottom w:val="0"/>
      <w:divBdr>
        <w:top w:val="none" w:sz="0" w:space="0" w:color="auto"/>
        <w:left w:val="none" w:sz="0" w:space="0" w:color="auto"/>
        <w:bottom w:val="none" w:sz="0" w:space="0" w:color="auto"/>
        <w:right w:val="none" w:sz="0" w:space="0" w:color="auto"/>
      </w:divBdr>
    </w:div>
    <w:div w:id="1314602535">
      <w:bodyDiv w:val="1"/>
      <w:marLeft w:val="0"/>
      <w:marRight w:val="0"/>
      <w:marTop w:val="0"/>
      <w:marBottom w:val="0"/>
      <w:divBdr>
        <w:top w:val="none" w:sz="0" w:space="0" w:color="auto"/>
        <w:left w:val="none" w:sz="0" w:space="0" w:color="auto"/>
        <w:bottom w:val="none" w:sz="0" w:space="0" w:color="auto"/>
        <w:right w:val="none" w:sz="0" w:space="0" w:color="auto"/>
      </w:divBdr>
    </w:div>
    <w:div w:id="1458064277">
      <w:bodyDiv w:val="1"/>
      <w:marLeft w:val="0"/>
      <w:marRight w:val="0"/>
      <w:marTop w:val="0"/>
      <w:marBottom w:val="0"/>
      <w:divBdr>
        <w:top w:val="none" w:sz="0" w:space="0" w:color="auto"/>
        <w:left w:val="none" w:sz="0" w:space="0" w:color="auto"/>
        <w:bottom w:val="none" w:sz="0" w:space="0" w:color="auto"/>
        <w:right w:val="none" w:sz="0" w:space="0" w:color="auto"/>
      </w:divBdr>
    </w:div>
    <w:div w:id="1505362214">
      <w:bodyDiv w:val="1"/>
      <w:marLeft w:val="0"/>
      <w:marRight w:val="0"/>
      <w:marTop w:val="0"/>
      <w:marBottom w:val="0"/>
      <w:divBdr>
        <w:top w:val="none" w:sz="0" w:space="0" w:color="auto"/>
        <w:left w:val="none" w:sz="0" w:space="0" w:color="auto"/>
        <w:bottom w:val="none" w:sz="0" w:space="0" w:color="auto"/>
        <w:right w:val="none" w:sz="0" w:space="0" w:color="auto"/>
      </w:divBdr>
    </w:div>
    <w:div w:id="1520894568">
      <w:bodyDiv w:val="1"/>
      <w:marLeft w:val="0"/>
      <w:marRight w:val="0"/>
      <w:marTop w:val="0"/>
      <w:marBottom w:val="0"/>
      <w:divBdr>
        <w:top w:val="none" w:sz="0" w:space="0" w:color="auto"/>
        <w:left w:val="none" w:sz="0" w:space="0" w:color="auto"/>
        <w:bottom w:val="none" w:sz="0" w:space="0" w:color="auto"/>
        <w:right w:val="none" w:sz="0" w:space="0" w:color="auto"/>
      </w:divBdr>
    </w:div>
    <w:div w:id="1725641298">
      <w:bodyDiv w:val="1"/>
      <w:marLeft w:val="0"/>
      <w:marRight w:val="0"/>
      <w:marTop w:val="0"/>
      <w:marBottom w:val="0"/>
      <w:divBdr>
        <w:top w:val="none" w:sz="0" w:space="0" w:color="auto"/>
        <w:left w:val="none" w:sz="0" w:space="0" w:color="auto"/>
        <w:bottom w:val="none" w:sz="0" w:space="0" w:color="auto"/>
        <w:right w:val="none" w:sz="0" w:space="0" w:color="auto"/>
      </w:divBdr>
    </w:div>
    <w:div w:id="1864897849">
      <w:bodyDiv w:val="1"/>
      <w:marLeft w:val="0"/>
      <w:marRight w:val="0"/>
      <w:marTop w:val="0"/>
      <w:marBottom w:val="0"/>
      <w:divBdr>
        <w:top w:val="none" w:sz="0" w:space="0" w:color="auto"/>
        <w:left w:val="none" w:sz="0" w:space="0" w:color="auto"/>
        <w:bottom w:val="none" w:sz="0" w:space="0" w:color="auto"/>
        <w:right w:val="none" w:sz="0" w:space="0" w:color="auto"/>
      </w:divBdr>
    </w:div>
    <w:div w:id="1946840372">
      <w:bodyDiv w:val="1"/>
      <w:marLeft w:val="0"/>
      <w:marRight w:val="0"/>
      <w:marTop w:val="0"/>
      <w:marBottom w:val="0"/>
      <w:divBdr>
        <w:top w:val="none" w:sz="0" w:space="0" w:color="auto"/>
        <w:left w:val="none" w:sz="0" w:space="0" w:color="auto"/>
        <w:bottom w:val="none" w:sz="0" w:space="0" w:color="auto"/>
        <w:right w:val="none" w:sz="0" w:space="0" w:color="auto"/>
      </w:divBdr>
    </w:div>
    <w:div w:id="1977951672">
      <w:bodyDiv w:val="1"/>
      <w:marLeft w:val="0"/>
      <w:marRight w:val="0"/>
      <w:marTop w:val="0"/>
      <w:marBottom w:val="0"/>
      <w:divBdr>
        <w:top w:val="none" w:sz="0" w:space="0" w:color="auto"/>
        <w:left w:val="none" w:sz="0" w:space="0" w:color="auto"/>
        <w:bottom w:val="none" w:sz="0" w:space="0" w:color="auto"/>
        <w:right w:val="none" w:sz="0" w:space="0" w:color="auto"/>
      </w:divBdr>
    </w:div>
    <w:div w:id="20801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wetten.overheid.nl/BWBR0011353/2025-07-19/0?VergelijkMet=BWBR0011353%3fg%3d2026-01-01%26v%3d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wetten.overheid.nl/BWBR0011353/2025-07-19/0?VergelijkMet=BWBR0011353%3fg%3d2026-01-01%26v%3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968</ap:Words>
  <ap:Characters>5330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2025-11-21T08:34:00.0000000Z</dcterms:created>
  <dcterms:modified xsi:type="dcterms:W3CDTF">2025-11-21T08:34:00.0000000Z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