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1C4F" w:rsidP="01A50556" w:rsidRDefault="01A50556" w14:paraId="3850CF7A" w14:textId="77896DB6">
      <w:pPr>
        <w:rPr>
          <w:b/>
          <w:bCs/>
          <w:lang w:val="nl-NL"/>
        </w:rPr>
      </w:pPr>
      <w:r w:rsidRPr="01A50556">
        <w:rPr>
          <w:b/>
          <w:bCs/>
          <w:lang w:val="nl-NL"/>
        </w:rPr>
        <w:t xml:space="preserve">Verslag Raad Algemene Zaken van 17 november 2025 </w:t>
      </w:r>
    </w:p>
    <w:p w:rsidRPr="00EA734C" w:rsidR="00A81C4F" w:rsidP="01A50556" w:rsidRDefault="008F35D0" w14:paraId="6735063C" w14:textId="01CD6203">
      <w:pPr>
        <w:rPr>
          <w:lang w:val="nl-NL" w:eastAsia="ja-JP"/>
        </w:rPr>
      </w:pPr>
      <w:r>
        <w:rPr>
          <w:lang w:val="nl-NL" w:eastAsia="ja-JP"/>
        </w:rPr>
        <w:t xml:space="preserve">Op maandag 17 november </w:t>
      </w:r>
      <w:r w:rsidR="00790674">
        <w:rPr>
          <w:lang w:val="nl-NL" w:eastAsia="ja-JP"/>
        </w:rPr>
        <w:t xml:space="preserve">jl. </w:t>
      </w:r>
      <w:r w:rsidR="004C1968">
        <w:rPr>
          <w:lang w:val="nl-NL" w:eastAsia="ja-JP"/>
        </w:rPr>
        <w:t>vond</w:t>
      </w:r>
      <w:r>
        <w:rPr>
          <w:lang w:val="nl-NL" w:eastAsia="ja-JP"/>
        </w:rPr>
        <w:t xml:space="preserve"> de Raad Algemene Zaken </w:t>
      </w:r>
      <w:r w:rsidR="004C1968">
        <w:rPr>
          <w:lang w:val="nl-NL" w:eastAsia="ja-JP"/>
        </w:rPr>
        <w:t>plaats</w:t>
      </w:r>
      <w:r>
        <w:rPr>
          <w:lang w:val="nl-NL" w:eastAsia="ja-JP"/>
        </w:rPr>
        <w:t xml:space="preserve"> in Brussel. De Raad sprak over de voorbereiding v</w:t>
      </w:r>
      <w:r w:rsidR="00430457">
        <w:rPr>
          <w:lang w:val="nl-NL" w:eastAsia="ja-JP"/>
        </w:rPr>
        <w:t>an</w:t>
      </w:r>
      <w:r>
        <w:rPr>
          <w:lang w:val="nl-NL" w:eastAsia="ja-JP"/>
        </w:rPr>
        <w:t xml:space="preserve"> de Europese Raad</w:t>
      </w:r>
      <w:r w:rsidR="00096176">
        <w:rPr>
          <w:lang w:val="nl-NL" w:eastAsia="ja-JP"/>
        </w:rPr>
        <w:t xml:space="preserve"> (ER)</w:t>
      </w:r>
      <w:r>
        <w:rPr>
          <w:lang w:val="nl-NL" w:eastAsia="ja-JP"/>
        </w:rPr>
        <w:t xml:space="preserve"> van 18 en 19 december, het </w:t>
      </w:r>
      <w:r w:rsidR="00AE54DB">
        <w:rPr>
          <w:lang w:val="nl-NL" w:eastAsia="ja-JP"/>
        </w:rPr>
        <w:t>M</w:t>
      </w:r>
      <w:r>
        <w:rPr>
          <w:lang w:val="nl-NL" w:eastAsia="ja-JP"/>
        </w:rPr>
        <w:t xml:space="preserve">eerjarig Financieel Kader (MFK), de betrekkingen tussen de EU en het Verenigd Koninkrijk, </w:t>
      </w:r>
      <w:r w:rsidR="009908A0">
        <w:rPr>
          <w:lang w:val="nl-NL" w:eastAsia="ja-JP"/>
        </w:rPr>
        <w:t>het Commissie</w:t>
      </w:r>
      <w:r w:rsidR="009B1744">
        <w:rPr>
          <w:lang w:val="nl-NL" w:eastAsia="ja-JP"/>
        </w:rPr>
        <w:t xml:space="preserve"> W</w:t>
      </w:r>
      <w:r w:rsidR="009908A0">
        <w:rPr>
          <w:lang w:val="nl-NL" w:eastAsia="ja-JP"/>
        </w:rPr>
        <w:t xml:space="preserve">erkprogramma, en </w:t>
      </w:r>
      <w:r w:rsidR="0019254E">
        <w:rPr>
          <w:lang w:val="nl-NL" w:eastAsia="ja-JP"/>
        </w:rPr>
        <w:t>de</w:t>
      </w:r>
      <w:r w:rsidR="009908A0">
        <w:rPr>
          <w:lang w:val="nl-NL" w:eastAsia="ja-JP"/>
        </w:rPr>
        <w:t xml:space="preserve"> landenspecifieke rechtsstaatsdialogen. </w:t>
      </w:r>
      <w:r w:rsidR="00AC2AAF">
        <w:rPr>
          <w:lang w:val="nl-NL" w:eastAsia="ja-JP"/>
        </w:rPr>
        <w:t>Daarnaast werden</w:t>
      </w:r>
      <w:r w:rsidR="00EE41DA">
        <w:rPr>
          <w:lang w:val="nl-NL" w:eastAsia="ja-JP"/>
        </w:rPr>
        <w:t xml:space="preserve"> </w:t>
      </w:r>
      <w:r w:rsidR="00C60E46">
        <w:rPr>
          <w:lang w:val="nl-NL" w:eastAsia="ja-JP"/>
        </w:rPr>
        <w:t xml:space="preserve">onder </w:t>
      </w:r>
      <w:r w:rsidRPr="001B1438" w:rsidR="00C57B9F">
        <w:rPr>
          <w:lang w:val="nl-NL" w:eastAsia="ja-JP"/>
        </w:rPr>
        <w:t>AOB</w:t>
      </w:r>
      <w:r w:rsidRPr="001B1438" w:rsidR="00C60E46">
        <w:rPr>
          <w:lang w:val="nl-NL" w:eastAsia="ja-JP"/>
        </w:rPr>
        <w:t xml:space="preserve"> de </w:t>
      </w:r>
      <w:r w:rsidRPr="00786463" w:rsidR="00EE41DA">
        <w:rPr>
          <w:lang w:val="nl-NL" w:eastAsia="ja-JP"/>
        </w:rPr>
        <w:t>Commissiestrategie</w:t>
      </w:r>
      <w:r w:rsidRPr="00EE41DA" w:rsidR="00EE41DA">
        <w:rPr>
          <w:lang w:val="nl-NL" w:eastAsia="ja-JP"/>
        </w:rPr>
        <w:t xml:space="preserve"> antisemitisme</w:t>
      </w:r>
      <w:r w:rsidR="00EE41DA">
        <w:rPr>
          <w:lang w:val="nl-NL" w:eastAsia="ja-JP"/>
        </w:rPr>
        <w:t xml:space="preserve">, </w:t>
      </w:r>
      <w:r w:rsidR="001D0B4E">
        <w:rPr>
          <w:lang w:val="nl-NL" w:eastAsia="ja-JP"/>
        </w:rPr>
        <w:t>het</w:t>
      </w:r>
      <w:r w:rsidR="00EE41DA">
        <w:rPr>
          <w:lang w:val="nl-NL" w:eastAsia="ja-JP"/>
        </w:rPr>
        <w:t xml:space="preserve"> </w:t>
      </w:r>
      <w:r w:rsidRPr="001B1438" w:rsidR="00EE41DA">
        <w:rPr>
          <w:i/>
          <w:lang w:val="nl-NL" w:eastAsia="ja-JP"/>
        </w:rPr>
        <w:t>European Democracy Shield</w:t>
      </w:r>
      <w:r w:rsidRPr="00EE41DA" w:rsidR="00EE41DA">
        <w:rPr>
          <w:lang w:val="nl-NL" w:eastAsia="ja-JP"/>
        </w:rPr>
        <w:t xml:space="preserve"> en </w:t>
      </w:r>
      <w:r w:rsidR="00786463">
        <w:rPr>
          <w:i/>
          <w:iCs/>
          <w:lang w:val="nl-NL" w:eastAsia="ja-JP"/>
        </w:rPr>
        <w:t>I</w:t>
      </w:r>
      <w:r w:rsidRPr="001B1438" w:rsidR="00EE41DA">
        <w:rPr>
          <w:i/>
          <w:iCs/>
          <w:lang w:val="nl-NL" w:eastAsia="ja-JP"/>
        </w:rPr>
        <w:t xml:space="preserve">nformation </w:t>
      </w:r>
      <w:r w:rsidR="00786463">
        <w:rPr>
          <w:i/>
          <w:iCs/>
          <w:lang w:val="nl-NL" w:eastAsia="ja-JP"/>
        </w:rPr>
        <w:t>S</w:t>
      </w:r>
      <w:r w:rsidRPr="001B1438" w:rsidR="00EE41DA">
        <w:rPr>
          <w:i/>
          <w:iCs/>
          <w:lang w:val="nl-NL" w:eastAsia="ja-JP"/>
        </w:rPr>
        <w:t>hield</w:t>
      </w:r>
      <w:r w:rsidR="00EE41DA">
        <w:rPr>
          <w:lang w:val="nl-NL" w:eastAsia="ja-JP"/>
        </w:rPr>
        <w:t xml:space="preserve">, en </w:t>
      </w:r>
      <w:r w:rsidR="00C60E46">
        <w:rPr>
          <w:lang w:val="nl-NL" w:eastAsia="ja-JP"/>
        </w:rPr>
        <w:t>het w</w:t>
      </w:r>
      <w:r w:rsidRPr="00EE41DA" w:rsidR="00EE41DA">
        <w:rPr>
          <w:lang w:val="nl-NL" w:eastAsia="ja-JP"/>
        </w:rPr>
        <w:t>eerballonnen</w:t>
      </w:r>
      <w:r w:rsidR="00C60E46">
        <w:rPr>
          <w:lang w:val="nl-NL" w:eastAsia="ja-JP"/>
        </w:rPr>
        <w:t>incident boven de</w:t>
      </w:r>
      <w:r w:rsidRPr="00EE41DA" w:rsidR="00EE41DA">
        <w:rPr>
          <w:lang w:val="nl-NL" w:eastAsia="ja-JP"/>
        </w:rPr>
        <w:t xml:space="preserve"> Litouws</w:t>
      </w:r>
      <w:r w:rsidR="00C95300">
        <w:rPr>
          <w:lang w:val="nl-NL" w:eastAsia="ja-JP"/>
        </w:rPr>
        <w:t>-</w:t>
      </w:r>
      <w:r w:rsidRPr="00EE41DA" w:rsidR="00EE41DA">
        <w:rPr>
          <w:lang w:val="nl-NL" w:eastAsia="ja-JP"/>
        </w:rPr>
        <w:t>Belaru</w:t>
      </w:r>
      <w:r w:rsidR="001D0B4E">
        <w:rPr>
          <w:lang w:val="nl-NL" w:eastAsia="ja-JP"/>
        </w:rPr>
        <w:t>s</w:t>
      </w:r>
      <w:r w:rsidRPr="00EE41DA" w:rsidR="00EE41DA">
        <w:rPr>
          <w:lang w:val="nl-NL" w:eastAsia="ja-JP"/>
        </w:rPr>
        <w:t>sische</w:t>
      </w:r>
      <w:r w:rsidR="00794A1D">
        <w:rPr>
          <w:lang w:val="nl-NL" w:eastAsia="ja-JP"/>
        </w:rPr>
        <w:t xml:space="preserve"> </w:t>
      </w:r>
      <w:r w:rsidRPr="00EE41DA" w:rsidR="00EE41DA">
        <w:rPr>
          <w:lang w:val="nl-NL" w:eastAsia="ja-JP"/>
        </w:rPr>
        <w:t>grens</w:t>
      </w:r>
      <w:r w:rsidR="00C60E46">
        <w:rPr>
          <w:lang w:val="nl-NL" w:eastAsia="ja-JP"/>
        </w:rPr>
        <w:t xml:space="preserve"> besproken. </w:t>
      </w:r>
      <w:r w:rsidR="00786463">
        <w:rPr>
          <w:lang w:val="nl-NL" w:eastAsia="ja-JP"/>
        </w:rPr>
        <w:t>En marge van de Raad vond een Intergouvernementele Conferentie (IGC) met Albani</w:t>
      </w:r>
      <w:r w:rsidRPr="00D50411" w:rsidR="00786463">
        <w:rPr>
          <w:lang w:val="nl-NL" w:eastAsia="ja-JP"/>
        </w:rPr>
        <w:t>ë</w:t>
      </w:r>
      <w:r w:rsidR="00786463">
        <w:rPr>
          <w:lang w:val="nl-NL" w:eastAsia="ja-JP"/>
        </w:rPr>
        <w:t xml:space="preserve"> plaats. </w:t>
      </w:r>
      <w:r w:rsidRPr="006E2762" w:rsidR="00C60E46">
        <w:rPr>
          <w:lang w:val="nl-NL" w:eastAsia="ja-JP"/>
        </w:rPr>
        <w:t xml:space="preserve">Tevens </w:t>
      </w:r>
      <w:r w:rsidRPr="006E2762" w:rsidR="00EA734C">
        <w:rPr>
          <w:lang w:val="nl-NL" w:eastAsia="ja-JP"/>
        </w:rPr>
        <w:t>informeert het kabinet uw Kamer middels dit verslag over de uitvoering van motie</w:t>
      </w:r>
      <w:r w:rsidRPr="006E2762" w:rsidR="00786463">
        <w:rPr>
          <w:lang w:val="nl-NL" w:eastAsia="ja-JP"/>
        </w:rPr>
        <w:t>-</w:t>
      </w:r>
      <w:r w:rsidRPr="006E2762" w:rsidR="00EA734C">
        <w:rPr>
          <w:lang w:val="nl-NL" w:eastAsia="ja-JP"/>
        </w:rPr>
        <w:t>Dassen/Van Campen</w:t>
      </w:r>
      <w:r w:rsidR="00503801">
        <w:rPr>
          <w:lang w:val="nl-NL" w:eastAsia="ja-JP"/>
        </w:rPr>
        <w:t>.</w:t>
      </w:r>
      <w:r w:rsidR="004C1968">
        <w:rPr>
          <w:lang w:val="nl-NL" w:eastAsia="ja-JP"/>
        </w:rPr>
        <w:t xml:space="preserve"> De </w:t>
      </w:r>
      <w:r w:rsidR="00790674">
        <w:rPr>
          <w:lang w:val="nl-NL" w:eastAsia="ja-JP"/>
        </w:rPr>
        <w:t>m</w:t>
      </w:r>
      <w:r w:rsidR="004C1968">
        <w:rPr>
          <w:lang w:val="nl-NL" w:eastAsia="ja-JP"/>
        </w:rPr>
        <w:t>inister van Buitenlandse Zaken nam deel aan deze Raad.</w:t>
      </w:r>
    </w:p>
    <w:p w:rsidRPr="00D12244" w:rsidR="00EE0D89" w:rsidP="01A50556" w:rsidRDefault="01A50556" w14:paraId="63AF4EBC" w14:textId="0E341A86">
      <w:pPr>
        <w:rPr>
          <w:b/>
          <w:lang w:val="nl-NL" w:eastAsia="ja-JP"/>
        </w:rPr>
      </w:pPr>
      <w:r w:rsidRPr="01A50556">
        <w:rPr>
          <w:b/>
          <w:bCs/>
          <w:lang w:val="nl-NL" w:eastAsia="ja-JP"/>
        </w:rPr>
        <w:t>Voorbereiding Europese Raad 18 en 19 december</w:t>
      </w:r>
      <w:r w:rsidR="00D12244">
        <w:rPr>
          <w:b/>
          <w:bCs/>
          <w:lang w:val="nl-NL" w:eastAsia="ja-JP"/>
        </w:rPr>
        <w:br/>
      </w:r>
      <w:r w:rsidR="00FE05EA">
        <w:rPr>
          <w:rFonts w:cs="Times New Roman"/>
          <w:lang w:val="nl-NL" w:eastAsia="ja-JP"/>
        </w:rPr>
        <w:t>De Raad sprak over de voorbereiding van de Europese Raad</w:t>
      </w:r>
      <w:r w:rsidR="00096176">
        <w:rPr>
          <w:rFonts w:cs="Times New Roman"/>
          <w:lang w:val="nl-NL" w:eastAsia="ja-JP"/>
        </w:rPr>
        <w:t xml:space="preserve"> (ER)</w:t>
      </w:r>
      <w:r w:rsidR="00FE05EA">
        <w:rPr>
          <w:rFonts w:cs="Times New Roman"/>
          <w:lang w:val="nl-NL" w:eastAsia="ja-JP"/>
        </w:rPr>
        <w:t xml:space="preserve"> van </w:t>
      </w:r>
      <w:r w:rsidR="004C1968">
        <w:rPr>
          <w:rFonts w:cs="Times New Roman"/>
          <w:lang w:val="nl-NL" w:eastAsia="ja-JP"/>
        </w:rPr>
        <w:t xml:space="preserve">18 en 19 </w:t>
      </w:r>
      <w:r w:rsidR="00FE05EA">
        <w:rPr>
          <w:rFonts w:cs="Times New Roman"/>
          <w:lang w:val="nl-NL" w:eastAsia="ja-JP"/>
        </w:rPr>
        <w:t xml:space="preserve">december. </w:t>
      </w:r>
      <w:r w:rsidR="00D353BD">
        <w:rPr>
          <w:rFonts w:cs="Times New Roman"/>
          <w:lang w:val="nl-NL" w:eastAsia="ja-JP"/>
        </w:rPr>
        <w:t xml:space="preserve">In dit licht stond de Raad stil </w:t>
      </w:r>
      <w:r w:rsidR="00631565">
        <w:rPr>
          <w:rFonts w:cs="Times New Roman"/>
          <w:lang w:val="nl-NL" w:eastAsia="ja-JP"/>
        </w:rPr>
        <w:t xml:space="preserve">bij de voortdurende Russische agressieoorlog en </w:t>
      </w:r>
      <w:r w:rsidR="00D353BD">
        <w:rPr>
          <w:rFonts w:cs="Times New Roman"/>
          <w:lang w:val="nl-NL" w:eastAsia="ja-JP"/>
        </w:rPr>
        <w:t xml:space="preserve">het belang van voldoende en voorspelbare financiële steun aan Oekraïne. Nederland benadrukte dat dergelijke steun flexibel moet zijn, gericht op de daadwerkelijke noden van </w:t>
      </w:r>
      <w:r w:rsidR="00CD37A4">
        <w:rPr>
          <w:rFonts w:cs="Times New Roman"/>
          <w:lang w:val="nl-NL" w:eastAsia="ja-JP"/>
        </w:rPr>
        <w:t>Oekraïne</w:t>
      </w:r>
      <w:r w:rsidR="00D353BD">
        <w:rPr>
          <w:rFonts w:cs="Times New Roman"/>
          <w:lang w:val="nl-NL" w:eastAsia="ja-JP"/>
        </w:rPr>
        <w:t xml:space="preserve"> en dat lasten door EU-lidstaten gezamenlijk gedragen moeten worden.</w:t>
      </w:r>
      <w:r w:rsidR="00FE05EA">
        <w:rPr>
          <w:rFonts w:cs="Times New Roman"/>
          <w:lang w:val="nl-NL" w:eastAsia="ja-JP"/>
        </w:rPr>
        <w:t xml:space="preserve"> </w:t>
      </w:r>
      <w:r w:rsidRPr="00FE05EA" w:rsidR="00FE05EA">
        <w:rPr>
          <w:rFonts w:cs="Times New Roman"/>
          <w:lang w:val="nl-NL" w:eastAsia="ja-JP"/>
        </w:rPr>
        <w:t xml:space="preserve">De lidstaten benadrukten hun belangrijkste prioriteiten en rode lijnen voor </w:t>
      </w:r>
      <w:r w:rsidR="00FE05EA">
        <w:rPr>
          <w:rFonts w:cs="Times New Roman"/>
          <w:lang w:val="nl-NL" w:eastAsia="ja-JP"/>
        </w:rPr>
        <w:t>de onderhandelingen over het volgend Meerjarig Financieel Kader (MFK)</w:t>
      </w:r>
      <w:r w:rsidR="00A56FEB">
        <w:rPr>
          <w:rFonts w:cs="Times New Roman"/>
          <w:lang w:val="nl-NL" w:eastAsia="ja-JP"/>
        </w:rPr>
        <w:t xml:space="preserve">. </w:t>
      </w:r>
      <w:r w:rsidR="0002750B">
        <w:rPr>
          <w:rFonts w:cs="Times New Roman"/>
          <w:lang w:val="nl-NL" w:eastAsia="ja-JP"/>
        </w:rPr>
        <w:t xml:space="preserve">Het kabinet </w:t>
      </w:r>
      <w:r w:rsidR="00A56FEB">
        <w:rPr>
          <w:rFonts w:cs="Times New Roman"/>
          <w:lang w:val="nl-NL" w:eastAsia="ja-JP"/>
        </w:rPr>
        <w:t xml:space="preserve">drukte </w:t>
      </w:r>
      <w:r w:rsidRPr="00A56FEB" w:rsidR="00A56FEB">
        <w:rPr>
          <w:rFonts w:cs="Times New Roman"/>
          <w:lang w:val="nl-NL" w:eastAsia="ja-JP"/>
        </w:rPr>
        <w:t xml:space="preserve">zorgen uit over de impact van het voorstel op de eigen nationale </w:t>
      </w:r>
      <w:r w:rsidR="00A56FEB">
        <w:rPr>
          <w:rFonts w:cs="Times New Roman"/>
          <w:lang w:val="nl-NL" w:eastAsia="ja-JP"/>
        </w:rPr>
        <w:t>afdrachten aan de EU-begroting</w:t>
      </w:r>
      <w:r w:rsidRPr="00A56FEB" w:rsidR="00A56FEB">
        <w:rPr>
          <w:rFonts w:cs="Times New Roman"/>
          <w:lang w:val="nl-NL" w:eastAsia="ja-JP"/>
        </w:rPr>
        <w:t xml:space="preserve">. </w:t>
      </w:r>
      <w:r w:rsidR="00DB04DD">
        <w:rPr>
          <w:rFonts w:cs="Times New Roman"/>
          <w:lang w:val="nl-NL" w:eastAsia="ja-JP"/>
        </w:rPr>
        <w:t>Het kabinet</w:t>
      </w:r>
      <w:r w:rsidRPr="00A56FEB" w:rsidR="00DB04DD">
        <w:rPr>
          <w:rFonts w:cs="Times New Roman"/>
          <w:lang w:val="nl-NL" w:eastAsia="ja-JP"/>
        </w:rPr>
        <w:t xml:space="preserve"> </w:t>
      </w:r>
      <w:r w:rsidRPr="00A56FEB" w:rsidR="00A56FEB">
        <w:rPr>
          <w:rFonts w:cs="Times New Roman"/>
          <w:lang w:val="nl-NL" w:eastAsia="ja-JP"/>
        </w:rPr>
        <w:t>onderstreepte drie cruciale elementen</w:t>
      </w:r>
      <w:r w:rsidR="00A56FEB">
        <w:rPr>
          <w:rFonts w:cs="Times New Roman"/>
          <w:lang w:val="nl-NL" w:eastAsia="ja-JP"/>
        </w:rPr>
        <w:t xml:space="preserve">; </w:t>
      </w:r>
      <w:r w:rsidR="003A589D">
        <w:rPr>
          <w:rFonts w:cs="Times New Roman"/>
          <w:lang w:val="nl-NL" w:eastAsia="ja-JP"/>
        </w:rPr>
        <w:t>1)</w:t>
      </w:r>
      <w:r w:rsidR="00A56FEB">
        <w:rPr>
          <w:rFonts w:cs="Times New Roman"/>
          <w:lang w:val="nl-NL" w:eastAsia="ja-JP"/>
        </w:rPr>
        <w:t xml:space="preserve"> </w:t>
      </w:r>
      <w:r w:rsidRPr="00A56FEB" w:rsidR="00A56FEB">
        <w:rPr>
          <w:rFonts w:cs="Times New Roman"/>
          <w:lang w:val="nl-NL" w:eastAsia="ja-JP"/>
        </w:rPr>
        <w:t xml:space="preserve">modernisering </w:t>
      </w:r>
      <w:r w:rsidR="004B6177">
        <w:rPr>
          <w:rFonts w:cs="Times New Roman"/>
          <w:lang w:val="nl-NL" w:eastAsia="ja-JP"/>
        </w:rPr>
        <w:t xml:space="preserve">van het </w:t>
      </w:r>
      <w:r w:rsidRPr="00A56FEB" w:rsidR="00A56FEB">
        <w:rPr>
          <w:rFonts w:cs="Times New Roman"/>
          <w:lang w:val="nl-NL" w:eastAsia="ja-JP"/>
        </w:rPr>
        <w:t>MFK,</w:t>
      </w:r>
      <w:r w:rsidR="00A56FEB">
        <w:rPr>
          <w:rFonts w:cs="Times New Roman"/>
          <w:lang w:val="nl-NL" w:eastAsia="ja-JP"/>
        </w:rPr>
        <w:t xml:space="preserve"> </w:t>
      </w:r>
      <w:r w:rsidR="003A589D">
        <w:rPr>
          <w:rFonts w:cs="Times New Roman"/>
          <w:lang w:val="nl-NL" w:eastAsia="ja-JP"/>
        </w:rPr>
        <w:t>2)</w:t>
      </w:r>
      <w:r w:rsidR="00A56FEB">
        <w:rPr>
          <w:rFonts w:cs="Times New Roman"/>
          <w:lang w:val="nl-NL" w:eastAsia="ja-JP"/>
        </w:rPr>
        <w:t xml:space="preserve"> bni-korting </w:t>
      </w:r>
      <w:r w:rsidR="00885A09">
        <w:rPr>
          <w:rFonts w:cs="Times New Roman"/>
          <w:lang w:val="nl-NL" w:eastAsia="ja-JP"/>
        </w:rPr>
        <w:t xml:space="preserve">voor </w:t>
      </w:r>
      <w:r w:rsidR="00A56FEB">
        <w:rPr>
          <w:rFonts w:cs="Times New Roman"/>
          <w:lang w:val="nl-NL" w:eastAsia="ja-JP"/>
        </w:rPr>
        <w:t>Nederland moet onderdeel zijn van het onderhandelingsdocument</w:t>
      </w:r>
      <w:r w:rsidRPr="00A56FEB" w:rsidR="00A56FEB">
        <w:rPr>
          <w:rFonts w:cs="Times New Roman"/>
          <w:lang w:val="nl-NL" w:eastAsia="ja-JP"/>
        </w:rPr>
        <w:t xml:space="preserve"> en</w:t>
      </w:r>
      <w:r w:rsidR="00A56FEB">
        <w:rPr>
          <w:rFonts w:cs="Times New Roman"/>
          <w:lang w:val="nl-NL" w:eastAsia="ja-JP"/>
        </w:rPr>
        <w:t xml:space="preserve"> </w:t>
      </w:r>
      <w:r w:rsidR="003A589D">
        <w:rPr>
          <w:rFonts w:cs="Times New Roman"/>
          <w:lang w:val="nl-NL" w:eastAsia="ja-JP"/>
        </w:rPr>
        <w:t>3)</w:t>
      </w:r>
      <w:r w:rsidRPr="00A56FEB" w:rsidR="00A56FEB">
        <w:rPr>
          <w:rFonts w:cs="Times New Roman"/>
          <w:lang w:val="nl-NL" w:eastAsia="ja-JP"/>
        </w:rPr>
        <w:t xml:space="preserve"> geen gezamenlijke schulden</w:t>
      </w:r>
      <w:r w:rsidR="00A56FEB">
        <w:rPr>
          <w:rFonts w:cs="Times New Roman"/>
          <w:lang w:val="nl-NL" w:eastAsia="ja-JP"/>
        </w:rPr>
        <w:t xml:space="preserve"> voor </w:t>
      </w:r>
      <w:r w:rsidR="00AC78CB">
        <w:rPr>
          <w:rFonts w:cs="Times New Roman"/>
          <w:lang w:val="nl-NL" w:eastAsia="ja-JP"/>
        </w:rPr>
        <w:t xml:space="preserve">nieuwe </w:t>
      </w:r>
      <w:r w:rsidR="00A56FEB">
        <w:rPr>
          <w:rFonts w:cs="Times New Roman"/>
          <w:lang w:val="nl-NL" w:eastAsia="ja-JP"/>
        </w:rPr>
        <w:t>EU-instrumenten</w:t>
      </w:r>
      <w:r w:rsidRPr="00A56FEB" w:rsidR="00A56FEB">
        <w:rPr>
          <w:rFonts w:cs="Times New Roman"/>
          <w:lang w:val="nl-NL" w:eastAsia="ja-JP"/>
        </w:rPr>
        <w:t xml:space="preserve">. </w:t>
      </w:r>
      <w:r w:rsidR="00EE0D89">
        <w:rPr>
          <w:rFonts w:cs="Times New Roman"/>
          <w:lang w:val="nl-NL" w:eastAsia="ja-JP"/>
        </w:rPr>
        <w:t xml:space="preserve">De Raad sprak tevens over EU-uitbreiding. Met verwijzing naar </w:t>
      </w:r>
      <w:r w:rsidR="00375321">
        <w:rPr>
          <w:rFonts w:cs="Times New Roman"/>
          <w:lang w:val="nl-NL" w:eastAsia="ja-JP"/>
        </w:rPr>
        <w:t>h</w:t>
      </w:r>
      <w:r w:rsidR="00EE0D89">
        <w:rPr>
          <w:rFonts w:cs="Times New Roman"/>
          <w:lang w:val="nl-NL" w:eastAsia="ja-JP"/>
        </w:rPr>
        <w:t>e</w:t>
      </w:r>
      <w:r w:rsidR="00375321">
        <w:rPr>
          <w:rFonts w:cs="Times New Roman"/>
          <w:lang w:val="nl-NL" w:eastAsia="ja-JP"/>
        </w:rPr>
        <w:t>t</w:t>
      </w:r>
      <w:r w:rsidR="00EE0D89">
        <w:rPr>
          <w:rFonts w:cs="Times New Roman"/>
          <w:lang w:val="nl-NL" w:eastAsia="ja-JP"/>
        </w:rPr>
        <w:t xml:space="preserve"> jaarlijkse uitbreidingspakket</w:t>
      </w:r>
      <w:r w:rsidR="00EE0D89">
        <w:rPr>
          <w:rStyle w:val="FootnoteReference"/>
          <w:rFonts w:cs="Times New Roman"/>
          <w:lang w:val="nl-NL" w:eastAsia="ja-JP"/>
        </w:rPr>
        <w:footnoteReference w:id="2"/>
      </w:r>
      <w:r w:rsidR="00EE0D89">
        <w:rPr>
          <w:rFonts w:cs="Times New Roman"/>
          <w:lang w:val="nl-NL" w:eastAsia="ja-JP"/>
        </w:rPr>
        <w:t xml:space="preserve"> benadrukten veel lidstaten het belang </w:t>
      </w:r>
      <w:r w:rsidR="00BD46DB">
        <w:rPr>
          <w:rFonts w:cs="Times New Roman"/>
          <w:lang w:val="nl-NL" w:eastAsia="ja-JP"/>
        </w:rPr>
        <w:t xml:space="preserve">van </w:t>
      </w:r>
      <w:r w:rsidR="00EE0D89">
        <w:rPr>
          <w:rFonts w:cs="Times New Roman"/>
          <w:lang w:val="nl-NL" w:eastAsia="ja-JP"/>
        </w:rPr>
        <w:t xml:space="preserve">voortgang </w:t>
      </w:r>
      <w:r w:rsidR="00993BA8">
        <w:rPr>
          <w:rFonts w:cs="Times New Roman"/>
          <w:lang w:val="nl-NL" w:eastAsia="ja-JP"/>
        </w:rPr>
        <w:t>in het toetredingsproces van</w:t>
      </w:r>
      <w:r w:rsidR="00EE0D89">
        <w:rPr>
          <w:rFonts w:cs="Times New Roman"/>
          <w:lang w:val="nl-NL" w:eastAsia="ja-JP"/>
        </w:rPr>
        <w:t xml:space="preserve"> Oekraïne, Moldavië, Albanië en Montenegro. </w:t>
      </w:r>
      <w:r w:rsidR="008C79F9">
        <w:rPr>
          <w:rFonts w:cs="Times New Roman"/>
          <w:lang w:val="nl-NL" w:eastAsia="ja-JP"/>
        </w:rPr>
        <w:t>Enkele</w:t>
      </w:r>
      <w:r w:rsidRPr="00EE0D89" w:rsidR="00EE0D89">
        <w:rPr>
          <w:rFonts w:cs="Times New Roman"/>
          <w:lang w:val="nl-NL" w:eastAsia="ja-JP"/>
        </w:rPr>
        <w:t xml:space="preserve"> lidstaten</w:t>
      </w:r>
      <w:r w:rsidR="008C79F9">
        <w:rPr>
          <w:rFonts w:cs="Times New Roman"/>
          <w:lang w:val="nl-NL" w:eastAsia="ja-JP"/>
        </w:rPr>
        <w:t xml:space="preserve"> noemden het belang van </w:t>
      </w:r>
      <w:r w:rsidRPr="00EE0D89" w:rsidR="00EE0D89">
        <w:rPr>
          <w:rFonts w:cs="Times New Roman"/>
          <w:lang w:val="nl-NL" w:eastAsia="ja-JP"/>
        </w:rPr>
        <w:t>hervormingen</w:t>
      </w:r>
      <w:r w:rsidR="008C79F9">
        <w:rPr>
          <w:rFonts w:cs="Times New Roman"/>
          <w:lang w:val="nl-NL" w:eastAsia="ja-JP"/>
        </w:rPr>
        <w:t>, waaronder</w:t>
      </w:r>
      <w:r w:rsidRPr="00EE0D89" w:rsidR="00EE0D89">
        <w:rPr>
          <w:rFonts w:cs="Times New Roman"/>
          <w:lang w:val="nl-NL" w:eastAsia="ja-JP"/>
        </w:rPr>
        <w:t xml:space="preserve"> op corruptie</w:t>
      </w:r>
      <w:r w:rsidR="00993BA8">
        <w:rPr>
          <w:rFonts w:cs="Times New Roman"/>
          <w:lang w:val="nl-NL" w:eastAsia="ja-JP"/>
        </w:rPr>
        <w:t>bestrijding</w:t>
      </w:r>
      <w:r w:rsidRPr="00EE0D89" w:rsidR="00EE0D89">
        <w:rPr>
          <w:rFonts w:cs="Times New Roman"/>
          <w:lang w:val="nl-NL" w:eastAsia="ja-JP"/>
        </w:rPr>
        <w:t xml:space="preserve">, georganiseerde </w:t>
      </w:r>
      <w:r w:rsidR="008C79F9">
        <w:rPr>
          <w:rFonts w:cs="Times New Roman"/>
          <w:lang w:val="nl-NL" w:eastAsia="ja-JP"/>
        </w:rPr>
        <w:t xml:space="preserve">misdaad en de rechtsspraak. Nederland onderstreepte dat stappen </w:t>
      </w:r>
      <w:r w:rsidR="00993BA8">
        <w:rPr>
          <w:rFonts w:cs="Times New Roman"/>
          <w:lang w:val="nl-NL" w:eastAsia="ja-JP"/>
        </w:rPr>
        <w:t xml:space="preserve">in het toetredingsproces van kandidaat-lidstaten </w:t>
      </w:r>
      <w:r w:rsidR="008C79F9">
        <w:rPr>
          <w:rFonts w:cs="Times New Roman"/>
          <w:lang w:val="nl-NL" w:eastAsia="ja-JP"/>
        </w:rPr>
        <w:t xml:space="preserve">gebaseerd moeten zijn op merites. </w:t>
      </w:r>
      <w:r w:rsidR="00F9090C">
        <w:rPr>
          <w:rFonts w:cs="Times New Roman"/>
          <w:lang w:val="nl-NL" w:eastAsia="ja-JP"/>
        </w:rPr>
        <w:t xml:space="preserve">Eén lidstaat </w:t>
      </w:r>
      <w:r w:rsidR="00993BA8">
        <w:rPr>
          <w:rFonts w:cs="Times New Roman"/>
          <w:lang w:val="nl-NL" w:eastAsia="ja-JP"/>
        </w:rPr>
        <w:t>herhaalde</w:t>
      </w:r>
      <w:r w:rsidR="00F9090C">
        <w:rPr>
          <w:rFonts w:cs="Times New Roman"/>
          <w:lang w:val="nl-NL" w:eastAsia="ja-JP"/>
        </w:rPr>
        <w:t xml:space="preserve"> geen stappen te willen zetten met Oekraïne. </w:t>
      </w:r>
      <w:r w:rsidR="001A0C8D">
        <w:rPr>
          <w:rFonts w:cs="Times New Roman"/>
          <w:lang w:val="nl-NL" w:eastAsia="ja-JP"/>
        </w:rPr>
        <w:t xml:space="preserve">Daarnaast nam de Raad nota van agendering van Midden-Oosten, geo-economie en concurrentievermogen, en migratie </w:t>
      </w:r>
      <w:r w:rsidR="00430457">
        <w:rPr>
          <w:rFonts w:cs="Times New Roman"/>
          <w:lang w:val="nl-NL" w:eastAsia="ja-JP"/>
        </w:rPr>
        <w:t>tijdens</w:t>
      </w:r>
      <w:r w:rsidR="001A0C8D">
        <w:rPr>
          <w:rFonts w:cs="Times New Roman"/>
          <w:lang w:val="nl-NL" w:eastAsia="ja-JP"/>
        </w:rPr>
        <w:t xml:space="preserve"> de ER</w:t>
      </w:r>
      <w:r w:rsidR="00430457">
        <w:rPr>
          <w:rFonts w:cs="Times New Roman"/>
          <w:lang w:val="nl-NL" w:eastAsia="ja-JP"/>
        </w:rPr>
        <w:t xml:space="preserve"> van 18 en 19 december</w:t>
      </w:r>
      <w:r w:rsidR="001A0C8D">
        <w:rPr>
          <w:rFonts w:cs="Times New Roman"/>
          <w:lang w:val="nl-NL" w:eastAsia="ja-JP"/>
        </w:rPr>
        <w:t>.</w:t>
      </w:r>
    </w:p>
    <w:p w:rsidRPr="00D12244" w:rsidR="00B72E6C" w:rsidP="01A50556" w:rsidRDefault="01A50556" w14:paraId="76703602" w14:textId="00A32DE7">
      <w:pPr>
        <w:rPr>
          <w:rFonts w:cs="Times New Roman"/>
          <w:b/>
          <w:lang w:val="nl-NL" w:eastAsia="ja-JP"/>
        </w:rPr>
      </w:pPr>
      <w:r w:rsidRPr="01A50556">
        <w:rPr>
          <w:b/>
          <w:bCs/>
          <w:lang w:val="nl-NL" w:eastAsia="ja-JP"/>
        </w:rPr>
        <w:t>Meerjarig Financieel Kader</w:t>
      </w:r>
      <w:r w:rsidR="00D12244">
        <w:rPr>
          <w:rFonts w:cs="Times New Roman"/>
          <w:b/>
          <w:bCs/>
          <w:lang w:val="nl-NL" w:eastAsia="ja-JP"/>
        </w:rPr>
        <w:br/>
      </w:r>
      <w:r w:rsidR="009D4D8B">
        <w:rPr>
          <w:rFonts w:cs="Times New Roman"/>
          <w:lang w:val="nl-NL" w:eastAsia="ja-JP"/>
        </w:rPr>
        <w:t>Tijdens deze R</w:t>
      </w:r>
      <w:r w:rsidR="004C1968">
        <w:rPr>
          <w:rFonts w:cs="Times New Roman"/>
          <w:lang w:val="nl-NL" w:eastAsia="ja-JP"/>
        </w:rPr>
        <w:t>aad</w:t>
      </w:r>
      <w:r w:rsidR="009D4D8B">
        <w:rPr>
          <w:rFonts w:cs="Times New Roman"/>
          <w:lang w:val="nl-NL" w:eastAsia="ja-JP"/>
        </w:rPr>
        <w:t xml:space="preserve"> vond de tweede van drie MFK-besprekingen </w:t>
      </w:r>
      <w:r w:rsidR="00E27637">
        <w:rPr>
          <w:rFonts w:cs="Times New Roman"/>
          <w:lang w:val="nl-NL" w:eastAsia="ja-JP"/>
        </w:rPr>
        <w:t>plaats,</w:t>
      </w:r>
      <w:r w:rsidR="009D4D8B">
        <w:rPr>
          <w:rFonts w:cs="Times New Roman"/>
          <w:lang w:val="nl-NL" w:eastAsia="ja-JP"/>
        </w:rPr>
        <w:t xml:space="preserve"> in aanloop naar de ER</w:t>
      </w:r>
      <w:r w:rsidRPr="00133D56" w:rsidR="00133D56">
        <w:rPr>
          <w:rFonts w:cs="Times New Roman"/>
          <w:lang w:val="nl-NL" w:eastAsia="ja-JP"/>
        </w:rPr>
        <w:t xml:space="preserve"> </w:t>
      </w:r>
      <w:r w:rsidR="00E27637">
        <w:rPr>
          <w:rFonts w:cs="Times New Roman"/>
          <w:lang w:val="nl-NL" w:eastAsia="ja-JP"/>
        </w:rPr>
        <w:t>van december</w:t>
      </w:r>
      <w:r w:rsidR="009D4D8B">
        <w:rPr>
          <w:rFonts w:cs="Times New Roman"/>
          <w:lang w:val="nl-NL" w:eastAsia="ja-JP"/>
        </w:rPr>
        <w:t xml:space="preserve">. </w:t>
      </w:r>
      <w:r w:rsidRPr="00B72E6C" w:rsidR="009D4D8B">
        <w:rPr>
          <w:rFonts w:cs="Times New Roman"/>
          <w:lang w:val="nl-NL" w:eastAsia="ja-JP"/>
        </w:rPr>
        <w:t xml:space="preserve">De besprekingen </w:t>
      </w:r>
      <w:r w:rsidR="009D4D8B">
        <w:rPr>
          <w:rFonts w:cs="Times New Roman"/>
          <w:lang w:val="nl-NL" w:eastAsia="ja-JP"/>
        </w:rPr>
        <w:t>dienen</w:t>
      </w:r>
      <w:r w:rsidRPr="00B72E6C" w:rsidR="009D4D8B">
        <w:rPr>
          <w:rFonts w:cs="Times New Roman"/>
          <w:lang w:val="nl-NL" w:eastAsia="ja-JP"/>
        </w:rPr>
        <w:t xml:space="preserve"> om tot een </w:t>
      </w:r>
      <w:r w:rsidR="00E27637">
        <w:rPr>
          <w:rFonts w:cs="Times New Roman"/>
          <w:lang w:val="nl-NL" w:eastAsia="ja-JP"/>
        </w:rPr>
        <w:t>compleet</w:t>
      </w:r>
      <w:r w:rsidRPr="00B72E6C" w:rsidR="009D4D8B">
        <w:rPr>
          <w:rFonts w:cs="Times New Roman"/>
          <w:lang w:val="nl-NL" w:eastAsia="ja-JP"/>
        </w:rPr>
        <w:t xml:space="preserve"> eerste concept </w:t>
      </w:r>
      <w:r w:rsidR="00E27637">
        <w:rPr>
          <w:rFonts w:cs="Times New Roman"/>
          <w:lang w:val="nl-NL" w:eastAsia="ja-JP"/>
        </w:rPr>
        <w:t xml:space="preserve">van de zgn. </w:t>
      </w:r>
      <w:r w:rsidRPr="005A4F6B" w:rsidR="009D4D8B">
        <w:rPr>
          <w:rFonts w:cs="Times New Roman"/>
          <w:i/>
          <w:iCs/>
          <w:lang w:val="nl-NL" w:eastAsia="ja-JP"/>
        </w:rPr>
        <w:t>negotiating box</w:t>
      </w:r>
      <w:r w:rsidRPr="00B72E6C" w:rsidR="009D4D8B">
        <w:rPr>
          <w:rFonts w:cs="Times New Roman"/>
          <w:lang w:val="nl-NL" w:eastAsia="ja-JP"/>
        </w:rPr>
        <w:t xml:space="preserve"> te komen: een onderhandelingsdocument </w:t>
      </w:r>
      <w:r w:rsidR="009D4D8B">
        <w:rPr>
          <w:rFonts w:cs="Times New Roman"/>
          <w:lang w:val="nl-NL" w:eastAsia="ja-JP"/>
        </w:rPr>
        <w:t>d</w:t>
      </w:r>
      <w:r w:rsidRPr="00B72E6C" w:rsidR="009D4D8B">
        <w:rPr>
          <w:rFonts w:cs="Times New Roman"/>
          <w:lang w:val="nl-NL" w:eastAsia="ja-JP"/>
        </w:rPr>
        <w:t xml:space="preserve">at de </w:t>
      </w:r>
      <w:r w:rsidR="009D4D8B">
        <w:rPr>
          <w:rFonts w:cs="Times New Roman"/>
          <w:lang w:val="nl-NL" w:eastAsia="ja-JP"/>
        </w:rPr>
        <w:t>MFK-</w:t>
      </w:r>
      <w:r w:rsidRPr="00B72E6C" w:rsidR="009D4D8B">
        <w:rPr>
          <w:rFonts w:cs="Times New Roman"/>
          <w:lang w:val="nl-NL" w:eastAsia="ja-JP"/>
        </w:rPr>
        <w:t>onderhandelingen in 2026 moet ondersteunen.</w:t>
      </w:r>
      <w:r w:rsidR="009D4D8B">
        <w:rPr>
          <w:rFonts w:cs="Times New Roman"/>
          <w:lang w:val="nl-NL" w:eastAsia="ja-JP"/>
        </w:rPr>
        <w:t xml:space="preserve"> </w:t>
      </w:r>
      <w:r w:rsidR="00B72E6C">
        <w:rPr>
          <w:rFonts w:cs="Times New Roman"/>
          <w:lang w:val="nl-NL" w:eastAsia="ja-JP"/>
        </w:rPr>
        <w:t xml:space="preserve">De Raad sprak </w:t>
      </w:r>
      <w:r w:rsidR="00E27637">
        <w:rPr>
          <w:rFonts w:cs="Times New Roman"/>
          <w:lang w:val="nl-NL" w:eastAsia="ja-JP"/>
        </w:rPr>
        <w:t>dit keer</w:t>
      </w:r>
      <w:r w:rsidR="00B72E6C">
        <w:rPr>
          <w:rFonts w:cs="Times New Roman"/>
          <w:lang w:val="nl-NL" w:eastAsia="ja-JP"/>
        </w:rPr>
        <w:t xml:space="preserve"> over pijler 1 van het Commissie</w:t>
      </w:r>
      <w:r w:rsidR="00671EA3">
        <w:rPr>
          <w:rFonts w:cs="Times New Roman"/>
          <w:lang w:val="nl-NL" w:eastAsia="ja-JP"/>
        </w:rPr>
        <w:t>voorstel</w:t>
      </w:r>
      <w:r w:rsidR="00B72E6C">
        <w:rPr>
          <w:rFonts w:cs="Times New Roman"/>
          <w:lang w:val="nl-NL" w:eastAsia="ja-JP"/>
        </w:rPr>
        <w:t xml:space="preserve"> voor het volgend MFK</w:t>
      </w:r>
      <w:r w:rsidR="00BA2EB1">
        <w:rPr>
          <w:rFonts w:cs="Times New Roman"/>
          <w:lang w:val="nl-NL" w:eastAsia="ja-JP"/>
        </w:rPr>
        <w:t>:</w:t>
      </w:r>
      <w:r w:rsidR="00B72E6C">
        <w:rPr>
          <w:rFonts w:cs="Times New Roman"/>
          <w:lang w:val="nl-NL" w:eastAsia="ja-JP"/>
        </w:rPr>
        <w:t xml:space="preserve"> </w:t>
      </w:r>
      <w:r w:rsidRPr="00B72E6C" w:rsidR="00B72E6C">
        <w:rPr>
          <w:rFonts w:cs="Times New Roman"/>
          <w:lang w:val="nl-NL" w:eastAsia="ja-JP"/>
        </w:rPr>
        <w:t>de fusie van cohesie, landbouw/visserij en de HOME-fondsen in de Nationale en Regionale Partnerschapsplannen (NRPP</w:t>
      </w:r>
      <w:r w:rsidR="00B72E6C">
        <w:rPr>
          <w:rFonts w:cs="Times New Roman"/>
          <w:lang w:val="nl-NL" w:eastAsia="ja-JP"/>
        </w:rPr>
        <w:t>’</w:t>
      </w:r>
      <w:r w:rsidRPr="00B72E6C" w:rsidR="00B72E6C">
        <w:rPr>
          <w:rFonts w:cs="Times New Roman"/>
          <w:lang w:val="nl-NL" w:eastAsia="ja-JP"/>
        </w:rPr>
        <w:t>s)</w:t>
      </w:r>
      <w:r w:rsidR="00BA2EB1">
        <w:rPr>
          <w:rFonts w:cs="Times New Roman"/>
          <w:lang w:val="nl-NL" w:eastAsia="ja-JP"/>
        </w:rPr>
        <w:t>,</w:t>
      </w:r>
      <w:r w:rsidRPr="00B72E6C" w:rsidR="00B72E6C">
        <w:rPr>
          <w:rFonts w:cs="Times New Roman"/>
          <w:lang w:val="nl-NL" w:eastAsia="ja-JP"/>
        </w:rPr>
        <w:t xml:space="preserve"> en de terugbetaling van de </w:t>
      </w:r>
      <w:r w:rsidR="00E27637">
        <w:rPr>
          <w:rFonts w:cs="Times New Roman"/>
          <w:lang w:val="nl-NL" w:eastAsia="ja-JP"/>
        </w:rPr>
        <w:t>Next Generation EU</w:t>
      </w:r>
      <w:r w:rsidRPr="00B72E6C" w:rsidR="00B72E6C">
        <w:rPr>
          <w:rFonts w:cs="Times New Roman"/>
          <w:lang w:val="nl-NL" w:eastAsia="ja-JP"/>
        </w:rPr>
        <w:t>-leningen.</w:t>
      </w:r>
      <w:r w:rsidR="00B72E6C">
        <w:rPr>
          <w:rFonts w:cs="Times New Roman"/>
          <w:lang w:val="nl-NL" w:eastAsia="ja-JP"/>
        </w:rPr>
        <w:t xml:space="preserve"> De lidstaten benadrukten hun belangrijkste prioriteiten en rode lijnen voor het MFK. Een deel van de lidstaten, waaronder Nederland, </w:t>
      </w:r>
      <w:r w:rsidRPr="00B72E6C" w:rsidR="00B72E6C">
        <w:rPr>
          <w:rFonts w:cs="Times New Roman"/>
          <w:lang w:val="nl-NL" w:eastAsia="ja-JP"/>
        </w:rPr>
        <w:t>toonde zich positief over de modernisering die met het NRP</w:t>
      </w:r>
      <w:r w:rsidR="00B72E6C">
        <w:rPr>
          <w:rFonts w:cs="Times New Roman"/>
          <w:lang w:val="nl-NL" w:eastAsia="ja-JP"/>
        </w:rPr>
        <w:t>P kan</w:t>
      </w:r>
      <w:r w:rsidRPr="00B72E6C" w:rsidR="00B72E6C">
        <w:rPr>
          <w:rFonts w:cs="Times New Roman"/>
          <w:lang w:val="nl-NL" w:eastAsia="ja-JP"/>
        </w:rPr>
        <w:t xml:space="preserve"> </w:t>
      </w:r>
      <w:r w:rsidR="00B72E6C">
        <w:rPr>
          <w:rFonts w:cs="Times New Roman"/>
          <w:lang w:val="nl-NL" w:eastAsia="ja-JP"/>
        </w:rPr>
        <w:t xml:space="preserve">worden bereikt. </w:t>
      </w:r>
      <w:r w:rsidR="004E2720">
        <w:rPr>
          <w:rFonts w:cs="Times New Roman"/>
          <w:lang w:val="nl-NL" w:eastAsia="ja-JP"/>
        </w:rPr>
        <w:t>Een ander deel van de lidstaten</w:t>
      </w:r>
      <w:r w:rsidR="00B72E6C">
        <w:rPr>
          <w:rFonts w:cs="Times New Roman"/>
          <w:lang w:val="nl-NL" w:eastAsia="ja-JP"/>
        </w:rPr>
        <w:t xml:space="preserve"> </w:t>
      </w:r>
      <w:r w:rsidR="00C16E81">
        <w:rPr>
          <w:rFonts w:cs="Times New Roman"/>
          <w:lang w:val="nl-NL" w:eastAsia="ja-JP"/>
        </w:rPr>
        <w:t>stelden</w:t>
      </w:r>
      <w:r w:rsidRPr="00B72E6C" w:rsidR="00B72E6C">
        <w:rPr>
          <w:rFonts w:cs="Times New Roman"/>
          <w:lang w:val="nl-NL" w:eastAsia="ja-JP"/>
        </w:rPr>
        <w:t xml:space="preserve"> dat het belang van landbouw, visserij en cohesiebeleid in het Commissievoorstel onvoldoende is geborgd. </w:t>
      </w:r>
      <w:r w:rsidR="00B72E6C">
        <w:rPr>
          <w:rFonts w:cs="Times New Roman"/>
          <w:lang w:val="nl-NL" w:eastAsia="ja-JP"/>
        </w:rPr>
        <w:t xml:space="preserve">Er was brede steun voor </w:t>
      </w:r>
      <w:r w:rsidRPr="00B72E6C" w:rsidR="00B72E6C">
        <w:rPr>
          <w:rFonts w:cs="Times New Roman"/>
          <w:lang w:val="nl-NL" w:eastAsia="ja-JP"/>
        </w:rPr>
        <w:t>een voldoende sterke rol van de regio</w:t>
      </w:r>
      <w:r w:rsidR="00B72E6C">
        <w:rPr>
          <w:rFonts w:cs="Times New Roman"/>
          <w:lang w:val="nl-NL" w:eastAsia="ja-JP"/>
        </w:rPr>
        <w:t>’</w:t>
      </w:r>
      <w:r w:rsidRPr="00B72E6C" w:rsidR="00B72E6C">
        <w:rPr>
          <w:rFonts w:cs="Times New Roman"/>
          <w:lang w:val="nl-NL" w:eastAsia="ja-JP"/>
        </w:rPr>
        <w:t>s</w:t>
      </w:r>
      <w:r w:rsidR="00B72E6C">
        <w:rPr>
          <w:rFonts w:cs="Times New Roman"/>
          <w:lang w:val="nl-NL" w:eastAsia="ja-JP"/>
        </w:rPr>
        <w:t xml:space="preserve"> in het NRPP. </w:t>
      </w:r>
      <w:r w:rsidR="004066D8">
        <w:rPr>
          <w:rFonts w:cs="Times New Roman"/>
          <w:lang w:val="nl-NL" w:eastAsia="ja-JP"/>
        </w:rPr>
        <w:t>De lidstaten waren verdeeld over de verhoogde flexibiliteit binnen het NRPP</w:t>
      </w:r>
      <w:r w:rsidR="004E2720">
        <w:rPr>
          <w:rFonts w:cs="Times New Roman"/>
          <w:lang w:val="nl-NL" w:eastAsia="ja-JP"/>
        </w:rPr>
        <w:t>, waar Nederland positief over is</w:t>
      </w:r>
      <w:r w:rsidR="004066D8">
        <w:rPr>
          <w:rFonts w:cs="Times New Roman"/>
          <w:lang w:val="nl-NL" w:eastAsia="ja-JP"/>
        </w:rPr>
        <w:t>. Een deel is van mening dat het percentage van 25% flexibiliteit omlaag moet, waar andere</w:t>
      </w:r>
      <w:r w:rsidR="00520C5D">
        <w:rPr>
          <w:rFonts w:cs="Times New Roman"/>
          <w:lang w:val="nl-NL" w:eastAsia="ja-JP"/>
        </w:rPr>
        <w:t>n</w:t>
      </w:r>
      <w:r w:rsidR="004066D8">
        <w:rPr>
          <w:rFonts w:cs="Times New Roman"/>
          <w:lang w:val="nl-NL" w:eastAsia="ja-JP"/>
        </w:rPr>
        <w:t xml:space="preserve"> juist positief zijn over meer flexib</w:t>
      </w:r>
      <w:r w:rsidR="007A27E2">
        <w:rPr>
          <w:rFonts w:cs="Times New Roman"/>
          <w:lang w:val="nl-NL" w:eastAsia="ja-JP"/>
        </w:rPr>
        <w:t>iliteit</w:t>
      </w:r>
      <w:r w:rsidR="004066D8">
        <w:rPr>
          <w:rFonts w:cs="Times New Roman"/>
          <w:lang w:val="nl-NL" w:eastAsia="ja-JP"/>
        </w:rPr>
        <w:t xml:space="preserve"> om in te </w:t>
      </w:r>
      <w:r w:rsidR="007A27E2">
        <w:rPr>
          <w:rFonts w:cs="Times New Roman"/>
          <w:lang w:val="nl-NL" w:eastAsia="ja-JP"/>
        </w:rPr>
        <w:t xml:space="preserve">kunnen </w:t>
      </w:r>
      <w:r w:rsidR="004066D8">
        <w:rPr>
          <w:rFonts w:cs="Times New Roman"/>
          <w:lang w:val="nl-NL" w:eastAsia="ja-JP"/>
        </w:rPr>
        <w:t xml:space="preserve">springen op onvoorziene omstandigheden. </w:t>
      </w:r>
      <w:r w:rsidR="00FE05EA">
        <w:rPr>
          <w:rFonts w:cs="Times New Roman"/>
          <w:lang w:val="nl-NL" w:eastAsia="ja-JP"/>
        </w:rPr>
        <w:t>Nederland sprak zich uit tegen</w:t>
      </w:r>
      <w:r w:rsidRPr="00FE05EA" w:rsidR="00FE05EA">
        <w:rPr>
          <w:rFonts w:cs="Times New Roman"/>
          <w:lang w:val="nl-NL" w:eastAsia="ja-JP"/>
        </w:rPr>
        <w:t xml:space="preserve"> gemeenschappelijke schuld voor het verstrekken van NRP</w:t>
      </w:r>
      <w:r w:rsidR="00FE05EA">
        <w:rPr>
          <w:rFonts w:cs="Times New Roman"/>
          <w:lang w:val="nl-NL" w:eastAsia="ja-JP"/>
        </w:rPr>
        <w:t>P</w:t>
      </w:r>
      <w:r w:rsidRPr="00FE05EA" w:rsidR="00FE05EA">
        <w:rPr>
          <w:rFonts w:cs="Times New Roman"/>
          <w:lang w:val="nl-NL" w:eastAsia="ja-JP"/>
        </w:rPr>
        <w:t>-leningen aan lidstaten (</w:t>
      </w:r>
      <w:proofErr w:type="spellStart"/>
      <w:r w:rsidRPr="00645136" w:rsidR="00FE05EA">
        <w:rPr>
          <w:rFonts w:cs="Times New Roman"/>
          <w:i/>
          <w:lang w:val="nl-NL" w:eastAsia="ja-JP"/>
        </w:rPr>
        <w:t>Catalyst</w:t>
      </w:r>
      <w:proofErr w:type="spellEnd"/>
      <w:r w:rsidRPr="00645136" w:rsidR="00FE05EA">
        <w:rPr>
          <w:rFonts w:cs="Times New Roman"/>
          <w:i/>
          <w:lang w:val="nl-NL" w:eastAsia="ja-JP"/>
        </w:rPr>
        <w:t xml:space="preserve"> Europe</w:t>
      </w:r>
      <w:r w:rsidRPr="00FE05EA" w:rsidR="00FE05EA">
        <w:rPr>
          <w:rFonts w:cs="Times New Roman"/>
          <w:lang w:val="nl-NL" w:eastAsia="ja-JP"/>
        </w:rPr>
        <w:t>).</w:t>
      </w:r>
      <w:r w:rsidR="00FE05EA">
        <w:rPr>
          <w:rFonts w:cs="Times New Roman"/>
          <w:lang w:val="nl-NL" w:eastAsia="ja-JP"/>
        </w:rPr>
        <w:t xml:space="preserve"> Daarnaast benadrukte Nederland het belang van het versterken van de recht</w:t>
      </w:r>
      <w:r w:rsidR="001A799A">
        <w:rPr>
          <w:rFonts w:cs="Times New Roman"/>
          <w:lang w:val="nl-NL" w:eastAsia="ja-JP"/>
        </w:rPr>
        <w:t>s</w:t>
      </w:r>
      <w:r w:rsidR="00FE05EA">
        <w:rPr>
          <w:rFonts w:cs="Times New Roman"/>
          <w:lang w:val="nl-NL" w:eastAsia="ja-JP"/>
        </w:rPr>
        <w:t>staat</w:t>
      </w:r>
      <w:r w:rsidR="00430457">
        <w:rPr>
          <w:rFonts w:cs="Times New Roman"/>
          <w:lang w:val="nl-NL" w:eastAsia="ja-JP"/>
        </w:rPr>
        <w:t>s</w:t>
      </w:r>
      <w:r w:rsidR="00FE05EA">
        <w:rPr>
          <w:rFonts w:cs="Times New Roman"/>
          <w:lang w:val="nl-NL" w:eastAsia="ja-JP"/>
        </w:rPr>
        <w:t xml:space="preserve">conditionaliteiten.  </w:t>
      </w:r>
    </w:p>
    <w:p w:rsidRPr="00D12244" w:rsidR="00A81C4F" w:rsidP="01A50556" w:rsidRDefault="01A50556" w14:paraId="0387B650" w14:textId="5C0ECD9C">
      <w:pPr>
        <w:rPr>
          <w:rFonts w:cs="Times New Roman"/>
          <w:b/>
          <w:lang w:val="nl-NL" w:eastAsia="ja-JP"/>
        </w:rPr>
      </w:pPr>
      <w:r w:rsidRPr="01A50556">
        <w:rPr>
          <w:b/>
          <w:bCs/>
          <w:lang w:val="nl-NL" w:eastAsia="ja-JP"/>
        </w:rPr>
        <w:t>EU-V</w:t>
      </w:r>
      <w:r w:rsidR="00812AB2">
        <w:rPr>
          <w:b/>
          <w:bCs/>
          <w:lang w:val="nl-NL" w:eastAsia="ja-JP"/>
        </w:rPr>
        <w:t>erenigd Koninkrijk (VK)</w:t>
      </w:r>
      <w:r w:rsidRPr="01A50556">
        <w:rPr>
          <w:b/>
          <w:bCs/>
          <w:lang w:val="nl-NL" w:eastAsia="ja-JP"/>
        </w:rPr>
        <w:t xml:space="preserve"> betrekkingen</w:t>
      </w:r>
      <w:r w:rsidR="00D12244">
        <w:rPr>
          <w:rFonts w:cs="Times New Roman"/>
          <w:b/>
          <w:bCs/>
          <w:lang w:val="nl-NL" w:eastAsia="ja-JP"/>
        </w:rPr>
        <w:br/>
      </w:r>
      <w:r w:rsidR="00812AB2">
        <w:rPr>
          <w:rFonts w:cs="Times New Roman"/>
          <w:lang w:val="nl-NL" w:eastAsia="ja-JP"/>
        </w:rPr>
        <w:t xml:space="preserve">De Commissie informeerde de Raad over de voortgang </w:t>
      </w:r>
      <w:r w:rsidR="00996E43">
        <w:rPr>
          <w:rFonts w:cs="Times New Roman"/>
          <w:lang w:val="nl-NL" w:eastAsia="ja-JP"/>
        </w:rPr>
        <w:t>van</w:t>
      </w:r>
      <w:r w:rsidR="00812AB2">
        <w:rPr>
          <w:rFonts w:cs="Times New Roman"/>
          <w:lang w:val="nl-NL" w:eastAsia="ja-JP"/>
        </w:rPr>
        <w:t xml:space="preserve"> de implementatie van bestaande akkoorden tussen de EU en het VK. De Commissie schetste een positief algemeen beeld met enkele </w:t>
      </w:r>
      <w:r w:rsidR="00996E43">
        <w:rPr>
          <w:rFonts w:cs="Times New Roman"/>
          <w:lang w:val="nl-NL" w:eastAsia="ja-JP"/>
        </w:rPr>
        <w:t>specifieke aandachtspunten</w:t>
      </w:r>
      <w:r w:rsidR="00812AB2">
        <w:rPr>
          <w:rFonts w:cs="Times New Roman"/>
          <w:lang w:val="nl-NL" w:eastAsia="ja-JP"/>
        </w:rPr>
        <w:t xml:space="preserve">. Daarnaast lichtte de Commissie de opvolging van het </w:t>
      </w:r>
      <w:r w:rsidRPr="003246ED" w:rsidR="00812AB2">
        <w:rPr>
          <w:rFonts w:cs="Times New Roman"/>
          <w:i/>
          <w:iCs/>
          <w:lang w:val="nl-NL" w:eastAsia="ja-JP"/>
        </w:rPr>
        <w:t>Common Understanding</w:t>
      </w:r>
      <w:r w:rsidR="00996E43">
        <w:rPr>
          <w:rFonts w:cs="Times New Roman"/>
          <w:lang w:val="nl-NL" w:eastAsia="ja-JP"/>
        </w:rPr>
        <w:t xml:space="preserve"> toe, een verklaring met gebieden voor nauwere samenwerking</w:t>
      </w:r>
      <w:r w:rsidR="00812AB2">
        <w:rPr>
          <w:rFonts w:cs="Times New Roman"/>
          <w:lang w:val="nl-NL" w:eastAsia="ja-JP"/>
        </w:rPr>
        <w:t xml:space="preserve"> van de Top van 19 mei </w:t>
      </w:r>
      <w:r w:rsidR="00B96AD7">
        <w:rPr>
          <w:rFonts w:cs="Times New Roman"/>
          <w:lang w:val="nl-NL" w:eastAsia="ja-JP"/>
        </w:rPr>
        <w:t>jl.</w:t>
      </w:r>
      <w:r w:rsidR="00540DBF">
        <w:rPr>
          <w:rStyle w:val="FootnoteReference"/>
          <w:rFonts w:cs="Times New Roman"/>
          <w:lang w:val="nl-NL" w:eastAsia="ja-JP"/>
        </w:rPr>
        <w:footnoteReference w:id="3"/>
      </w:r>
      <w:r w:rsidR="00812AB2">
        <w:rPr>
          <w:rFonts w:cs="Times New Roman"/>
          <w:lang w:val="nl-NL" w:eastAsia="ja-JP"/>
        </w:rPr>
        <w:t xml:space="preserve">. Over een reeks onderwerpen </w:t>
      </w:r>
      <w:r w:rsidR="00EB7FE1">
        <w:rPr>
          <w:rFonts w:cs="Times New Roman"/>
          <w:lang w:val="nl-NL" w:eastAsia="ja-JP"/>
        </w:rPr>
        <w:t>voeren de Commissie en het VK</w:t>
      </w:r>
      <w:r w:rsidR="00812AB2">
        <w:rPr>
          <w:rFonts w:cs="Times New Roman"/>
          <w:lang w:val="nl-NL" w:eastAsia="ja-JP"/>
        </w:rPr>
        <w:t xml:space="preserve"> verkennende gesprekken </w:t>
      </w:r>
      <w:r w:rsidR="00EB7FE1">
        <w:rPr>
          <w:rFonts w:cs="Times New Roman"/>
          <w:lang w:val="nl-NL" w:eastAsia="ja-JP"/>
        </w:rPr>
        <w:t xml:space="preserve">of </w:t>
      </w:r>
      <w:r w:rsidR="00EB7FE1">
        <w:rPr>
          <w:rFonts w:cs="Times New Roman"/>
          <w:lang w:val="nl-NL" w:eastAsia="ja-JP"/>
        </w:rPr>
        <w:lastRenderedPageBreak/>
        <w:t>onderhandelen zij</w:t>
      </w:r>
      <w:r w:rsidR="00812AB2">
        <w:rPr>
          <w:rFonts w:cs="Times New Roman"/>
          <w:lang w:val="nl-NL" w:eastAsia="ja-JP"/>
        </w:rPr>
        <w:t xml:space="preserve">. Specifiek werd stilgestaan bij </w:t>
      </w:r>
      <w:r w:rsidR="002E2831">
        <w:rPr>
          <w:rFonts w:cs="Times New Roman"/>
          <w:lang w:val="nl-NL" w:eastAsia="ja-JP"/>
        </w:rPr>
        <w:t xml:space="preserve">de aanname van het </w:t>
      </w:r>
      <w:r w:rsidR="00F25136">
        <w:rPr>
          <w:rFonts w:cs="Times New Roman"/>
          <w:lang w:val="nl-NL" w:eastAsia="ja-JP"/>
        </w:rPr>
        <w:t>Raads</w:t>
      </w:r>
      <w:r w:rsidR="00812AB2">
        <w:rPr>
          <w:rFonts w:cs="Times New Roman"/>
          <w:lang w:val="nl-NL" w:eastAsia="ja-JP"/>
        </w:rPr>
        <w:t>mandaat</w:t>
      </w:r>
      <w:r w:rsidR="002E2831">
        <w:rPr>
          <w:rFonts w:cs="Times New Roman"/>
          <w:lang w:val="nl-NL" w:eastAsia="ja-JP"/>
        </w:rPr>
        <w:t xml:space="preserve"> </w:t>
      </w:r>
      <w:r w:rsidR="00812AB2">
        <w:rPr>
          <w:rFonts w:cs="Times New Roman"/>
          <w:lang w:val="nl-NL" w:eastAsia="ja-JP"/>
        </w:rPr>
        <w:t xml:space="preserve">voor het starten van onderhandelingen </w:t>
      </w:r>
      <w:r w:rsidR="00D95553">
        <w:rPr>
          <w:rFonts w:cs="Times New Roman"/>
          <w:lang w:val="nl-NL" w:eastAsia="ja-JP"/>
        </w:rPr>
        <w:t xml:space="preserve">met het VK </w:t>
      </w:r>
      <w:r w:rsidR="00812AB2">
        <w:rPr>
          <w:rFonts w:cs="Times New Roman"/>
          <w:lang w:val="nl-NL" w:eastAsia="ja-JP"/>
        </w:rPr>
        <w:t xml:space="preserve">over een sanitair en fytosanitair gebied (SPS) en het koppelen van emissiehandelssystemen. </w:t>
      </w:r>
      <w:r w:rsidR="006D1D3C">
        <w:rPr>
          <w:rFonts w:cs="Times New Roman"/>
          <w:lang w:val="nl-NL" w:eastAsia="ja-JP"/>
        </w:rPr>
        <w:t>De</w:t>
      </w:r>
      <w:r w:rsidR="00D95553">
        <w:rPr>
          <w:rFonts w:cs="Times New Roman"/>
          <w:lang w:val="nl-NL" w:eastAsia="ja-JP"/>
        </w:rPr>
        <w:t>ze</w:t>
      </w:r>
      <w:r w:rsidR="006D1D3C">
        <w:rPr>
          <w:rFonts w:cs="Times New Roman"/>
          <w:lang w:val="nl-NL" w:eastAsia="ja-JP"/>
        </w:rPr>
        <w:t xml:space="preserve"> onderhandelingen </w:t>
      </w:r>
      <w:r w:rsidR="009714BA">
        <w:rPr>
          <w:rFonts w:cs="Times New Roman"/>
          <w:lang w:val="nl-NL" w:eastAsia="ja-JP"/>
        </w:rPr>
        <w:t>start</w:t>
      </w:r>
      <w:r w:rsidR="006D1D3C">
        <w:rPr>
          <w:rFonts w:cs="Times New Roman"/>
          <w:lang w:val="nl-NL" w:eastAsia="ja-JP"/>
        </w:rPr>
        <w:t>t</w:t>
      </w:r>
      <w:r w:rsidR="009714BA">
        <w:rPr>
          <w:rFonts w:cs="Times New Roman"/>
          <w:lang w:val="nl-NL" w:eastAsia="ja-JP"/>
        </w:rPr>
        <w:t xml:space="preserve">en </w:t>
      </w:r>
      <w:r w:rsidR="00B204FE">
        <w:rPr>
          <w:rFonts w:cs="Times New Roman"/>
          <w:lang w:val="nl-NL" w:eastAsia="ja-JP"/>
        </w:rPr>
        <w:t>in de week van 17 november</w:t>
      </w:r>
      <w:r w:rsidR="009714BA">
        <w:rPr>
          <w:rFonts w:cs="Times New Roman"/>
          <w:lang w:val="nl-NL" w:eastAsia="ja-JP"/>
        </w:rPr>
        <w:t xml:space="preserve">. </w:t>
      </w:r>
    </w:p>
    <w:p w:rsidR="002E2831" w:rsidP="01A50556" w:rsidRDefault="005F3AB1" w14:paraId="02BB35A7" w14:textId="6C05578F">
      <w:pPr>
        <w:rPr>
          <w:rFonts w:cs="Times New Roman"/>
          <w:lang w:val="nl-NL" w:eastAsia="ja-JP"/>
        </w:rPr>
      </w:pPr>
      <w:r w:rsidRPr="00063568">
        <w:rPr>
          <w:rFonts w:cs="Times New Roman"/>
          <w:lang w:val="nl-NL" w:eastAsia="ja-JP"/>
        </w:rPr>
        <w:t>Binnen de Raad bestond eensgezindheid over het blijvende</w:t>
      </w:r>
      <w:r>
        <w:rPr>
          <w:rFonts w:cs="Times New Roman"/>
          <w:lang w:val="nl-NL" w:eastAsia="ja-JP"/>
        </w:rPr>
        <w:t xml:space="preserve"> belang van de </w:t>
      </w:r>
      <w:r w:rsidR="00F05D85">
        <w:rPr>
          <w:rFonts w:cs="Times New Roman"/>
          <w:lang w:val="nl-NL" w:eastAsia="ja-JP"/>
        </w:rPr>
        <w:t>post-</w:t>
      </w:r>
      <w:proofErr w:type="spellStart"/>
      <w:r w:rsidR="003E3D23">
        <w:rPr>
          <w:rFonts w:cs="Times New Roman"/>
          <w:lang w:val="nl-NL" w:eastAsia="ja-JP"/>
        </w:rPr>
        <w:t>B</w:t>
      </w:r>
      <w:r w:rsidR="00F05D85">
        <w:rPr>
          <w:rFonts w:cs="Times New Roman"/>
          <w:lang w:val="nl-NL" w:eastAsia="ja-JP"/>
        </w:rPr>
        <w:t>rexit</w:t>
      </w:r>
      <w:proofErr w:type="spellEnd"/>
      <w:r w:rsidR="00F05D85">
        <w:rPr>
          <w:rFonts w:cs="Times New Roman"/>
          <w:lang w:val="nl-NL" w:eastAsia="ja-JP"/>
        </w:rPr>
        <w:t xml:space="preserve"> </w:t>
      </w:r>
      <w:r>
        <w:rPr>
          <w:rFonts w:cs="Times New Roman"/>
          <w:lang w:val="nl-NL" w:eastAsia="ja-JP"/>
        </w:rPr>
        <w:t>ER-principes voor de EU-VK relatie en EU-eenheid</w:t>
      </w:r>
      <w:r w:rsidR="00183ABE">
        <w:rPr>
          <w:rStyle w:val="FootnoteReference"/>
          <w:rFonts w:cs="Times New Roman"/>
          <w:lang w:val="nl-NL" w:eastAsia="ja-JP"/>
        </w:rPr>
        <w:footnoteReference w:id="4"/>
      </w:r>
      <w:r>
        <w:rPr>
          <w:rFonts w:cs="Times New Roman"/>
          <w:lang w:val="nl-NL" w:eastAsia="ja-JP"/>
        </w:rPr>
        <w:t xml:space="preserve">. </w:t>
      </w:r>
      <w:r w:rsidR="006E4276">
        <w:rPr>
          <w:rFonts w:cs="Times New Roman"/>
          <w:lang w:val="nl-NL" w:eastAsia="ja-JP"/>
        </w:rPr>
        <w:t xml:space="preserve">Onderdeel </w:t>
      </w:r>
      <w:r w:rsidR="002F7437">
        <w:rPr>
          <w:rFonts w:cs="Times New Roman"/>
          <w:lang w:val="nl-NL" w:eastAsia="ja-JP"/>
        </w:rPr>
        <w:t xml:space="preserve">van </w:t>
      </w:r>
      <w:r w:rsidR="006E4276">
        <w:rPr>
          <w:rFonts w:cs="Times New Roman"/>
          <w:lang w:val="nl-NL" w:eastAsia="ja-JP"/>
        </w:rPr>
        <w:t xml:space="preserve">deze principes is een </w:t>
      </w:r>
      <w:r w:rsidR="00ED4142">
        <w:rPr>
          <w:rFonts w:cs="Times New Roman"/>
          <w:lang w:val="nl-NL" w:eastAsia="ja-JP"/>
        </w:rPr>
        <w:t>balans tussen rechten en plichten</w:t>
      </w:r>
      <w:r w:rsidR="00BD76D1">
        <w:rPr>
          <w:rFonts w:cs="Times New Roman"/>
          <w:lang w:val="nl-NL" w:eastAsia="ja-JP"/>
        </w:rPr>
        <w:t>. I</w:t>
      </w:r>
      <w:r w:rsidR="006E4276">
        <w:rPr>
          <w:rFonts w:cs="Times New Roman"/>
          <w:lang w:val="nl-NL" w:eastAsia="ja-JP"/>
        </w:rPr>
        <w:t>n dit kader ging vanuit enkele lidstaten aandacht uit naar financiële bijdragen van het VK.</w:t>
      </w:r>
      <w:r>
        <w:rPr>
          <w:rFonts w:cs="Times New Roman"/>
          <w:lang w:val="nl-NL" w:eastAsia="ja-JP"/>
        </w:rPr>
        <w:t xml:space="preserve">  </w:t>
      </w:r>
      <w:r w:rsidRPr="009714BA" w:rsidR="009714BA">
        <w:rPr>
          <w:rFonts w:cs="Times New Roman"/>
          <w:lang w:val="nl-NL" w:eastAsia="ja-JP"/>
        </w:rPr>
        <w:t xml:space="preserve">Lidstaten </w:t>
      </w:r>
      <w:r w:rsidR="00310888">
        <w:rPr>
          <w:rFonts w:cs="Times New Roman"/>
          <w:lang w:val="nl-NL" w:eastAsia="ja-JP"/>
        </w:rPr>
        <w:t>verwelkomden</w:t>
      </w:r>
      <w:r w:rsidR="00217242">
        <w:rPr>
          <w:rFonts w:cs="Times New Roman"/>
          <w:lang w:val="nl-NL" w:eastAsia="ja-JP"/>
        </w:rPr>
        <w:t xml:space="preserve"> ook</w:t>
      </w:r>
      <w:r w:rsidR="00310888">
        <w:rPr>
          <w:rFonts w:cs="Times New Roman"/>
          <w:lang w:val="nl-NL" w:eastAsia="ja-JP"/>
        </w:rPr>
        <w:t xml:space="preserve"> </w:t>
      </w:r>
      <w:r w:rsidR="00CA734B">
        <w:rPr>
          <w:rFonts w:cs="Times New Roman"/>
          <w:lang w:val="nl-NL" w:eastAsia="ja-JP"/>
        </w:rPr>
        <w:t xml:space="preserve">eensgezind </w:t>
      </w:r>
      <w:r w:rsidR="00310888">
        <w:rPr>
          <w:rFonts w:cs="Times New Roman"/>
          <w:lang w:val="nl-NL" w:eastAsia="ja-JP"/>
        </w:rPr>
        <w:t xml:space="preserve">de </w:t>
      </w:r>
      <w:r w:rsidR="009714BA">
        <w:rPr>
          <w:rFonts w:cs="Times New Roman"/>
          <w:lang w:val="nl-NL" w:eastAsia="ja-JP"/>
        </w:rPr>
        <w:t xml:space="preserve">opvolging van de </w:t>
      </w:r>
      <w:r w:rsidR="00F05D85">
        <w:rPr>
          <w:rFonts w:cs="Times New Roman"/>
          <w:lang w:val="nl-NL" w:eastAsia="ja-JP"/>
        </w:rPr>
        <w:t xml:space="preserve">EU-VK </w:t>
      </w:r>
      <w:r w:rsidR="00D95553">
        <w:rPr>
          <w:rFonts w:cs="Times New Roman"/>
          <w:lang w:val="nl-NL" w:eastAsia="ja-JP"/>
        </w:rPr>
        <w:t>T</w:t>
      </w:r>
      <w:r w:rsidR="009714BA">
        <w:rPr>
          <w:rFonts w:cs="Times New Roman"/>
          <w:lang w:val="nl-NL" w:eastAsia="ja-JP"/>
        </w:rPr>
        <w:t>op</w:t>
      </w:r>
      <w:r w:rsidR="00310888">
        <w:rPr>
          <w:rFonts w:cs="Times New Roman"/>
          <w:lang w:val="nl-NL" w:eastAsia="ja-JP"/>
        </w:rPr>
        <w:t xml:space="preserve"> en legden hierbij verschillende accenten</w:t>
      </w:r>
      <w:r w:rsidR="009714BA">
        <w:rPr>
          <w:rFonts w:cs="Times New Roman"/>
          <w:lang w:val="nl-NL" w:eastAsia="ja-JP"/>
        </w:rPr>
        <w:t>. Enkele lidstaten vroeg</w:t>
      </w:r>
      <w:r w:rsidR="001C7D31">
        <w:rPr>
          <w:rFonts w:cs="Times New Roman"/>
          <w:lang w:val="nl-NL" w:eastAsia="ja-JP"/>
        </w:rPr>
        <w:t>en</w:t>
      </w:r>
      <w:r w:rsidR="009714BA">
        <w:rPr>
          <w:rFonts w:cs="Times New Roman"/>
          <w:lang w:val="nl-NL" w:eastAsia="ja-JP"/>
        </w:rPr>
        <w:t xml:space="preserve"> bijvoorbeeld </w:t>
      </w:r>
      <w:r w:rsidR="00964517">
        <w:rPr>
          <w:rFonts w:cs="Times New Roman"/>
          <w:lang w:val="nl-NL" w:eastAsia="ja-JP"/>
        </w:rPr>
        <w:t xml:space="preserve">aandacht voor </w:t>
      </w:r>
      <w:proofErr w:type="spellStart"/>
      <w:r w:rsidRPr="00EA3263" w:rsidR="00964517">
        <w:rPr>
          <w:rFonts w:cs="Times New Roman"/>
          <w:i/>
          <w:iCs/>
          <w:lang w:val="nl-NL" w:eastAsia="ja-JP"/>
        </w:rPr>
        <w:t>people</w:t>
      </w:r>
      <w:proofErr w:type="spellEnd"/>
      <w:r w:rsidRPr="00EA3263" w:rsidR="00964517">
        <w:rPr>
          <w:rFonts w:cs="Times New Roman"/>
          <w:i/>
          <w:iCs/>
          <w:lang w:val="nl-NL" w:eastAsia="ja-JP"/>
        </w:rPr>
        <w:t>-to-</w:t>
      </w:r>
      <w:proofErr w:type="spellStart"/>
      <w:r w:rsidRPr="00EA3263" w:rsidR="00964517">
        <w:rPr>
          <w:rFonts w:cs="Times New Roman"/>
          <w:i/>
          <w:iCs/>
          <w:lang w:val="nl-NL" w:eastAsia="ja-JP"/>
        </w:rPr>
        <w:t>people</w:t>
      </w:r>
      <w:proofErr w:type="spellEnd"/>
      <w:r w:rsidR="00964517">
        <w:rPr>
          <w:rFonts w:cs="Times New Roman"/>
          <w:lang w:val="nl-NL" w:eastAsia="ja-JP"/>
        </w:rPr>
        <w:t xml:space="preserve"> contacten, </w:t>
      </w:r>
      <w:r w:rsidR="001F4F39">
        <w:rPr>
          <w:rFonts w:cs="Times New Roman"/>
          <w:lang w:val="nl-NL" w:eastAsia="ja-JP"/>
        </w:rPr>
        <w:t>door middel van</w:t>
      </w:r>
      <w:r w:rsidR="009714BA">
        <w:rPr>
          <w:rFonts w:cs="Times New Roman"/>
          <w:lang w:val="nl-NL" w:eastAsia="ja-JP"/>
        </w:rPr>
        <w:t xml:space="preserve"> voortgang in de onderhandelingen over jeugdmobiliteit</w:t>
      </w:r>
      <w:r w:rsidR="003B7281">
        <w:rPr>
          <w:rFonts w:cs="Times New Roman"/>
          <w:lang w:val="nl-NL" w:eastAsia="ja-JP"/>
        </w:rPr>
        <w:t xml:space="preserve"> en</w:t>
      </w:r>
      <w:r w:rsidR="009714BA">
        <w:rPr>
          <w:rFonts w:cs="Times New Roman"/>
          <w:lang w:val="nl-NL" w:eastAsia="ja-JP"/>
        </w:rPr>
        <w:t xml:space="preserve"> deelname van het VK aan Erasmus+</w:t>
      </w:r>
      <w:r w:rsidR="001F4F39">
        <w:rPr>
          <w:rFonts w:cs="Times New Roman"/>
          <w:lang w:val="nl-NL" w:eastAsia="ja-JP"/>
        </w:rPr>
        <w:t>. Hierover maakten</w:t>
      </w:r>
      <w:r w:rsidR="009714BA">
        <w:rPr>
          <w:rFonts w:cs="Times New Roman"/>
          <w:lang w:val="nl-NL" w:eastAsia="ja-JP"/>
        </w:rPr>
        <w:t xml:space="preserve"> enkele lidsta</w:t>
      </w:r>
      <w:r w:rsidR="001F4F39">
        <w:rPr>
          <w:rFonts w:cs="Times New Roman"/>
          <w:lang w:val="nl-NL" w:eastAsia="ja-JP"/>
        </w:rPr>
        <w:t>ten ook kritische opmerkingen, zoals</w:t>
      </w:r>
      <w:r w:rsidR="00D35E4D">
        <w:rPr>
          <w:rFonts w:cs="Times New Roman"/>
          <w:lang w:val="nl-NL" w:eastAsia="ja-JP"/>
        </w:rPr>
        <w:t xml:space="preserve"> dat</w:t>
      </w:r>
      <w:r w:rsidR="001F4F39">
        <w:rPr>
          <w:rFonts w:cs="Times New Roman"/>
          <w:lang w:val="nl-NL" w:eastAsia="ja-JP"/>
        </w:rPr>
        <w:t xml:space="preserve"> deelname </w:t>
      </w:r>
      <w:r w:rsidR="009714BA">
        <w:rPr>
          <w:rFonts w:cs="Times New Roman"/>
          <w:lang w:val="nl-NL" w:eastAsia="ja-JP"/>
        </w:rPr>
        <w:t xml:space="preserve">niet tegen elke prijs </w:t>
      </w:r>
      <w:r w:rsidR="00D35E4D">
        <w:rPr>
          <w:rFonts w:cs="Times New Roman"/>
          <w:lang w:val="nl-NL" w:eastAsia="ja-JP"/>
        </w:rPr>
        <w:t>wordt</w:t>
      </w:r>
      <w:r w:rsidR="009714BA">
        <w:rPr>
          <w:rFonts w:cs="Times New Roman"/>
          <w:lang w:val="nl-NL" w:eastAsia="ja-JP"/>
        </w:rPr>
        <w:t xml:space="preserve"> verwelkom</w:t>
      </w:r>
      <w:r w:rsidR="00D35E4D">
        <w:rPr>
          <w:rFonts w:cs="Times New Roman"/>
          <w:lang w:val="nl-NL" w:eastAsia="ja-JP"/>
        </w:rPr>
        <w:t>d</w:t>
      </w:r>
      <w:r w:rsidR="009714BA">
        <w:rPr>
          <w:rFonts w:cs="Times New Roman"/>
          <w:lang w:val="nl-NL" w:eastAsia="ja-JP"/>
        </w:rPr>
        <w:t>.</w:t>
      </w:r>
      <w:r w:rsidR="00452718">
        <w:rPr>
          <w:rFonts w:cs="Times New Roman"/>
          <w:lang w:val="nl-NL" w:eastAsia="ja-JP"/>
        </w:rPr>
        <w:t xml:space="preserve"> Enkele lidstaten </w:t>
      </w:r>
      <w:r w:rsidRPr="00063568" w:rsidR="00063568">
        <w:rPr>
          <w:rFonts w:cs="Times New Roman"/>
          <w:lang w:val="nl-NL" w:eastAsia="ja-JP"/>
        </w:rPr>
        <w:t>benadrukten</w:t>
      </w:r>
      <w:r w:rsidR="00452718">
        <w:rPr>
          <w:rFonts w:cs="Times New Roman"/>
          <w:lang w:val="nl-NL" w:eastAsia="ja-JP"/>
        </w:rPr>
        <w:t xml:space="preserve"> de nauwe samenwerking op veiligheid</w:t>
      </w:r>
      <w:r w:rsidR="00832CC2">
        <w:rPr>
          <w:rFonts w:cs="Times New Roman"/>
          <w:lang w:val="nl-NL" w:eastAsia="ja-JP"/>
        </w:rPr>
        <w:t>s</w:t>
      </w:r>
      <w:r w:rsidR="00452718">
        <w:rPr>
          <w:rFonts w:cs="Times New Roman"/>
          <w:lang w:val="nl-NL" w:eastAsia="ja-JP"/>
        </w:rPr>
        <w:t>- en defensieterreinen</w:t>
      </w:r>
      <w:r w:rsidRPr="00063568" w:rsidR="00063568">
        <w:rPr>
          <w:rFonts w:cs="Times New Roman"/>
          <w:lang w:val="nl-NL" w:eastAsia="ja-JP"/>
        </w:rPr>
        <w:t>.</w:t>
      </w:r>
      <w:r w:rsidR="00452718">
        <w:rPr>
          <w:rFonts w:cs="Times New Roman"/>
          <w:lang w:val="nl-NL" w:eastAsia="ja-JP"/>
        </w:rPr>
        <w:t xml:space="preserve"> Zij vroegen naar de</w:t>
      </w:r>
      <w:r w:rsidR="002573DF">
        <w:rPr>
          <w:rFonts w:cs="Times New Roman"/>
          <w:lang w:val="nl-NL" w:eastAsia="ja-JP"/>
        </w:rPr>
        <w:t xml:space="preserve"> status van</w:t>
      </w:r>
      <w:r w:rsidR="00452718">
        <w:rPr>
          <w:rFonts w:cs="Times New Roman"/>
          <w:lang w:val="nl-NL" w:eastAsia="ja-JP"/>
        </w:rPr>
        <w:t xml:space="preserve"> onderhandelingen over een overeenkomst voor deelname </w:t>
      </w:r>
      <w:r w:rsidR="001C7D31">
        <w:rPr>
          <w:rFonts w:cs="Times New Roman"/>
          <w:lang w:val="nl-NL" w:eastAsia="ja-JP"/>
        </w:rPr>
        <w:t xml:space="preserve">van het VK </w:t>
      </w:r>
      <w:r w:rsidR="00452718">
        <w:rPr>
          <w:rFonts w:cs="Times New Roman"/>
          <w:lang w:val="nl-NL" w:eastAsia="ja-JP"/>
        </w:rPr>
        <w:t xml:space="preserve">aan </w:t>
      </w:r>
      <w:r w:rsidRPr="005A0300" w:rsidR="00DB718A">
        <w:rPr>
          <w:rFonts w:cs="Times New Roman"/>
          <w:i/>
          <w:iCs/>
          <w:lang w:val="nl-NL" w:eastAsia="ja-JP"/>
        </w:rPr>
        <w:t>Security Action for Europese</w:t>
      </w:r>
      <w:r w:rsidR="00DB718A">
        <w:rPr>
          <w:rFonts w:cs="Times New Roman"/>
          <w:lang w:val="nl-NL" w:eastAsia="ja-JP"/>
        </w:rPr>
        <w:t xml:space="preserve"> (</w:t>
      </w:r>
      <w:r w:rsidR="00452718">
        <w:rPr>
          <w:rFonts w:cs="Times New Roman"/>
          <w:lang w:val="nl-NL" w:eastAsia="ja-JP"/>
        </w:rPr>
        <w:t>SAFE</w:t>
      </w:r>
      <w:r w:rsidR="00DB718A">
        <w:rPr>
          <w:rFonts w:cs="Times New Roman"/>
          <w:lang w:val="nl-NL" w:eastAsia="ja-JP"/>
        </w:rPr>
        <w:t>)</w:t>
      </w:r>
      <w:r w:rsidR="00452718">
        <w:rPr>
          <w:rFonts w:cs="Times New Roman"/>
          <w:lang w:val="nl-NL" w:eastAsia="ja-JP"/>
        </w:rPr>
        <w:t>.</w:t>
      </w:r>
      <w:r w:rsidR="00310888">
        <w:rPr>
          <w:rFonts w:cs="Times New Roman"/>
          <w:lang w:val="nl-NL" w:eastAsia="ja-JP"/>
        </w:rPr>
        <w:t xml:space="preserve"> Nederland </w:t>
      </w:r>
      <w:r w:rsidRPr="00063568" w:rsidR="00063568">
        <w:rPr>
          <w:rFonts w:cs="Times New Roman"/>
          <w:lang w:val="nl-NL" w:eastAsia="ja-JP"/>
        </w:rPr>
        <w:t xml:space="preserve">en </w:t>
      </w:r>
      <w:r w:rsidR="00310888">
        <w:rPr>
          <w:rFonts w:cs="Times New Roman"/>
          <w:lang w:val="nl-NL" w:eastAsia="ja-JP"/>
        </w:rPr>
        <w:t xml:space="preserve">enkele andere lidstaten </w:t>
      </w:r>
      <w:r w:rsidRPr="00063568" w:rsidR="00063568">
        <w:rPr>
          <w:rFonts w:cs="Times New Roman"/>
          <w:lang w:val="nl-NL" w:eastAsia="ja-JP"/>
        </w:rPr>
        <w:t>riepen op tot</w:t>
      </w:r>
      <w:r w:rsidR="00310888">
        <w:rPr>
          <w:rFonts w:cs="Times New Roman"/>
          <w:lang w:val="nl-NL" w:eastAsia="ja-JP"/>
        </w:rPr>
        <w:t xml:space="preserve"> publicatie van een aanbeveling </w:t>
      </w:r>
      <w:r w:rsidR="00F80FD3">
        <w:rPr>
          <w:rFonts w:cs="Times New Roman"/>
          <w:lang w:val="nl-NL" w:eastAsia="ja-JP"/>
        </w:rPr>
        <w:t>aan</w:t>
      </w:r>
      <w:r w:rsidR="00310888">
        <w:rPr>
          <w:rFonts w:cs="Times New Roman"/>
          <w:lang w:val="nl-NL" w:eastAsia="ja-JP"/>
        </w:rPr>
        <w:t xml:space="preserve"> de </w:t>
      </w:r>
      <w:r w:rsidR="00F80FD3">
        <w:rPr>
          <w:rFonts w:cs="Times New Roman"/>
          <w:lang w:val="nl-NL" w:eastAsia="ja-JP"/>
        </w:rPr>
        <w:t>Raad</w:t>
      </w:r>
      <w:r w:rsidR="00310888">
        <w:rPr>
          <w:rFonts w:cs="Times New Roman"/>
          <w:lang w:val="nl-NL" w:eastAsia="ja-JP"/>
        </w:rPr>
        <w:t xml:space="preserve"> voor het openen van onderhandelingen over</w:t>
      </w:r>
      <w:r w:rsidR="001C7D31">
        <w:rPr>
          <w:rFonts w:cs="Times New Roman"/>
          <w:lang w:val="nl-NL" w:eastAsia="ja-JP"/>
        </w:rPr>
        <w:t xml:space="preserve"> integratie van het VK in de EU</w:t>
      </w:r>
      <w:r w:rsidR="00B730C1">
        <w:rPr>
          <w:rFonts w:cs="Times New Roman"/>
          <w:lang w:val="nl-NL" w:eastAsia="ja-JP"/>
        </w:rPr>
        <w:t>-</w:t>
      </w:r>
      <w:r w:rsidR="00310888">
        <w:rPr>
          <w:rFonts w:cs="Times New Roman"/>
          <w:lang w:val="nl-NL" w:eastAsia="ja-JP"/>
        </w:rPr>
        <w:t>elektriciteit</w:t>
      </w:r>
      <w:r w:rsidR="001C7D31">
        <w:rPr>
          <w:rFonts w:cs="Times New Roman"/>
          <w:lang w:val="nl-NL" w:eastAsia="ja-JP"/>
        </w:rPr>
        <w:t>sma</w:t>
      </w:r>
      <w:r w:rsidR="00964517">
        <w:rPr>
          <w:rFonts w:cs="Times New Roman"/>
          <w:lang w:val="nl-NL" w:eastAsia="ja-JP"/>
        </w:rPr>
        <w:t>rkt</w:t>
      </w:r>
      <w:r w:rsidR="00310888">
        <w:rPr>
          <w:rFonts w:cs="Times New Roman"/>
          <w:lang w:val="nl-NL" w:eastAsia="ja-JP"/>
        </w:rPr>
        <w:t xml:space="preserve">. </w:t>
      </w:r>
    </w:p>
    <w:p w:rsidRPr="00D12244" w:rsidR="001C4B5E" w:rsidP="001C4B5E" w:rsidRDefault="01A50556" w14:paraId="01384171" w14:textId="022F5720">
      <w:pPr>
        <w:rPr>
          <w:rFonts w:cs="Times New Roman"/>
          <w:b/>
          <w:lang w:val="nl-NL" w:eastAsia="ja-JP"/>
        </w:rPr>
      </w:pPr>
      <w:r w:rsidRPr="01A50556">
        <w:rPr>
          <w:b/>
          <w:bCs/>
          <w:lang w:val="nl-NL" w:eastAsia="ja-JP"/>
        </w:rPr>
        <w:t>Commissie</w:t>
      </w:r>
      <w:r w:rsidR="00894AF7">
        <w:rPr>
          <w:b/>
          <w:bCs/>
          <w:lang w:val="nl-NL" w:eastAsia="ja-JP"/>
        </w:rPr>
        <w:t xml:space="preserve"> W</w:t>
      </w:r>
      <w:r w:rsidRPr="01A50556">
        <w:rPr>
          <w:b/>
          <w:bCs/>
          <w:lang w:val="nl-NL" w:eastAsia="ja-JP"/>
        </w:rPr>
        <w:t>erkprogramma</w:t>
      </w:r>
      <w:r w:rsidR="00D12244">
        <w:rPr>
          <w:rFonts w:cs="Times New Roman"/>
          <w:b/>
          <w:bCs/>
          <w:lang w:val="nl-NL" w:eastAsia="ja-JP"/>
        </w:rPr>
        <w:br/>
      </w:r>
      <w:r w:rsidRPr="001C4B5E" w:rsidR="001C4B5E">
        <w:rPr>
          <w:szCs w:val="18"/>
          <w:lang w:val="nl-NL"/>
        </w:rPr>
        <w:t xml:space="preserve">De Europese Commissie heeft tijdens de </w:t>
      </w:r>
      <w:r w:rsidR="0014188E">
        <w:rPr>
          <w:szCs w:val="18"/>
          <w:lang w:val="nl-NL"/>
        </w:rPr>
        <w:t>RAZ</w:t>
      </w:r>
      <w:r w:rsidRPr="001C4B5E" w:rsidR="001C4B5E">
        <w:rPr>
          <w:szCs w:val="18"/>
          <w:lang w:val="nl-NL"/>
        </w:rPr>
        <w:t xml:space="preserve"> haar </w:t>
      </w:r>
      <w:r w:rsidR="001C4B5E">
        <w:rPr>
          <w:szCs w:val="18"/>
          <w:lang w:val="nl-NL"/>
        </w:rPr>
        <w:t>Werkprogramma</w:t>
      </w:r>
      <w:r w:rsidRPr="001C4B5E" w:rsidR="001C4B5E">
        <w:rPr>
          <w:szCs w:val="18"/>
          <w:lang w:val="nl-NL"/>
        </w:rPr>
        <w:t xml:space="preserve"> </w:t>
      </w:r>
      <w:r w:rsidR="001C4B5E">
        <w:rPr>
          <w:szCs w:val="18"/>
          <w:lang w:val="nl-NL"/>
        </w:rPr>
        <w:t>2026</w:t>
      </w:r>
      <w:r w:rsidR="001C4B5E">
        <w:rPr>
          <w:rStyle w:val="FootnoteReference"/>
          <w:szCs w:val="18"/>
          <w:lang w:val="nl-NL"/>
        </w:rPr>
        <w:footnoteReference w:id="5"/>
      </w:r>
      <w:r w:rsidR="001C4B5E">
        <w:rPr>
          <w:szCs w:val="18"/>
          <w:lang w:val="nl-NL"/>
        </w:rPr>
        <w:t xml:space="preserve"> </w:t>
      </w:r>
      <w:r w:rsidRPr="001C4B5E" w:rsidR="001C4B5E">
        <w:rPr>
          <w:szCs w:val="18"/>
          <w:lang w:val="nl-NL"/>
        </w:rPr>
        <w:t xml:space="preserve">toegelicht. </w:t>
      </w:r>
      <w:r w:rsidR="001C4B5E">
        <w:rPr>
          <w:szCs w:val="18"/>
          <w:lang w:val="nl-NL"/>
        </w:rPr>
        <w:t xml:space="preserve">Het werkprogramma bevat de wetgevende- en niet-wetgevende </w:t>
      </w:r>
      <w:r w:rsidR="00894AF7">
        <w:rPr>
          <w:szCs w:val="18"/>
          <w:lang w:val="nl-NL"/>
        </w:rPr>
        <w:t>Commissie</w:t>
      </w:r>
      <w:r w:rsidR="001C4B5E">
        <w:rPr>
          <w:szCs w:val="18"/>
          <w:lang w:val="nl-NL"/>
        </w:rPr>
        <w:t xml:space="preserve">voorstellen </w:t>
      </w:r>
      <w:r w:rsidRPr="001C4B5E" w:rsidR="001C4B5E">
        <w:rPr>
          <w:szCs w:val="18"/>
          <w:lang w:val="nl-NL"/>
        </w:rPr>
        <w:t>voor het komende jaa</w:t>
      </w:r>
      <w:r w:rsidR="001C4B5E">
        <w:rPr>
          <w:szCs w:val="18"/>
          <w:lang w:val="nl-NL"/>
        </w:rPr>
        <w:t>r</w:t>
      </w:r>
      <w:r w:rsidRPr="001C4B5E" w:rsidR="001C4B5E">
        <w:rPr>
          <w:szCs w:val="18"/>
          <w:lang w:val="nl-NL"/>
        </w:rPr>
        <w:t xml:space="preserve">. Nederland </w:t>
      </w:r>
      <w:r w:rsidR="001C4B5E">
        <w:rPr>
          <w:szCs w:val="18"/>
          <w:lang w:val="nl-NL"/>
        </w:rPr>
        <w:t>vroeg tijdens</w:t>
      </w:r>
      <w:r w:rsidRPr="001C4B5E" w:rsidR="001C4B5E">
        <w:rPr>
          <w:szCs w:val="18"/>
          <w:lang w:val="nl-NL"/>
        </w:rPr>
        <w:t xml:space="preserve"> </w:t>
      </w:r>
      <w:r w:rsidR="001C4B5E">
        <w:rPr>
          <w:szCs w:val="18"/>
          <w:lang w:val="nl-NL"/>
        </w:rPr>
        <w:t>de</w:t>
      </w:r>
      <w:r w:rsidRPr="001C4B5E" w:rsidR="001C4B5E">
        <w:rPr>
          <w:szCs w:val="18"/>
          <w:lang w:val="nl-NL"/>
        </w:rPr>
        <w:t xml:space="preserve"> discussie </w:t>
      </w:r>
      <w:r w:rsidR="001C4B5E">
        <w:rPr>
          <w:szCs w:val="18"/>
          <w:lang w:val="nl-NL"/>
        </w:rPr>
        <w:t>aandacht voor</w:t>
      </w:r>
      <w:r w:rsidR="005229CF">
        <w:rPr>
          <w:szCs w:val="18"/>
          <w:lang w:val="nl-NL"/>
        </w:rPr>
        <w:t xml:space="preserve"> </w:t>
      </w:r>
      <w:r w:rsidR="001C4B5E">
        <w:rPr>
          <w:szCs w:val="18"/>
          <w:lang w:val="nl-NL"/>
        </w:rPr>
        <w:t>veiligheid en defensie, migratie</w:t>
      </w:r>
      <w:r w:rsidR="005229CF">
        <w:rPr>
          <w:szCs w:val="18"/>
          <w:lang w:val="nl-NL"/>
        </w:rPr>
        <w:t xml:space="preserve">, </w:t>
      </w:r>
      <w:r w:rsidR="001C4B5E">
        <w:rPr>
          <w:szCs w:val="18"/>
          <w:lang w:val="nl-NL"/>
        </w:rPr>
        <w:t>concurrentie</w:t>
      </w:r>
      <w:r w:rsidR="000A02E7">
        <w:rPr>
          <w:szCs w:val="18"/>
          <w:lang w:val="nl-NL"/>
        </w:rPr>
        <w:t>vermogen</w:t>
      </w:r>
      <w:r w:rsidR="001C4B5E">
        <w:rPr>
          <w:szCs w:val="18"/>
          <w:lang w:val="nl-NL"/>
        </w:rPr>
        <w:t xml:space="preserve"> en </w:t>
      </w:r>
      <w:r w:rsidR="000A02E7">
        <w:rPr>
          <w:szCs w:val="18"/>
          <w:lang w:val="nl-NL"/>
        </w:rPr>
        <w:t>vermindering van Europese regeldruk</w:t>
      </w:r>
      <w:r w:rsidR="00842BE8">
        <w:rPr>
          <w:szCs w:val="18"/>
          <w:lang w:val="nl-NL"/>
        </w:rPr>
        <w:t>, ook</w:t>
      </w:r>
      <w:r w:rsidR="001C4B5E">
        <w:rPr>
          <w:szCs w:val="18"/>
          <w:lang w:val="nl-NL"/>
        </w:rPr>
        <w:t xml:space="preserve"> </w:t>
      </w:r>
      <w:r w:rsidR="005229CF">
        <w:rPr>
          <w:szCs w:val="18"/>
          <w:lang w:val="nl-NL"/>
        </w:rPr>
        <w:t>i</w:t>
      </w:r>
      <w:r w:rsidR="001C4B5E">
        <w:rPr>
          <w:szCs w:val="18"/>
          <w:lang w:val="nl-NL"/>
        </w:rPr>
        <w:t xml:space="preserve">n het </w:t>
      </w:r>
      <w:r w:rsidRPr="001C4B5E" w:rsidR="001C4B5E">
        <w:rPr>
          <w:szCs w:val="18"/>
          <w:lang w:val="nl-NL"/>
        </w:rPr>
        <w:t xml:space="preserve">bijzonder </w:t>
      </w:r>
      <w:r w:rsidR="00842BE8">
        <w:rPr>
          <w:szCs w:val="18"/>
          <w:lang w:val="nl-NL"/>
        </w:rPr>
        <w:t>op de</w:t>
      </w:r>
      <w:r w:rsidR="005229CF">
        <w:rPr>
          <w:szCs w:val="18"/>
          <w:lang w:val="nl-NL"/>
        </w:rPr>
        <w:t xml:space="preserve"> </w:t>
      </w:r>
      <w:r w:rsidR="001C4B5E">
        <w:rPr>
          <w:szCs w:val="18"/>
          <w:lang w:val="nl-NL"/>
        </w:rPr>
        <w:t xml:space="preserve">uitdagingen </w:t>
      </w:r>
      <w:r w:rsidRPr="001C4B5E" w:rsidR="001C4B5E">
        <w:rPr>
          <w:szCs w:val="18"/>
          <w:lang w:val="nl-NL"/>
        </w:rPr>
        <w:t xml:space="preserve">op het gebied van ruimtelijke ordening. </w:t>
      </w:r>
      <w:r w:rsidR="001C4B5E">
        <w:rPr>
          <w:szCs w:val="18"/>
          <w:lang w:val="nl-NL"/>
        </w:rPr>
        <w:t>D</w:t>
      </w:r>
      <w:r w:rsidRPr="001C4B5E" w:rsidR="001C4B5E">
        <w:rPr>
          <w:szCs w:val="18"/>
          <w:lang w:val="nl-NL"/>
        </w:rPr>
        <w:t xml:space="preserve">e drie instellingen (Raad, Parlement en Commissie) </w:t>
      </w:r>
      <w:r w:rsidR="001C4B5E">
        <w:rPr>
          <w:szCs w:val="18"/>
          <w:lang w:val="nl-NL"/>
        </w:rPr>
        <w:t xml:space="preserve">zullen </w:t>
      </w:r>
      <w:r w:rsidRPr="001C4B5E" w:rsidR="001C4B5E">
        <w:rPr>
          <w:szCs w:val="18"/>
          <w:lang w:val="nl-NL"/>
        </w:rPr>
        <w:t xml:space="preserve">voor het einde van het jaar een gezamenlijke verklaring vaststellen. </w:t>
      </w:r>
      <w:r w:rsidR="001C4B5E">
        <w:rPr>
          <w:szCs w:val="18"/>
          <w:lang w:val="nl-NL"/>
        </w:rPr>
        <w:t>Z</w:t>
      </w:r>
      <w:r w:rsidRPr="001C4B5E" w:rsidR="001C4B5E">
        <w:rPr>
          <w:szCs w:val="18"/>
          <w:lang w:val="nl-NL"/>
        </w:rPr>
        <w:t xml:space="preserve">oals gebruikelijk ontvangt de Kamer een kabinetsappreciatie </w:t>
      </w:r>
      <w:r w:rsidR="001C4B5E">
        <w:rPr>
          <w:szCs w:val="18"/>
          <w:lang w:val="nl-NL"/>
        </w:rPr>
        <w:t>van het Commissie Werkprogramma 2026 binnen zes weken na publicatie (21 oktober</w:t>
      </w:r>
      <w:r w:rsidR="009552F4">
        <w:rPr>
          <w:szCs w:val="18"/>
          <w:lang w:val="nl-NL"/>
        </w:rPr>
        <w:t xml:space="preserve"> jl.</w:t>
      </w:r>
      <w:r w:rsidR="001C4B5E">
        <w:rPr>
          <w:szCs w:val="18"/>
          <w:lang w:val="nl-NL"/>
        </w:rPr>
        <w:t>)</w:t>
      </w:r>
      <w:r w:rsidRPr="001C4B5E" w:rsidR="001C4B5E">
        <w:rPr>
          <w:szCs w:val="18"/>
          <w:lang w:val="nl-NL"/>
        </w:rPr>
        <w:t>.</w:t>
      </w:r>
    </w:p>
    <w:p w:rsidRPr="00D12244" w:rsidR="00995BB8" w:rsidP="01A50556" w:rsidRDefault="01A50556" w14:paraId="28902EF0" w14:textId="1FCA5B60">
      <w:pPr>
        <w:rPr>
          <w:rFonts w:cs="Times New Roman"/>
          <w:b/>
          <w:lang w:val="nl-NL" w:eastAsia="ja-JP"/>
        </w:rPr>
      </w:pPr>
      <w:r w:rsidRPr="01A50556">
        <w:rPr>
          <w:b/>
          <w:bCs/>
          <w:lang w:val="nl-NL" w:eastAsia="ja-JP"/>
        </w:rPr>
        <w:t>Landenspecifieke rechtsstaatsdialogen</w:t>
      </w:r>
      <w:r w:rsidR="00D12244">
        <w:rPr>
          <w:rFonts w:cs="Times New Roman"/>
          <w:b/>
          <w:bCs/>
          <w:lang w:val="nl-NL" w:eastAsia="ja-JP"/>
        </w:rPr>
        <w:br/>
      </w:r>
      <w:r w:rsidRPr="01A50556" w:rsidR="00995BB8">
        <w:rPr>
          <w:rFonts w:cs="Times New Roman"/>
          <w:lang w:val="nl-NL" w:eastAsia="ja-JP"/>
        </w:rPr>
        <w:t>Tijdens de Raad vond voor de dertiende keer sinds de start in 2020 de landenspecifieke rechtsstaatdialoog plaats op basis van de landenhoofdstukken uit het Commissie rechtsstaatrapport.</w:t>
      </w:r>
      <w:r w:rsidRPr="01A50556" w:rsidR="00995BB8">
        <w:rPr>
          <w:rStyle w:val="FootnoteReference"/>
          <w:rFonts w:cs="Times New Roman"/>
          <w:lang w:val="nl-NL" w:eastAsia="ja-JP"/>
        </w:rPr>
        <w:footnoteReference w:id="6"/>
      </w:r>
      <w:r w:rsidRPr="01A50556" w:rsidR="00995BB8">
        <w:rPr>
          <w:rFonts w:cs="Times New Roman"/>
          <w:lang w:val="nl-NL" w:eastAsia="ja-JP"/>
        </w:rPr>
        <w:t xml:space="preserve"> Deze keer stonden de landenhoofdstukken van Bulgarije, Tsjechië, Duitsland en Ierland op de agenda. Zoals gebruikelijk leidde de Commissie de afzonderlijke dialogen in met een korte samenvatting van haar bevindingen. De betreffende lidstaat gaf daarna een korte presentatie van de staat van de rechtsstaat in het eigen land, waarna een ronde van vragen en antwoorden volgde.</w:t>
      </w:r>
    </w:p>
    <w:p w:rsidR="009552F4" w:rsidP="01A50556" w:rsidRDefault="00F72E42" w14:paraId="5E1EAD29" w14:textId="77777777">
      <w:pPr>
        <w:rPr>
          <w:rFonts w:cs="Times New Roman"/>
          <w:lang w:val="nl-NL" w:eastAsia="ja-JP"/>
        </w:rPr>
      </w:pPr>
      <w:r>
        <w:rPr>
          <w:rFonts w:cs="Times New Roman"/>
          <w:lang w:val="nl-NL" w:eastAsia="ja-JP"/>
        </w:rPr>
        <w:t>Nederland</w:t>
      </w:r>
      <w:r w:rsidRPr="01A50556" w:rsidR="01A50556">
        <w:rPr>
          <w:rFonts w:cs="Times New Roman"/>
          <w:lang w:val="nl-NL" w:eastAsia="ja-JP"/>
        </w:rPr>
        <w:t xml:space="preserve"> intervenieerde namens de Benelux bij de besprekingen van Bulgarije, Tsjechië en Ierland. </w:t>
      </w:r>
      <w:r>
        <w:rPr>
          <w:rFonts w:cs="Times New Roman"/>
          <w:lang w:val="nl-NL" w:eastAsia="ja-JP"/>
        </w:rPr>
        <w:t>Nederland</w:t>
      </w:r>
      <w:r w:rsidRPr="01A50556" w:rsidR="01A50556">
        <w:rPr>
          <w:rFonts w:cs="Times New Roman"/>
          <w:lang w:val="nl-NL" w:eastAsia="ja-JP"/>
        </w:rPr>
        <w:t xml:space="preserve"> merkte op dat in Bulgarije beperkte voortgang heeft plaatsgevonden het afgelopen jaar maar verwelkomde de stappen die zijn gezet naar meer transparantie in staatsadvertenties. </w:t>
      </w:r>
      <w:r w:rsidR="0013703C">
        <w:rPr>
          <w:rFonts w:cs="Times New Roman"/>
          <w:lang w:val="nl-NL" w:eastAsia="ja-JP"/>
        </w:rPr>
        <w:t xml:space="preserve">Verder vroeg </w:t>
      </w:r>
      <w:r>
        <w:rPr>
          <w:rFonts w:cs="Times New Roman"/>
          <w:lang w:val="nl-NL" w:eastAsia="ja-JP"/>
        </w:rPr>
        <w:t>Nederland</w:t>
      </w:r>
      <w:r w:rsidRPr="01A50556" w:rsidR="01A50556">
        <w:rPr>
          <w:rFonts w:cs="Times New Roman"/>
          <w:lang w:val="nl-NL" w:eastAsia="ja-JP"/>
        </w:rPr>
        <w:t xml:space="preserve"> in een kritische noot aan Bulgarije welke concrete maatregelen het treft om de handhaving van anti-corruptiewetgeving en de consistentie in de vervolging van corruptiezaken op hoog niveau te verzekeren. Ook is Bulgarije gevraagd hoe het politiek gemotiveerde vervolgingen in de strafrechtsketen aanpakt en het publieke vertrouwen in het vervolgingsproces beoogt te herstellen.</w:t>
      </w:r>
    </w:p>
    <w:p w:rsidR="009552F4" w:rsidP="01A50556" w:rsidRDefault="01A50556" w14:paraId="57CC1D2F" w14:textId="793F2645">
      <w:pPr>
        <w:rPr>
          <w:rFonts w:cs="Times New Roman"/>
          <w:lang w:val="nl-NL" w:eastAsia="ja-JP"/>
        </w:rPr>
      </w:pPr>
      <w:r w:rsidRPr="01A50556">
        <w:rPr>
          <w:rFonts w:cs="Times New Roman"/>
          <w:lang w:val="nl-NL" w:eastAsia="ja-JP"/>
        </w:rPr>
        <w:t xml:space="preserve">Bij de bespreking van het landenhoofdstuk over Tsjechië verwelkomde </w:t>
      </w:r>
      <w:r w:rsidR="00F72E42">
        <w:rPr>
          <w:rFonts w:cs="Times New Roman"/>
          <w:lang w:val="nl-NL" w:eastAsia="ja-JP"/>
        </w:rPr>
        <w:t>Nederland</w:t>
      </w:r>
      <w:r w:rsidRPr="01A50556">
        <w:rPr>
          <w:rFonts w:cs="Times New Roman"/>
          <w:lang w:val="nl-NL" w:eastAsia="ja-JP"/>
        </w:rPr>
        <w:t xml:space="preserve"> namens de Benelux de vooruitgang die in de aanpak van anticorruptie is geboekt met onder meer het aannemen van een nieuw actieplan. Verder is Tsjechië gevraagd naar de maatregelen die het treft om de transparantie van informatie over media-eigendom te vergroten.</w:t>
      </w:r>
    </w:p>
    <w:p w:rsidR="00995BB8" w:rsidP="01A50556" w:rsidRDefault="01A50556" w14:paraId="32AD7B94" w14:textId="2955B34B">
      <w:pPr>
        <w:rPr>
          <w:rFonts w:cs="Times New Roman"/>
          <w:lang w:val="nl-NL" w:eastAsia="ja-JP"/>
        </w:rPr>
      </w:pPr>
      <w:r w:rsidRPr="01A50556">
        <w:rPr>
          <w:rFonts w:cs="Times New Roman"/>
          <w:lang w:val="nl-NL" w:eastAsia="ja-JP"/>
        </w:rPr>
        <w:t xml:space="preserve">Tenslotte is bij de bespreking van het landenhoofdstuk over Ierland waardering uitgesproken voor de Ierse hervormingen om de kwaliteit en onafhankelijkheid van het justitieel stelsel te versterken. Gelet op de zorgen over de lange duur van gerechtelijke procedures, is Ierland gevraagd welke maatregelen het treft om de efficiëntie van het justitiële stelsel en de tijdigheid van de gerechtelijke behandelingen te verbeteren.   </w:t>
      </w:r>
    </w:p>
    <w:p w:rsidRPr="00916C00" w:rsidR="00916C00" w:rsidP="01A50556" w:rsidRDefault="01A50556" w14:paraId="72C2F84C" w14:textId="4BD003F7">
      <w:pPr>
        <w:pStyle w:val="NoSpacing"/>
        <w:rPr>
          <w:b/>
          <w:bCs/>
          <w:lang w:val="nl-NL"/>
        </w:rPr>
      </w:pPr>
      <w:r w:rsidRPr="01A50556">
        <w:rPr>
          <w:b/>
          <w:bCs/>
          <w:lang w:val="nl-NL"/>
        </w:rPr>
        <w:lastRenderedPageBreak/>
        <w:t>Overig</w:t>
      </w:r>
      <w:r w:rsidR="006D2F51">
        <w:rPr>
          <w:b/>
          <w:bCs/>
          <w:lang w:val="nl-NL"/>
        </w:rPr>
        <w:br/>
      </w:r>
    </w:p>
    <w:p w:rsidRPr="006D2F51" w:rsidR="001D0A75" w:rsidP="001D0A75" w:rsidRDefault="01A50556" w14:paraId="07DB7C76" w14:textId="63E7E1CC">
      <w:pPr>
        <w:rPr>
          <w:rFonts w:cs="Times New Roman"/>
          <w:i/>
          <w:lang w:val="nl-NL" w:eastAsia="ja-JP"/>
        </w:rPr>
      </w:pPr>
      <w:r w:rsidRPr="01A50556">
        <w:rPr>
          <w:rFonts w:cs="Times New Roman"/>
          <w:i/>
          <w:iCs/>
          <w:lang w:val="nl-NL" w:eastAsia="ja-JP"/>
        </w:rPr>
        <w:t xml:space="preserve">AOB </w:t>
      </w:r>
      <w:bookmarkStart w:name="_Hlk214457374" w:id="0"/>
      <w:r w:rsidRPr="01A50556">
        <w:rPr>
          <w:rFonts w:cs="Times New Roman"/>
          <w:i/>
          <w:iCs/>
          <w:lang w:val="nl-NL" w:eastAsia="ja-JP"/>
        </w:rPr>
        <w:t>Commissiestrategie antisemitisme</w:t>
      </w:r>
      <w:bookmarkEnd w:id="0"/>
      <w:r w:rsidR="006D2F51">
        <w:rPr>
          <w:rFonts w:cs="Times New Roman"/>
          <w:i/>
          <w:iCs/>
          <w:lang w:val="nl-NL" w:eastAsia="ja-JP"/>
        </w:rPr>
        <w:br/>
      </w:r>
      <w:r w:rsidRPr="008A47EA" w:rsidR="00213705">
        <w:rPr>
          <w:lang w:val="nl-NL"/>
        </w:rPr>
        <w:t xml:space="preserve">Hongarije herhaalde haar oproep tot herziening van de EU-strategie </w:t>
      </w:r>
      <w:r w:rsidRPr="008A47EA" w:rsidR="001D0A75">
        <w:rPr>
          <w:lang w:val="nl-NL"/>
        </w:rPr>
        <w:t>tegen antisemitisme, met nadruk op versterkte bescherming van Joodse en Israëlische instellingen, een stevigere aanpak van fondsenwerving door organisaties die niet in lijn zijn met EU-waarden</w:t>
      </w:r>
      <w:r w:rsidR="008672EA">
        <w:rPr>
          <w:lang w:val="nl-NL"/>
        </w:rPr>
        <w:t>,</w:t>
      </w:r>
      <w:r w:rsidRPr="008A47EA" w:rsidR="001D0A75">
        <w:rPr>
          <w:lang w:val="nl-NL"/>
        </w:rPr>
        <w:t xml:space="preserve"> en verbetering van het situationeel bewustzijn, waarbij volgens Hongarije ook de EU-terrorismelijst effectiever kan worden benut. Hongarije benadrukte dat de huidige uitdagingen voor de Joodse gemeenschap een belangrijke toets vormen voor de EU en dat deze gemeenschap niet teleurgesteld mag worden. </w:t>
      </w:r>
      <w:r w:rsidR="00171C27">
        <w:rPr>
          <w:lang w:val="nl-NL"/>
        </w:rPr>
        <w:t>Enkele lidstaten</w:t>
      </w:r>
      <w:r w:rsidRPr="008A47EA" w:rsidR="001D0A75">
        <w:rPr>
          <w:lang w:val="nl-NL"/>
        </w:rPr>
        <w:t xml:space="preserve"> steunde</w:t>
      </w:r>
      <w:r w:rsidR="00171C27">
        <w:rPr>
          <w:lang w:val="nl-NL"/>
        </w:rPr>
        <w:t>n</w:t>
      </w:r>
      <w:r w:rsidRPr="008A47EA" w:rsidR="001D0A75">
        <w:rPr>
          <w:lang w:val="nl-NL"/>
        </w:rPr>
        <w:t xml:space="preserve"> de</w:t>
      </w:r>
      <w:r w:rsidR="00171C27">
        <w:rPr>
          <w:lang w:val="nl-NL"/>
        </w:rPr>
        <w:t xml:space="preserve"> Hongaarse</w:t>
      </w:r>
      <w:r w:rsidRPr="008A47EA" w:rsidR="001D0A75">
        <w:rPr>
          <w:lang w:val="nl-NL"/>
        </w:rPr>
        <w:t xml:space="preserve"> oproep voor een nieuwe strategie.</w:t>
      </w:r>
      <w:r w:rsidR="001D0A75">
        <w:rPr>
          <w:lang w:val="nl-NL"/>
        </w:rPr>
        <w:t xml:space="preserve"> </w:t>
      </w:r>
      <w:r w:rsidR="00171C27">
        <w:rPr>
          <w:lang w:val="nl-NL"/>
        </w:rPr>
        <w:t xml:space="preserve">Andere lidstaten, waaronder Nederland, uitten een voorkeur voor </w:t>
      </w:r>
      <w:r w:rsidRPr="008A47EA" w:rsidR="00171C27">
        <w:rPr>
          <w:lang w:val="nl-NL"/>
        </w:rPr>
        <w:t>volledig</w:t>
      </w:r>
      <w:r w:rsidR="006D2F51">
        <w:rPr>
          <w:lang w:val="nl-NL"/>
        </w:rPr>
        <w:t>e</w:t>
      </w:r>
      <w:r w:rsidRPr="008A47EA" w:rsidR="00171C27">
        <w:rPr>
          <w:lang w:val="nl-NL"/>
        </w:rPr>
        <w:t xml:space="preserve"> implement</w:t>
      </w:r>
      <w:r w:rsidR="006D2F51">
        <w:rPr>
          <w:lang w:val="nl-NL"/>
        </w:rPr>
        <w:t>atie</w:t>
      </w:r>
      <w:r w:rsidR="00171C27">
        <w:rPr>
          <w:lang w:val="nl-NL"/>
        </w:rPr>
        <w:t xml:space="preserve"> van de</w:t>
      </w:r>
      <w:r w:rsidRPr="008A47EA" w:rsidR="00171C27">
        <w:rPr>
          <w:lang w:val="nl-NL"/>
        </w:rPr>
        <w:t xml:space="preserve"> </w:t>
      </w:r>
      <w:r w:rsidRPr="008A47EA" w:rsidR="001D0A75">
        <w:rPr>
          <w:lang w:val="nl-NL"/>
        </w:rPr>
        <w:t>huidige strategie</w:t>
      </w:r>
      <w:r w:rsidR="006D2F51">
        <w:rPr>
          <w:lang w:val="nl-NL"/>
        </w:rPr>
        <w:t>,</w:t>
      </w:r>
      <w:r w:rsidRPr="008A47EA" w:rsidR="001D0A75">
        <w:rPr>
          <w:lang w:val="nl-NL"/>
        </w:rPr>
        <w:t xml:space="preserve"> </w:t>
      </w:r>
      <w:r w:rsidR="006D2F51">
        <w:rPr>
          <w:lang w:val="nl-NL"/>
        </w:rPr>
        <w:t>met</w:t>
      </w:r>
      <w:r w:rsidRPr="008A47EA" w:rsidR="001D0A75">
        <w:rPr>
          <w:lang w:val="nl-NL"/>
        </w:rPr>
        <w:t xml:space="preserve"> waar nodig aanscherp</w:t>
      </w:r>
      <w:r w:rsidR="006D2F51">
        <w:rPr>
          <w:lang w:val="nl-NL"/>
        </w:rPr>
        <w:t>ing</w:t>
      </w:r>
      <w:r w:rsidRPr="008A47EA" w:rsidR="001D0A75">
        <w:rPr>
          <w:lang w:val="nl-NL"/>
        </w:rPr>
        <w:t xml:space="preserve">. De Commissie onderstreepte dat de bestaande strategie de basis moet blijven voor een </w:t>
      </w:r>
      <w:proofErr w:type="spellStart"/>
      <w:r w:rsidRPr="008A47EA" w:rsidR="001D0A75">
        <w:rPr>
          <w:i/>
          <w:iCs/>
          <w:lang w:val="nl-NL"/>
        </w:rPr>
        <w:t>whole</w:t>
      </w:r>
      <w:proofErr w:type="spellEnd"/>
      <w:r w:rsidRPr="008A47EA" w:rsidR="001D0A75">
        <w:rPr>
          <w:i/>
          <w:iCs/>
          <w:lang w:val="nl-NL"/>
        </w:rPr>
        <w:t xml:space="preserve">-of-government </w:t>
      </w:r>
      <w:r w:rsidR="001D0A75">
        <w:rPr>
          <w:lang w:val="nl-NL"/>
        </w:rPr>
        <w:t>en</w:t>
      </w:r>
      <w:r w:rsidRPr="008A47EA" w:rsidR="001D0A75">
        <w:rPr>
          <w:lang w:val="nl-NL"/>
        </w:rPr>
        <w:t xml:space="preserve"> </w:t>
      </w:r>
      <w:proofErr w:type="spellStart"/>
      <w:r w:rsidRPr="008A47EA" w:rsidR="001D0A75">
        <w:rPr>
          <w:i/>
          <w:iCs/>
          <w:lang w:val="nl-NL"/>
        </w:rPr>
        <w:t>whole</w:t>
      </w:r>
      <w:proofErr w:type="spellEnd"/>
      <w:r w:rsidRPr="008A47EA" w:rsidR="001D0A75">
        <w:rPr>
          <w:i/>
          <w:iCs/>
          <w:lang w:val="nl-NL"/>
        </w:rPr>
        <w:t>-of-society</w:t>
      </w:r>
      <w:r w:rsidRPr="008A47EA" w:rsidR="001D0A75">
        <w:rPr>
          <w:lang w:val="nl-NL"/>
        </w:rPr>
        <w:t xml:space="preserve"> aanpak, </w:t>
      </w:r>
      <w:r w:rsidR="006D2F51">
        <w:rPr>
          <w:lang w:val="nl-NL"/>
        </w:rPr>
        <w:t>en voorziet</w:t>
      </w:r>
      <w:r w:rsidRPr="008A47EA" w:rsidR="001D0A75">
        <w:rPr>
          <w:lang w:val="nl-NL"/>
        </w:rPr>
        <w:t xml:space="preserve"> een update begin 2026. </w:t>
      </w:r>
    </w:p>
    <w:p w:rsidRPr="00E35E91" w:rsidR="3181B3F8" w:rsidRDefault="3181B3F8" w14:paraId="5B358C12" w14:textId="0DF4FBF7">
      <w:pPr>
        <w:rPr>
          <w:szCs w:val="18"/>
          <w:lang w:val="nl-NL"/>
        </w:rPr>
      </w:pPr>
      <w:r w:rsidRPr="3181B3F8">
        <w:rPr>
          <w:rFonts w:cs="Times New Roman"/>
          <w:i/>
          <w:iCs/>
          <w:lang w:val="nl-NL" w:eastAsia="ja-JP"/>
        </w:rPr>
        <w:t xml:space="preserve">AOB European Democracy Shield en </w:t>
      </w:r>
      <w:r w:rsidR="00AE4908">
        <w:rPr>
          <w:rFonts w:cs="Times New Roman"/>
          <w:i/>
          <w:iCs/>
          <w:lang w:val="nl-NL" w:eastAsia="ja-JP"/>
        </w:rPr>
        <w:t>I</w:t>
      </w:r>
      <w:r w:rsidRPr="3181B3F8">
        <w:rPr>
          <w:rFonts w:cs="Times New Roman"/>
          <w:i/>
          <w:iCs/>
          <w:lang w:val="nl-NL" w:eastAsia="ja-JP"/>
        </w:rPr>
        <w:t xml:space="preserve">nformation </w:t>
      </w:r>
      <w:r w:rsidR="00AE4908">
        <w:rPr>
          <w:rFonts w:cs="Times New Roman"/>
          <w:i/>
          <w:iCs/>
          <w:lang w:val="nl-NL" w:eastAsia="ja-JP"/>
        </w:rPr>
        <w:t>S</w:t>
      </w:r>
      <w:r w:rsidRPr="3181B3F8">
        <w:rPr>
          <w:rFonts w:cs="Times New Roman"/>
          <w:i/>
          <w:iCs/>
          <w:lang w:val="nl-NL" w:eastAsia="ja-JP"/>
        </w:rPr>
        <w:t>hield</w:t>
      </w:r>
      <w:r w:rsidR="00D12244">
        <w:rPr>
          <w:rFonts w:cs="Times New Roman"/>
          <w:lang w:val="nl-NL" w:eastAsia="ja-JP"/>
        </w:rPr>
        <w:br/>
      </w:r>
      <w:r w:rsidRPr="00E35E91">
        <w:rPr>
          <w:rFonts w:eastAsia="Times New Roman" w:cs="Times New Roman"/>
          <w:szCs w:val="18"/>
          <w:lang w:val="nl-NL"/>
        </w:rPr>
        <w:t xml:space="preserve">De Commissie presenteerde het </w:t>
      </w:r>
      <w:r w:rsidRPr="00E35E91">
        <w:rPr>
          <w:rFonts w:eastAsia="Times New Roman" w:cs="Times New Roman"/>
          <w:i/>
          <w:iCs/>
          <w:szCs w:val="18"/>
          <w:lang w:val="nl-NL"/>
        </w:rPr>
        <w:t>E</w:t>
      </w:r>
      <w:r w:rsidR="00AE4908">
        <w:rPr>
          <w:rFonts w:eastAsia="Times New Roman" w:cs="Times New Roman"/>
          <w:i/>
          <w:iCs/>
          <w:szCs w:val="18"/>
          <w:lang w:val="nl-NL"/>
        </w:rPr>
        <w:t>uropean</w:t>
      </w:r>
      <w:r w:rsidRPr="00E35E91">
        <w:rPr>
          <w:rFonts w:eastAsia="Times New Roman" w:cs="Times New Roman"/>
          <w:i/>
          <w:iCs/>
          <w:szCs w:val="18"/>
          <w:lang w:val="nl-NL"/>
        </w:rPr>
        <w:t xml:space="preserve"> Democracy Shield</w:t>
      </w:r>
      <w:r w:rsidRPr="00E35E91">
        <w:rPr>
          <w:rFonts w:eastAsia="Times New Roman" w:cs="Times New Roman"/>
          <w:szCs w:val="18"/>
          <w:lang w:val="nl-NL"/>
        </w:rPr>
        <w:t xml:space="preserve"> (EDS) en de </w:t>
      </w:r>
      <w:r w:rsidRPr="00E35E91">
        <w:rPr>
          <w:rFonts w:eastAsia="Times New Roman" w:cs="Times New Roman"/>
          <w:i/>
          <w:iCs/>
          <w:szCs w:val="18"/>
          <w:lang w:val="nl-NL"/>
        </w:rPr>
        <w:t>EU Strategy for Civil Society</w:t>
      </w:r>
      <w:r>
        <w:rPr>
          <w:rFonts w:eastAsia="Times New Roman" w:cs="Times New Roman"/>
          <w:i/>
          <w:szCs w:val="18"/>
          <w:lang w:val="nl-NL"/>
        </w:rPr>
        <w:t>.</w:t>
      </w:r>
      <w:r w:rsidRPr="00E35E91">
        <w:rPr>
          <w:rFonts w:eastAsia="Times New Roman" w:cs="Times New Roman"/>
          <w:szCs w:val="18"/>
          <w:lang w:val="nl-NL"/>
        </w:rPr>
        <w:t xml:space="preserve"> De Commissie benadrukte de verankering </w:t>
      </w:r>
      <w:r w:rsidR="00D25529">
        <w:rPr>
          <w:rFonts w:eastAsia="Times New Roman" w:cs="Times New Roman"/>
          <w:szCs w:val="18"/>
          <w:lang w:val="nl-NL"/>
        </w:rPr>
        <w:t xml:space="preserve">van </w:t>
      </w:r>
      <w:r w:rsidR="00CD507E">
        <w:rPr>
          <w:rFonts w:eastAsia="Times New Roman" w:cs="Times New Roman"/>
          <w:szCs w:val="18"/>
          <w:lang w:val="nl-NL"/>
        </w:rPr>
        <w:t>mensenrechten</w:t>
      </w:r>
      <w:r w:rsidRPr="00E35E91">
        <w:rPr>
          <w:rFonts w:eastAsia="Times New Roman" w:cs="Times New Roman"/>
          <w:szCs w:val="18"/>
          <w:lang w:val="nl-NL"/>
        </w:rPr>
        <w:t xml:space="preserve"> in alle aspecten van beide plannen. De Europese Dienst voor Extern Optreden gaf aan bij te zullen dragen, in het bijzonder met het </w:t>
      </w:r>
      <w:r w:rsidRPr="00E35E91">
        <w:rPr>
          <w:rFonts w:eastAsia="Times New Roman" w:cs="Times New Roman"/>
          <w:i/>
          <w:iCs/>
          <w:szCs w:val="18"/>
          <w:lang w:val="nl-NL"/>
        </w:rPr>
        <w:t>Rapid Alert System</w:t>
      </w:r>
      <w:r w:rsidR="004E3A35">
        <w:rPr>
          <w:rFonts w:eastAsia="Times New Roman" w:cs="Times New Roman"/>
          <w:i/>
          <w:iCs/>
          <w:szCs w:val="18"/>
          <w:lang w:val="nl-NL"/>
        </w:rPr>
        <w:t xml:space="preserve">, </w:t>
      </w:r>
      <w:r w:rsidRPr="004E3A35" w:rsidR="004E3A35">
        <w:rPr>
          <w:rFonts w:eastAsia="Times New Roman" w:cs="Times New Roman"/>
          <w:szCs w:val="18"/>
          <w:lang w:val="nl-NL"/>
        </w:rPr>
        <w:t>waarmee lidstaten vlot inzichten over d</w:t>
      </w:r>
      <w:r w:rsidR="004E3A35">
        <w:rPr>
          <w:rFonts w:eastAsia="Times New Roman" w:cs="Times New Roman"/>
          <w:szCs w:val="18"/>
          <w:lang w:val="nl-NL"/>
        </w:rPr>
        <w:t>es</w:t>
      </w:r>
      <w:r w:rsidRPr="004E3A35" w:rsidR="004E3A35">
        <w:rPr>
          <w:rFonts w:eastAsia="Times New Roman" w:cs="Times New Roman"/>
          <w:szCs w:val="18"/>
          <w:lang w:val="nl-NL"/>
        </w:rPr>
        <w:t>informatie kunnen delen en een respons kunnen coördineren</w:t>
      </w:r>
      <w:r w:rsidRPr="00E35E91">
        <w:rPr>
          <w:rFonts w:eastAsia="Times New Roman" w:cs="Times New Roman"/>
          <w:szCs w:val="18"/>
          <w:lang w:val="nl-NL"/>
        </w:rPr>
        <w:t xml:space="preserve">. Een aantal lidstaten presenteerde daarnaast een reeds bestaand eigen initiatief, het </w:t>
      </w:r>
      <w:r w:rsidRPr="00E35E91">
        <w:rPr>
          <w:rFonts w:eastAsia="Times New Roman" w:cs="Times New Roman"/>
          <w:i/>
          <w:iCs/>
          <w:szCs w:val="18"/>
          <w:lang w:val="nl-NL"/>
        </w:rPr>
        <w:t>Information Shield</w:t>
      </w:r>
      <w:r w:rsidRPr="00E35E91">
        <w:rPr>
          <w:rFonts w:eastAsia="Times New Roman" w:cs="Times New Roman"/>
          <w:szCs w:val="18"/>
          <w:lang w:val="nl-NL"/>
        </w:rPr>
        <w:t xml:space="preserve">, wat toeziet op de bescherming van onafhankelijke journalistiek. Verschillende lidstaten spraken hun steun uit voor het EDS en het </w:t>
      </w:r>
      <w:r w:rsidRPr="00E35E91">
        <w:rPr>
          <w:rFonts w:eastAsia="Times New Roman" w:cs="Times New Roman"/>
          <w:i/>
          <w:iCs/>
          <w:szCs w:val="18"/>
          <w:lang w:val="nl-NL"/>
        </w:rPr>
        <w:t>Information Shield</w:t>
      </w:r>
      <w:r w:rsidRPr="00E35E91">
        <w:rPr>
          <w:rFonts w:eastAsia="Times New Roman" w:cs="Times New Roman"/>
          <w:szCs w:val="18"/>
          <w:lang w:val="nl-NL"/>
        </w:rPr>
        <w:t>.</w:t>
      </w:r>
    </w:p>
    <w:p w:rsidRPr="003B3A35" w:rsidR="003B3A35" w:rsidP="01A50556" w:rsidRDefault="01A50556" w14:paraId="5E000ECD" w14:textId="428631F1">
      <w:pPr>
        <w:rPr>
          <w:rFonts w:cs="Times New Roman"/>
          <w:lang w:val="nl-NL" w:eastAsia="ja-JP"/>
        </w:rPr>
      </w:pPr>
      <w:r w:rsidRPr="01A50556">
        <w:rPr>
          <w:rFonts w:cs="Times New Roman"/>
          <w:i/>
          <w:iCs/>
          <w:lang w:val="nl-NL" w:eastAsia="ja-JP"/>
        </w:rPr>
        <w:t>AOB Weerballonnen Litouws</w:t>
      </w:r>
      <w:r w:rsidR="00D014D5">
        <w:rPr>
          <w:rFonts w:cs="Times New Roman"/>
          <w:i/>
          <w:iCs/>
          <w:lang w:val="nl-NL" w:eastAsia="ja-JP"/>
        </w:rPr>
        <w:t>-</w:t>
      </w:r>
      <w:proofErr w:type="spellStart"/>
      <w:r w:rsidRPr="01A50556">
        <w:rPr>
          <w:rFonts w:cs="Times New Roman"/>
          <w:i/>
          <w:iCs/>
          <w:lang w:val="nl-NL" w:eastAsia="ja-JP"/>
        </w:rPr>
        <w:t>Belarusische</w:t>
      </w:r>
      <w:proofErr w:type="spellEnd"/>
      <w:r w:rsidRPr="01A50556">
        <w:rPr>
          <w:rFonts w:cs="Times New Roman"/>
          <w:i/>
          <w:iCs/>
          <w:lang w:val="nl-NL" w:eastAsia="ja-JP"/>
        </w:rPr>
        <w:t xml:space="preserve"> grens</w:t>
      </w:r>
      <w:r w:rsidR="003B3A35">
        <w:rPr>
          <w:rFonts w:cs="Times New Roman"/>
          <w:i/>
          <w:iCs/>
          <w:lang w:val="nl-NL" w:eastAsia="ja-JP"/>
        </w:rPr>
        <w:br/>
      </w:r>
      <w:r w:rsidR="0014741B">
        <w:rPr>
          <w:rFonts w:cs="Times New Roman"/>
          <w:lang w:val="nl-NL" w:eastAsia="ja-JP"/>
        </w:rPr>
        <w:t xml:space="preserve">De Raad nam nota van </w:t>
      </w:r>
      <w:r w:rsidR="003651F7">
        <w:rPr>
          <w:rFonts w:cs="Times New Roman"/>
          <w:lang w:val="nl-NL" w:eastAsia="ja-JP"/>
        </w:rPr>
        <w:t>de</w:t>
      </w:r>
      <w:r w:rsidR="003B3A35">
        <w:rPr>
          <w:rFonts w:cs="Times New Roman"/>
          <w:lang w:val="nl-NL" w:eastAsia="ja-JP"/>
        </w:rPr>
        <w:t xml:space="preserve"> recente incidenten met weerballonnen aan de Litouws-Belarussische grens. In de afgelopen weken is het Litouwse luchtruim herhaaldelijk geschonden door ballonnen met smokkelwaar afkomstig vanuit Belarus. Deze incidenten hebben geleid tot verstoringen van het vliegverkeer. In respons </w:t>
      </w:r>
      <w:r w:rsidR="00CC2E41">
        <w:rPr>
          <w:rFonts w:cs="Times New Roman"/>
          <w:lang w:val="nl-NL" w:eastAsia="ja-JP"/>
        </w:rPr>
        <w:t xml:space="preserve">hierop </w:t>
      </w:r>
      <w:r w:rsidR="003B3A35">
        <w:rPr>
          <w:rFonts w:cs="Times New Roman"/>
          <w:lang w:val="nl-NL" w:eastAsia="ja-JP"/>
        </w:rPr>
        <w:t>hebben de Litouwse autoriteiten maatregelen getroffen</w:t>
      </w:r>
      <w:r w:rsidR="00CC2E41">
        <w:rPr>
          <w:rFonts w:cs="Times New Roman"/>
          <w:lang w:val="nl-NL" w:eastAsia="ja-JP"/>
        </w:rPr>
        <w:t xml:space="preserve"> om transport en grenspassage vanuit Belarus te beperken</w:t>
      </w:r>
      <w:r w:rsidR="003B3A35">
        <w:rPr>
          <w:rFonts w:cs="Times New Roman"/>
          <w:lang w:val="nl-NL" w:eastAsia="ja-JP"/>
        </w:rPr>
        <w:t>. Litouwen riep op tot erkenning van dit incident als een hybride aanval vanuit Belarus en het treffen van verdere</w:t>
      </w:r>
      <w:r w:rsidR="00CC2E41">
        <w:rPr>
          <w:rFonts w:cs="Times New Roman"/>
          <w:lang w:val="nl-NL" w:eastAsia="ja-JP"/>
        </w:rPr>
        <w:t xml:space="preserve"> </w:t>
      </w:r>
      <w:r w:rsidR="003B3A35">
        <w:rPr>
          <w:rFonts w:cs="Times New Roman"/>
          <w:lang w:val="nl-NL" w:eastAsia="ja-JP"/>
        </w:rPr>
        <w:t xml:space="preserve">Europese sanctiemaatregelen. </w:t>
      </w:r>
    </w:p>
    <w:p w:rsidRPr="00F049FC" w:rsidR="007F308B" w:rsidP="004F4892" w:rsidRDefault="007F308B" w14:paraId="329858E4" w14:textId="77777777">
      <w:pPr>
        <w:spacing w:after="0"/>
        <w:rPr>
          <w:i/>
          <w:lang w:val="nl-NL"/>
        </w:rPr>
      </w:pPr>
      <w:r>
        <w:rPr>
          <w:i/>
          <w:iCs/>
          <w:lang w:val="nl-NL"/>
        </w:rPr>
        <w:t xml:space="preserve">Gesprek Eurocommissaris </w:t>
      </w:r>
      <w:proofErr w:type="spellStart"/>
      <w:r>
        <w:rPr>
          <w:i/>
          <w:iCs/>
          <w:lang w:val="nl-NL"/>
        </w:rPr>
        <w:t>McGrath</w:t>
      </w:r>
      <w:proofErr w:type="spellEnd"/>
      <w:r>
        <w:rPr>
          <w:i/>
          <w:iCs/>
          <w:lang w:val="nl-NL"/>
        </w:rPr>
        <w:t xml:space="preserve"> – uitvoering motie-Dassen </w:t>
      </w:r>
      <w:proofErr w:type="spellStart"/>
      <w:r>
        <w:rPr>
          <w:i/>
          <w:iCs/>
          <w:lang w:val="nl-NL"/>
        </w:rPr>
        <w:t>cs</w:t>
      </w:r>
      <w:proofErr w:type="spellEnd"/>
      <w:r>
        <w:rPr>
          <w:i/>
          <w:iCs/>
          <w:lang w:val="nl-NL"/>
        </w:rPr>
        <w:t>. en motie-Van Campen en Dassen</w:t>
      </w:r>
    </w:p>
    <w:p w:rsidRPr="00734036" w:rsidR="007F308B" w:rsidP="007F308B" w:rsidRDefault="007F308B" w14:paraId="1996E3CB" w14:textId="5E1577BC">
      <w:pPr>
        <w:rPr>
          <w:rFonts w:cs="Times New Roman"/>
          <w:i/>
          <w:lang w:val="nl-NL" w:eastAsia="ja-JP"/>
        </w:rPr>
      </w:pPr>
      <w:r w:rsidRPr="00CB60CC">
        <w:rPr>
          <w:lang w:val="nl-NL"/>
        </w:rPr>
        <w:t xml:space="preserve">En marge van de Raad sprak </w:t>
      </w:r>
      <w:r>
        <w:rPr>
          <w:lang w:val="nl-NL"/>
        </w:rPr>
        <w:t>de minister van Buitenlandse Zaken</w:t>
      </w:r>
      <w:r w:rsidRPr="00CB60CC">
        <w:rPr>
          <w:lang w:val="nl-NL"/>
        </w:rPr>
        <w:t xml:space="preserve"> met Eurocommissaris </w:t>
      </w:r>
      <w:proofErr w:type="spellStart"/>
      <w:r w:rsidRPr="00CB60CC">
        <w:rPr>
          <w:lang w:val="nl-NL"/>
        </w:rPr>
        <w:t>McGrath</w:t>
      </w:r>
      <w:proofErr w:type="spellEnd"/>
      <w:r w:rsidRPr="00CB60CC">
        <w:rPr>
          <w:lang w:val="nl-NL"/>
        </w:rPr>
        <w:t xml:space="preserve"> voor Democratie, Justitie, Rechtsstaat en Consumentenbescherming, onder meer over de Slowaakse grondwetswijziging naar aanleiding van de motie</w:t>
      </w:r>
      <w:r w:rsidR="00377BB3">
        <w:rPr>
          <w:lang w:val="nl-NL"/>
        </w:rPr>
        <w:t>-</w:t>
      </w:r>
      <w:r w:rsidRPr="00CB60CC">
        <w:rPr>
          <w:lang w:val="nl-NL"/>
        </w:rPr>
        <w:t>Dassen c</w:t>
      </w:r>
      <w:r>
        <w:rPr>
          <w:lang w:val="nl-NL"/>
        </w:rPr>
        <w:t>.</w:t>
      </w:r>
      <w:r w:rsidRPr="00CB60CC">
        <w:rPr>
          <w:lang w:val="nl-NL"/>
        </w:rPr>
        <w:t>s. en de motie</w:t>
      </w:r>
      <w:r>
        <w:rPr>
          <w:lang w:val="nl-NL"/>
        </w:rPr>
        <w:t>-</w:t>
      </w:r>
      <w:r w:rsidRPr="00CB60CC">
        <w:rPr>
          <w:lang w:val="nl-NL"/>
        </w:rPr>
        <w:t>Van Campen</w:t>
      </w:r>
      <w:r>
        <w:rPr>
          <w:lang w:val="nl-NL"/>
        </w:rPr>
        <w:t>/</w:t>
      </w:r>
      <w:r w:rsidRPr="00CB60CC">
        <w:rPr>
          <w:lang w:val="nl-NL"/>
        </w:rPr>
        <w:t>Dassen.</w:t>
      </w:r>
      <w:r>
        <w:rPr>
          <w:rStyle w:val="FootnoteReference"/>
        </w:rPr>
        <w:footnoteReference w:id="7"/>
      </w:r>
      <w:r w:rsidRPr="00CB60CC">
        <w:rPr>
          <w:lang w:val="nl-NL"/>
        </w:rPr>
        <w:t xml:space="preserve"> Deze moties verzoeken de regering om een statenklachtprocedure te starten en het draagvlak te onderzoeken voor het starten van een artikel 7 procedure tegen Slowakije. Het gesprek met Eurocommissaris </w:t>
      </w:r>
      <w:proofErr w:type="spellStart"/>
      <w:r w:rsidRPr="00CB60CC">
        <w:rPr>
          <w:lang w:val="nl-NL"/>
        </w:rPr>
        <w:t>McGrath</w:t>
      </w:r>
      <w:proofErr w:type="spellEnd"/>
      <w:r w:rsidRPr="00CB60CC">
        <w:rPr>
          <w:lang w:val="nl-NL"/>
        </w:rPr>
        <w:t xml:space="preserve"> bood gelegenheid </w:t>
      </w:r>
      <w:r>
        <w:rPr>
          <w:lang w:val="nl-NL"/>
        </w:rPr>
        <w:t>de Nederlandse</w:t>
      </w:r>
      <w:r w:rsidRPr="00CB60CC">
        <w:rPr>
          <w:lang w:val="nl-NL"/>
        </w:rPr>
        <w:t xml:space="preserve"> zorgen over de grondwetswijzing en de mogelijke gevolgen voor de eerbiediging van het voorrangsbeginsel en de rechten van </w:t>
      </w:r>
      <w:proofErr w:type="spellStart"/>
      <w:r w:rsidRPr="00CB60CC">
        <w:rPr>
          <w:lang w:val="nl-NL"/>
        </w:rPr>
        <w:t>lhbtiq</w:t>
      </w:r>
      <w:proofErr w:type="spellEnd"/>
      <w:r w:rsidRPr="00CB60CC">
        <w:rPr>
          <w:lang w:val="nl-NL"/>
        </w:rPr>
        <w:t>+-personen aan de Commissie over te brengen. De Commissie bevestigde te onderzoeken of de grondwetswijziging in overeenstemming is met het Unierecht. Nederland riep de Commissie op om op te treden en gebruik te maken van het beschikbare rechtsstaatinstrumentarium indien de grondwetswijziging het Unierecht schendt.</w:t>
      </w:r>
    </w:p>
    <w:p w:rsidRPr="00CB60CC" w:rsidR="007F308B" w:rsidP="007F308B" w:rsidRDefault="007F308B" w14:paraId="4CADA8BB" w14:textId="24DF8137">
      <w:pPr>
        <w:rPr>
          <w:lang w:val="nl-NL"/>
        </w:rPr>
      </w:pPr>
      <w:r w:rsidRPr="00CB60CC">
        <w:rPr>
          <w:lang w:val="nl-NL"/>
        </w:rPr>
        <w:t xml:space="preserve">Het kabinet heeft daarmee zowel in dit gesprek als ook tijdens de Raad Algemene Zaken van 21 oktober jl. een duidelijk politiek signaal afgegeven over de Nederlandse zorgen rondom de Slowaakse grondwetswijziging, in het licht van de </w:t>
      </w:r>
      <w:r>
        <w:rPr>
          <w:lang w:val="nl-NL"/>
        </w:rPr>
        <w:t>voorgenoemde moties</w:t>
      </w:r>
      <w:r w:rsidRPr="00CB60CC">
        <w:rPr>
          <w:lang w:val="nl-NL"/>
        </w:rPr>
        <w:t>.</w:t>
      </w:r>
      <w:r>
        <w:rPr>
          <w:rStyle w:val="FootnoteReference"/>
        </w:rPr>
        <w:footnoteReference w:id="8"/>
      </w:r>
      <w:r w:rsidRPr="00CB60CC">
        <w:rPr>
          <w:lang w:val="nl-NL"/>
        </w:rPr>
        <w:t xml:space="preserve"> Ook heeft Nederland de zorgen bilateraal aan Slowakije overgebracht. </w:t>
      </w:r>
      <w:r>
        <w:rPr>
          <w:lang w:val="nl-NL"/>
        </w:rPr>
        <w:t>Als hoedster van de V</w:t>
      </w:r>
      <w:r w:rsidRPr="00CB60CC">
        <w:rPr>
          <w:lang w:val="nl-NL"/>
        </w:rPr>
        <w:t>erdragen is het aan de Commissie om te beoordelen of een lidstaat het Unierecht schendt en op basis daarvan op te treden. </w:t>
      </w:r>
      <w:r w:rsidRPr="00EA1957">
        <w:rPr>
          <w:lang w:val="nl-NL"/>
        </w:rPr>
        <w:t>De Commissie heeft inmiddels op 19 november jl. besloten een inbreukprocedure te starten</w:t>
      </w:r>
      <w:r w:rsidRPr="00EA1957">
        <w:rPr>
          <w:rStyle w:val="FootnoteReference"/>
          <w:lang w:val="nl-NL"/>
        </w:rPr>
        <w:footnoteReference w:id="9"/>
      </w:r>
      <w:r w:rsidRPr="00EA1957">
        <w:rPr>
          <w:lang w:val="nl-NL"/>
        </w:rPr>
        <w:t xml:space="preserve">. </w:t>
      </w:r>
    </w:p>
    <w:p w:rsidRPr="00CB60CC" w:rsidR="007F308B" w:rsidP="007F308B" w:rsidRDefault="007F308B" w14:paraId="3D2EDA70" w14:textId="643771DC">
      <w:pPr>
        <w:rPr>
          <w:lang w:val="nl-NL"/>
        </w:rPr>
      </w:pPr>
      <w:r w:rsidRPr="00CB60CC">
        <w:rPr>
          <w:lang w:val="nl-NL"/>
        </w:rPr>
        <w:t>Het kabinet acht het mede gelet hierop niet opportuun om zelf verdere stappen</w:t>
      </w:r>
      <w:r>
        <w:rPr>
          <w:lang w:val="nl-NL"/>
        </w:rPr>
        <w:t>,</w:t>
      </w:r>
      <w:r w:rsidRPr="00CB60CC">
        <w:rPr>
          <w:lang w:val="nl-NL"/>
        </w:rPr>
        <w:t xml:space="preserve"> zoals een statenklachtprocedure</w:t>
      </w:r>
      <w:r>
        <w:rPr>
          <w:lang w:val="nl-NL"/>
        </w:rPr>
        <w:t xml:space="preserve">, </w:t>
      </w:r>
      <w:r w:rsidRPr="00CB60CC">
        <w:rPr>
          <w:lang w:val="nl-NL"/>
        </w:rPr>
        <w:t xml:space="preserve">te zetten. Dit is binnen het Unierecht een ultimum remedium om geschillen over de naleving van het Unierecht op te lossen en bedoeld voor die gevallen waarin de Commissie niet optreedt of </w:t>
      </w:r>
      <w:r>
        <w:rPr>
          <w:lang w:val="nl-NL"/>
        </w:rPr>
        <w:t>een lidstaat</w:t>
      </w:r>
      <w:r w:rsidRPr="00CB60CC">
        <w:rPr>
          <w:lang w:val="nl-NL"/>
        </w:rPr>
        <w:t xml:space="preserve"> het niet eens is met de handelswijze of beoordeling van de Commissie. </w:t>
      </w:r>
      <w:r>
        <w:rPr>
          <w:lang w:val="nl-NL"/>
        </w:rPr>
        <w:br/>
      </w:r>
      <w:r>
        <w:rPr>
          <w:lang w:val="nl-NL"/>
        </w:rPr>
        <w:lastRenderedPageBreak/>
        <w:br/>
        <w:t>Daar is in dit geval geen sprake van.</w:t>
      </w:r>
      <w:r w:rsidRPr="00CB60CC">
        <w:rPr>
          <w:lang w:val="nl-NL"/>
        </w:rPr>
        <w:t xml:space="preserve"> De statenklachtprocedure is tot nu toe alleen in uitzonderlijke gevallen ingezet </w:t>
      </w:r>
      <w:r w:rsidRPr="00220A13">
        <w:rPr>
          <w:lang w:val="nl-NL"/>
        </w:rPr>
        <w:t>met een specifiek belang voor een individuele lidstaat</w:t>
      </w:r>
      <w:r w:rsidRPr="00CB60CC">
        <w:rPr>
          <w:lang w:val="nl-NL"/>
        </w:rPr>
        <w:t>.</w:t>
      </w:r>
      <w:r>
        <w:rPr>
          <w:rStyle w:val="FootnoteReference"/>
        </w:rPr>
        <w:footnoteReference w:id="10"/>
      </w:r>
      <w:r w:rsidRPr="00CB60CC">
        <w:rPr>
          <w:lang w:val="nl-NL"/>
        </w:rPr>
        <w:t xml:space="preserve"> Een eenzijdig handelen zal de bilaterale relatie tussen Nederland en Slowakije ernstig schaden met minder ruimte voor bilaterale dialoog en positieve beïnvloeding als gevolg. Met het starten van een statenklachtprocedure zal Nederland bovendien de centrale rol van de Commissie als hoedster van de verdragen ondermijnen en zichzelf binnen de Raad isoleren.</w:t>
      </w:r>
    </w:p>
    <w:p w:rsidRPr="00CB60CC" w:rsidR="007F308B" w:rsidP="007F308B" w:rsidRDefault="007F308B" w14:paraId="497EBF9F" w14:textId="3E180340">
      <w:pPr>
        <w:rPr>
          <w:lang w:val="nl-NL"/>
        </w:rPr>
      </w:pPr>
      <w:r w:rsidRPr="00CB60CC">
        <w:rPr>
          <w:lang w:val="nl-NL"/>
        </w:rPr>
        <w:t>Het starten van een artikel 7</w:t>
      </w:r>
      <w:r>
        <w:rPr>
          <w:lang w:val="nl-NL"/>
        </w:rPr>
        <w:t>-</w:t>
      </w:r>
      <w:r w:rsidRPr="00CB60CC">
        <w:rPr>
          <w:lang w:val="nl-NL"/>
        </w:rPr>
        <w:t xml:space="preserve">procedure is op dit moment evenmin aan de orde. Een vereiste voor het starten van deze procedure is dat een derde van de lidstaten, de Commissie of het Europees Parlement een met redenen omkleed voorstel opstelt over een risico op een ernstige schending van de waarden uit artikel 2 van het </w:t>
      </w:r>
      <w:r w:rsidRPr="00217242">
        <w:rPr>
          <w:lang w:val="nl-NL"/>
        </w:rPr>
        <w:t>Verdrag betreffende de E</w:t>
      </w:r>
      <w:r>
        <w:rPr>
          <w:lang w:val="nl-NL"/>
        </w:rPr>
        <w:t>U</w:t>
      </w:r>
      <w:r w:rsidRPr="00CB60CC">
        <w:rPr>
          <w:lang w:val="nl-NL"/>
        </w:rPr>
        <w:t>. Van een dergelijke schending is in dit geval niet evident sprake, en de bewijslast ligt ook hier bij de initiatiefnemer. Als gevolg hiervan ontbreekt op dit moment het benodigde draagvlak om een artikel 7</w:t>
      </w:r>
      <w:r>
        <w:rPr>
          <w:lang w:val="nl-NL"/>
        </w:rPr>
        <w:t>-</w:t>
      </w:r>
      <w:r w:rsidRPr="00CB60CC">
        <w:rPr>
          <w:lang w:val="nl-NL"/>
        </w:rPr>
        <w:t xml:space="preserve">procedure te starten. </w:t>
      </w:r>
    </w:p>
    <w:p w:rsidR="004B071F" w:rsidP="00CB60CC" w:rsidRDefault="007F308B" w14:paraId="15078C91" w14:textId="77777777">
      <w:pPr>
        <w:rPr>
          <w:lang w:val="nl-NL"/>
        </w:rPr>
      </w:pPr>
      <w:r w:rsidRPr="00CB60CC">
        <w:rPr>
          <w:lang w:val="nl-NL"/>
        </w:rPr>
        <w:t xml:space="preserve">In het licht van bovenstaande blijft het kabinet de Commissie als hoedster van de Verdragen steunen, en politiek en op bilateraal niveau </w:t>
      </w:r>
      <w:r>
        <w:rPr>
          <w:lang w:val="nl-NL"/>
        </w:rPr>
        <w:t xml:space="preserve">zijn zorgen </w:t>
      </w:r>
      <w:r w:rsidRPr="00CB60CC">
        <w:rPr>
          <w:lang w:val="nl-NL"/>
        </w:rPr>
        <w:t>uitspreken over de Slowaakse grondwetswijziging.</w:t>
      </w:r>
    </w:p>
    <w:p w:rsidRPr="00F40C5E" w:rsidR="00826EB2" w:rsidP="01A50556" w:rsidRDefault="004830C3" w14:paraId="4F473C13" w14:textId="30E7B99B">
      <w:pPr>
        <w:rPr>
          <w:lang w:val="nl-NL"/>
        </w:rPr>
      </w:pPr>
      <w:r w:rsidRPr="004830C3">
        <w:rPr>
          <w:b/>
          <w:bCs/>
          <w:lang w:val="nl-NL" w:eastAsia="ja-JP"/>
        </w:rPr>
        <w:t xml:space="preserve">Intergouvernementele Conferentie </w:t>
      </w:r>
      <w:r w:rsidRPr="01A50556" w:rsidR="01A50556">
        <w:rPr>
          <w:b/>
          <w:bCs/>
          <w:lang w:val="nl-NL" w:eastAsia="ja-JP"/>
        </w:rPr>
        <w:t xml:space="preserve">Albanië: openen Cluster 5 </w:t>
      </w:r>
      <w:r w:rsidR="00734036">
        <w:rPr>
          <w:b/>
          <w:bCs/>
          <w:lang w:val="nl-NL" w:eastAsia="ja-JP"/>
        </w:rPr>
        <w:br/>
      </w:r>
      <w:r w:rsidRPr="01A50556" w:rsidR="01A50556">
        <w:rPr>
          <w:lang w:val="nl-NL"/>
        </w:rPr>
        <w:t xml:space="preserve">En marge van de Raad </w:t>
      </w:r>
      <w:r w:rsidR="00993BA8">
        <w:rPr>
          <w:lang w:val="nl-NL"/>
        </w:rPr>
        <w:t xml:space="preserve">werd </w:t>
      </w:r>
      <w:r w:rsidRPr="01A50556" w:rsidR="01A50556">
        <w:rPr>
          <w:lang w:val="nl-NL"/>
        </w:rPr>
        <w:t xml:space="preserve">een Intergouvernementele Conferentie met Albanië gehouden, waarbij Cluster 5 (Middelen, landbouw en cohesie) werd geopend. Luxemburg </w:t>
      </w:r>
      <w:r w:rsidRPr="01A50556" w:rsidR="00217242">
        <w:rPr>
          <w:lang w:val="nl-NL"/>
        </w:rPr>
        <w:t xml:space="preserve">benadrukte </w:t>
      </w:r>
      <w:r w:rsidR="00217242">
        <w:rPr>
          <w:lang w:val="nl-NL"/>
        </w:rPr>
        <w:t xml:space="preserve">namens de </w:t>
      </w:r>
      <w:r w:rsidRPr="01A50556" w:rsidR="00217242">
        <w:rPr>
          <w:lang w:val="nl-NL"/>
        </w:rPr>
        <w:t>Benelux</w:t>
      </w:r>
      <w:r w:rsidR="00217242">
        <w:rPr>
          <w:lang w:val="nl-NL"/>
        </w:rPr>
        <w:t xml:space="preserve"> </w:t>
      </w:r>
      <w:r w:rsidRPr="01A50556" w:rsidR="01A50556">
        <w:rPr>
          <w:lang w:val="nl-NL"/>
        </w:rPr>
        <w:t xml:space="preserve">het belang van overname, implementatie en naleving van het acquis. De Benelux, evenals andere lidstaten, onderstreepte tevens het belang van goed financieel beheer. De Benelux wees </w:t>
      </w:r>
      <w:r w:rsidR="000B7769">
        <w:rPr>
          <w:lang w:val="nl-NL"/>
        </w:rPr>
        <w:t>hierbij</w:t>
      </w:r>
      <w:r w:rsidRPr="01A50556" w:rsidR="01A50556">
        <w:rPr>
          <w:lang w:val="nl-NL"/>
        </w:rPr>
        <w:t xml:space="preserve"> op het belang van corruptiebestrijding. Andere lidstaten riepen ook op tot voortgang op fundamentele hervormingen met het oog op een </w:t>
      </w:r>
      <w:r w:rsidR="000B7769">
        <w:rPr>
          <w:lang w:val="nl-NL"/>
        </w:rPr>
        <w:t xml:space="preserve">toekomstige </w:t>
      </w:r>
      <w:r w:rsidRPr="01A50556" w:rsidR="01A50556">
        <w:rPr>
          <w:lang w:val="nl-NL"/>
        </w:rPr>
        <w:t xml:space="preserve">positieve evaluatie van de voortgang op de </w:t>
      </w:r>
      <w:r w:rsidRPr="01A50556" w:rsidR="01A50556">
        <w:rPr>
          <w:i/>
          <w:iCs/>
          <w:lang w:val="nl-NL"/>
        </w:rPr>
        <w:t xml:space="preserve">interim benchmarks </w:t>
      </w:r>
      <w:r w:rsidRPr="01A50556" w:rsidR="01A50556">
        <w:rPr>
          <w:lang w:val="nl-NL"/>
        </w:rPr>
        <w:t xml:space="preserve">die vastgesteld zijn voor </w:t>
      </w:r>
      <w:r w:rsidR="000B7769">
        <w:rPr>
          <w:lang w:val="nl-NL"/>
        </w:rPr>
        <w:t>C</w:t>
      </w:r>
      <w:r w:rsidRPr="01A50556" w:rsidR="01A50556">
        <w:rPr>
          <w:lang w:val="nl-NL"/>
        </w:rPr>
        <w:t>luster 1, of steunden in algemene bewoordingen het EU-toetredingstraject van Albanië.</w:t>
      </w:r>
    </w:p>
    <w:sectPr w:rsidRPr="00F40C5E" w:rsidR="00826EB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26BEC" w14:textId="77777777" w:rsidR="00AC6CFB" w:rsidRDefault="00AC6CFB" w:rsidP="00B9094B">
      <w:pPr>
        <w:spacing w:after="0"/>
      </w:pPr>
      <w:r>
        <w:separator/>
      </w:r>
    </w:p>
  </w:endnote>
  <w:endnote w:type="continuationSeparator" w:id="0">
    <w:p w14:paraId="2113FA71" w14:textId="77777777" w:rsidR="00AC6CFB" w:rsidRDefault="00AC6CFB" w:rsidP="00B9094B">
      <w:pPr>
        <w:spacing w:after="0"/>
      </w:pPr>
      <w:r>
        <w:continuationSeparator/>
      </w:r>
    </w:p>
  </w:endnote>
  <w:endnote w:type="continuationNotice" w:id="1">
    <w:p w14:paraId="1B0C7B61" w14:textId="77777777" w:rsidR="00AC6CFB" w:rsidRDefault="00AC6C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E6CC" w14:textId="77777777" w:rsidR="00C06AB2" w:rsidRDefault="00C06A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4ECFA203" w14:textId="5301D8B5" w:rsidR="001F7F6F" w:rsidRDefault="001F7F6F" w:rsidP="001F7F6F">
        <w:pPr>
          <w:pStyle w:val="Footer"/>
          <w:jc w:val="center"/>
        </w:pPr>
        <w:r>
          <w:rPr>
            <w:lang w:val="nl-NL"/>
          </w:rPr>
          <w:t xml:space="preserve">Pagina </w:t>
        </w:r>
        <w:r>
          <w:rPr>
            <w:sz w:val="24"/>
            <w:szCs w:val="24"/>
          </w:rPr>
          <w:fldChar w:fldCharType="begin"/>
        </w:r>
        <w:r>
          <w:instrText>PAGE</w:instrText>
        </w:r>
        <w:r>
          <w:rPr>
            <w:sz w:val="24"/>
            <w:szCs w:val="24"/>
          </w:rPr>
          <w:fldChar w:fldCharType="separate"/>
        </w:r>
        <w:r>
          <w:rPr>
            <w:sz w:val="24"/>
            <w:szCs w:val="24"/>
          </w:rPr>
          <w:t>1</w:t>
        </w:r>
        <w:r>
          <w:rPr>
            <w:sz w:val="24"/>
            <w:szCs w:val="24"/>
          </w:rPr>
          <w:fldChar w:fldCharType="end"/>
        </w:r>
        <w:r>
          <w:rPr>
            <w:lang w:val="nl-NL"/>
          </w:rPr>
          <w:t xml:space="preserve"> van </w:t>
        </w:r>
        <w:r>
          <w:rPr>
            <w:sz w:val="24"/>
            <w:szCs w:val="24"/>
          </w:rPr>
          <w:fldChar w:fldCharType="begin"/>
        </w:r>
        <w:r>
          <w:instrText>NUMPAGES</w:instrText>
        </w:r>
        <w:r>
          <w:rPr>
            <w:sz w:val="24"/>
            <w:szCs w:val="24"/>
          </w:rPr>
          <w:fldChar w:fldCharType="separate"/>
        </w:r>
        <w:r>
          <w:rPr>
            <w:sz w:val="24"/>
            <w:szCs w:val="24"/>
          </w:rPr>
          <w:t>1</w:t>
        </w:r>
        <w:r>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0314" w14:textId="77777777" w:rsidR="00C06AB2" w:rsidRDefault="00C06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49CEB" w14:textId="77777777" w:rsidR="00AC6CFB" w:rsidRDefault="00AC6CFB" w:rsidP="00B9094B">
      <w:pPr>
        <w:spacing w:after="0"/>
      </w:pPr>
      <w:r>
        <w:separator/>
      </w:r>
    </w:p>
  </w:footnote>
  <w:footnote w:type="continuationSeparator" w:id="0">
    <w:p w14:paraId="066BC3F4" w14:textId="77777777" w:rsidR="00AC6CFB" w:rsidRDefault="00AC6CFB" w:rsidP="00B9094B">
      <w:pPr>
        <w:spacing w:after="0"/>
      </w:pPr>
      <w:r>
        <w:continuationSeparator/>
      </w:r>
    </w:p>
  </w:footnote>
  <w:footnote w:type="continuationNotice" w:id="1">
    <w:p w14:paraId="6400CFCA" w14:textId="77777777" w:rsidR="00AC6CFB" w:rsidRDefault="00AC6CFB">
      <w:pPr>
        <w:spacing w:after="0"/>
      </w:pPr>
    </w:p>
  </w:footnote>
  <w:footnote w:id="2">
    <w:p w14:paraId="7C61F8AF" w14:textId="3A0B55FF" w:rsidR="00EE0D89" w:rsidRPr="00C06AB2" w:rsidRDefault="00EE0D89">
      <w:pPr>
        <w:pStyle w:val="FootnoteText"/>
        <w:rPr>
          <w:sz w:val="16"/>
          <w:szCs w:val="16"/>
        </w:rPr>
      </w:pPr>
      <w:r w:rsidRPr="00C06AB2">
        <w:rPr>
          <w:rStyle w:val="FootnoteReference"/>
          <w:sz w:val="16"/>
          <w:szCs w:val="16"/>
        </w:rPr>
        <w:footnoteRef/>
      </w:r>
      <w:r w:rsidRPr="00C06AB2">
        <w:rPr>
          <w:sz w:val="16"/>
          <w:szCs w:val="16"/>
        </w:rPr>
        <w:t xml:space="preserve"> De Kamer ontvangt binnenkort de kabinetsappreciatie van het uitbreidingspakket. </w:t>
      </w:r>
    </w:p>
  </w:footnote>
  <w:footnote w:id="3">
    <w:p w14:paraId="14FCA763" w14:textId="609BB098" w:rsidR="00540DBF" w:rsidRPr="00C06AB2" w:rsidRDefault="00540DBF">
      <w:pPr>
        <w:pStyle w:val="FootnoteText"/>
        <w:rPr>
          <w:sz w:val="16"/>
          <w:szCs w:val="16"/>
        </w:rPr>
      </w:pPr>
      <w:r w:rsidRPr="00C06AB2">
        <w:rPr>
          <w:rStyle w:val="FootnoteReference"/>
          <w:sz w:val="16"/>
          <w:szCs w:val="16"/>
        </w:rPr>
        <w:footnoteRef/>
      </w:r>
      <w:r w:rsidRPr="00C06AB2">
        <w:rPr>
          <w:sz w:val="16"/>
          <w:szCs w:val="16"/>
        </w:rPr>
        <w:t xml:space="preserve"> </w:t>
      </w:r>
      <w:hyperlink r:id="rId1" w:history="1">
        <w:r w:rsidRPr="00C06AB2">
          <w:rPr>
            <w:rStyle w:val="Hyperlink"/>
            <w:sz w:val="16"/>
            <w:szCs w:val="16"/>
          </w:rPr>
          <w:t>Verslag Raad Buitenlandse Zaken 20 mei 2025 | Vergaderstuk | Rijksoverheid.nl</w:t>
        </w:r>
      </w:hyperlink>
    </w:p>
  </w:footnote>
  <w:footnote w:id="4">
    <w:p w14:paraId="24182AB9" w14:textId="34367E58" w:rsidR="00183ABE" w:rsidRPr="00C06AB2" w:rsidRDefault="00183ABE">
      <w:pPr>
        <w:pStyle w:val="FootnoteText"/>
        <w:rPr>
          <w:sz w:val="16"/>
          <w:szCs w:val="16"/>
          <w:lang w:val="en-US"/>
        </w:rPr>
      </w:pPr>
      <w:r w:rsidRPr="00C06AB2">
        <w:rPr>
          <w:rStyle w:val="FootnoteReference"/>
          <w:sz w:val="16"/>
          <w:szCs w:val="16"/>
        </w:rPr>
        <w:footnoteRef/>
      </w:r>
      <w:r w:rsidRPr="00C06AB2">
        <w:rPr>
          <w:sz w:val="16"/>
          <w:szCs w:val="16"/>
          <w:lang w:val="en-US"/>
        </w:rPr>
        <w:t xml:space="preserve"> </w:t>
      </w:r>
      <w:hyperlink r:id="rId2" w:history="1">
        <w:r w:rsidRPr="00C06AB2">
          <w:rPr>
            <w:rStyle w:val="Hyperlink"/>
            <w:sz w:val="16"/>
            <w:szCs w:val="16"/>
            <w:lang w:val="en-US"/>
          </w:rPr>
          <w:t>European Council (Art. 50) guidelines on the framework for the future EU-UK relationship, 23 March 2018</w:t>
        </w:r>
      </w:hyperlink>
    </w:p>
  </w:footnote>
  <w:footnote w:id="5">
    <w:p w14:paraId="5A2F4BBB" w14:textId="1942915B" w:rsidR="001C4B5E" w:rsidRPr="00C06AB2" w:rsidRDefault="001C4B5E">
      <w:pPr>
        <w:pStyle w:val="FootnoteText"/>
        <w:rPr>
          <w:sz w:val="16"/>
          <w:szCs w:val="16"/>
          <w:lang w:val="en-US"/>
        </w:rPr>
      </w:pPr>
      <w:r w:rsidRPr="00C06AB2">
        <w:rPr>
          <w:rStyle w:val="FootnoteReference"/>
          <w:sz w:val="16"/>
          <w:szCs w:val="16"/>
        </w:rPr>
        <w:footnoteRef/>
      </w:r>
      <w:r w:rsidRPr="00C06AB2">
        <w:rPr>
          <w:sz w:val="16"/>
          <w:szCs w:val="16"/>
          <w:lang w:val="en-US"/>
        </w:rPr>
        <w:t xml:space="preserve"> </w:t>
      </w:r>
      <w:hyperlink r:id="rId3" w:history="1">
        <w:r w:rsidRPr="00C06AB2">
          <w:rPr>
            <w:rStyle w:val="Hyperlink"/>
            <w:sz w:val="16"/>
            <w:szCs w:val="16"/>
            <w:lang w:val="en-US"/>
          </w:rPr>
          <w:t xml:space="preserve">Commission work </w:t>
        </w:r>
        <w:proofErr w:type="spellStart"/>
        <w:r w:rsidRPr="00C06AB2">
          <w:rPr>
            <w:rStyle w:val="Hyperlink"/>
            <w:sz w:val="16"/>
            <w:szCs w:val="16"/>
            <w:lang w:val="en-US"/>
          </w:rPr>
          <w:t>programme</w:t>
        </w:r>
        <w:proofErr w:type="spellEnd"/>
        <w:r w:rsidRPr="00C06AB2">
          <w:rPr>
            <w:rStyle w:val="Hyperlink"/>
            <w:sz w:val="16"/>
            <w:szCs w:val="16"/>
            <w:lang w:val="en-US"/>
          </w:rPr>
          <w:t xml:space="preserve"> 2026 - European Commission</w:t>
        </w:r>
      </w:hyperlink>
    </w:p>
  </w:footnote>
  <w:footnote w:id="6">
    <w:p w14:paraId="5B70F82C" w14:textId="3E37CFA4" w:rsidR="00995BB8" w:rsidRPr="00C06AB2" w:rsidRDefault="00995BB8" w:rsidP="01A50556">
      <w:pPr>
        <w:pStyle w:val="FootnoteText"/>
        <w:rPr>
          <w:sz w:val="16"/>
          <w:szCs w:val="16"/>
          <w:lang w:val="en-GB"/>
        </w:rPr>
      </w:pPr>
      <w:r w:rsidRPr="00C06AB2">
        <w:rPr>
          <w:rStyle w:val="FootnoteReference"/>
          <w:sz w:val="16"/>
          <w:szCs w:val="16"/>
        </w:rPr>
        <w:footnoteRef/>
      </w:r>
      <w:r w:rsidRPr="00C06AB2">
        <w:rPr>
          <w:sz w:val="16"/>
          <w:szCs w:val="16"/>
          <w:lang w:val="en-GB"/>
        </w:rPr>
        <w:t xml:space="preserve"> Zie </w:t>
      </w:r>
      <w:hyperlink r:id="rId4" w:history="1">
        <w:r w:rsidR="00F01B5B" w:rsidRPr="00C06AB2">
          <w:rPr>
            <w:rStyle w:val="Hyperlink"/>
            <w:sz w:val="16"/>
            <w:szCs w:val="16"/>
            <w:lang w:val="en-US"/>
          </w:rPr>
          <w:t>2025 Rule of law report - Communication and country chapters - European Commission</w:t>
        </w:r>
      </w:hyperlink>
    </w:p>
  </w:footnote>
  <w:footnote w:id="7">
    <w:p w14:paraId="324CAE60" w14:textId="77777777" w:rsidR="007F308B" w:rsidRPr="00C06AB2" w:rsidRDefault="007F308B" w:rsidP="007F308B">
      <w:pPr>
        <w:pStyle w:val="FootnoteText"/>
        <w:rPr>
          <w:sz w:val="16"/>
          <w:szCs w:val="16"/>
        </w:rPr>
      </w:pPr>
      <w:r w:rsidRPr="00C06AB2">
        <w:rPr>
          <w:rStyle w:val="FootnoteReference"/>
          <w:sz w:val="16"/>
          <w:szCs w:val="16"/>
        </w:rPr>
        <w:footnoteRef/>
      </w:r>
      <w:r w:rsidRPr="00C06AB2">
        <w:rPr>
          <w:sz w:val="16"/>
          <w:szCs w:val="16"/>
        </w:rPr>
        <w:t xml:space="preserve"> Kamerstukken 21501-20, </w:t>
      </w:r>
      <w:proofErr w:type="spellStart"/>
      <w:r w:rsidRPr="00C06AB2">
        <w:rPr>
          <w:sz w:val="16"/>
          <w:szCs w:val="16"/>
        </w:rPr>
        <w:t>nrs</w:t>
      </w:r>
      <w:proofErr w:type="spellEnd"/>
      <w:r w:rsidRPr="00C06AB2">
        <w:rPr>
          <w:sz w:val="16"/>
          <w:szCs w:val="16"/>
        </w:rPr>
        <w:t xml:space="preserve">. 2299 en 2308. </w:t>
      </w:r>
    </w:p>
  </w:footnote>
  <w:footnote w:id="8">
    <w:p w14:paraId="42CA71AA" w14:textId="77777777" w:rsidR="007F308B" w:rsidRPr="00C06AB2" w:rsidRDefault="007F308B" w:rsidP="007F308B">
      <w:pPr>
        <w:pStyle w:val="FootnoteText"/>
        <w:rPr>
          <w:sz w:val="16"/>
          <w:szCs w:val="16"/>
        </w:rPr>
      </w:pPr>
      <w:r w:rsidRPr="00C06AB2">
        <w:rPr>
          <w:rStyle w:val="FootnoteReference"/>
          <w:sz w:val="16"/>
          <w:szCs w:val="16"/>
        </w:rPr>
        <w:footnoteRef/>
      </w:r>
      <w:r w:rsidRPr="00C06AB2">
        <w:rPr>
          <w:sz w:val="16"/>
          <w:szCs w:val="16"/>
        </w:rPr>
        <w:t xml:space="preserve"> Kamerstukken 21501-02, nr. 3264. </w:t>
      </w:r>
    </w:p>
  </w:footnote>
  <w:footnote w:id="9">
    <w:p w14:paraId="6B7769F6" w14:textId="7FDDB769" w:rsidR="007F308B" w:rsidRPr="00C06AB2" w:rsidRDefault="007F308B" w:rsidP="007F308B">
      <w:pPr>
        <w:pStyle w:val="FootnoteText"/>
        <w:rPr>
          <w:sz w:val="16"/>
          <w:szCs w:val="16"/>
        </w:rPr>
      </w:pPr>
      <w:r w:rsidRPr="00C06AB2">
        <w:rPr>
          <w:rStyle w:val="FootnoteReference"/>
          <w:sz w:val="16"/>
          <w:szCs w:val="16"/>
        </w:rPr>
        <w:footnoteRef/>
      </w:r>
      <w:r w:rsidRPr="00C06AB2">
        <w:rPr>
          <w:sz w:val="16"/>
          <w:szCs w:val="16"/>
        </w:rPr>
        <w:t xml:space="preserve"> </w:t>
      </w:r>
      <w:hyperlink r:id="rId5" w:history="1">
        <w:r w:rsidR="00AB108F" w:rsidRPr="00C06AB2">
          <w:rPr>
            <w:rStyle w:val="Hyperlink"/>
            <w:sz w:val="16"/>
            <w:szCs w:val="16"/>
          </w:rPr>
          <w:t xml:space="preserve">November </w:t>
        </w:r>
        <w:proofErr w:type="spellStart"/>
        <w:r w:rsidR="00AB108F" w:rsidRPr="00C06AB2">
          <w:rPr>
            <w:rStyle w:val="Hyperlink"/>
            <w:sz w:val="16"/>
            <w:szCs w:val="16"/>
          </w:rPr>
          <w:t>infringements</w:t>
        </w:r>
        <w:proofErr w:type="spellEnd"/>
        <w:r w:rsidR="00AB108F" w:rsidRPr="00C06AB2">
          <w:rPr>
            <w:rStyle w:val="Hyperlink"/>
            <w:sz w:val="16"/>
            <w:szCs w:val="16"/>
          </w:rPr>
          <w:t xml:space="preserve"> package: </w:t>
        </w:r>
        <w:proofErr w:type="spellStart"/>
        <w:r w:rsidR="00AB108F" w:rsidRPr="00C06AB2">
          <w:rPr>
            <w:rStyle w:val="Hyperlink"/>
            <w:sz w:val="16"/>
            <w:szCs w:val="16"/>
          </w:rPr>
          <w:t>key</w:t>
        </w:r>
        <w:proofErr w:type="spellEnd"/>
        <w:r w:rsidR="00AB108F" w:rsidRPr="00C06AB2">
          <w:rPr>
            <w:rStyle w:val="Hyperlink"/>
            <w:sz w:val="16"/>
            <w:szCs w:val="16"/>
          </w:rPr>
          <w:t xml:space="preserve"> </w:t>
        </w:r>
        <w:proofErr w:type="spellStart"/>
        <w:r w:rsidR="00AB108F" w:rsidRPr="00C06AB2">
          <w:rPr>
            <w:rStyle w:val="Hyperlink"/>
            <w:sz w:val="16"/>
            <w:szCs w:val="16"/>
          </w:rPr>
          <w:t>decisions</w:t>
        </w:r>
        <w:proofErr w:type="spellEnd"/>
      </w:hyperlink>
    </w:p>
  </w:footnote>
  <w:footnote w:id="10">
    <w:p w14:paraId="5F28EF16" w14:textId="77777777" w:rsidR="007F308B" w:rsidRPr="00C06AB2" w:rsidRDefault="007F308B" w:rsidP="007F308B">
      <w:pPr>
        <w:pStyle w:val="FootnoteText"/>
        <w:rPr>
          <w:sz w:val="16"/>
          <w:szCs w:val="16"/>
        </w:rPr>
      </w:pPr>
      <w:r w:rsidRPr="00C06AB2">
        <w:rPr>
          <w:rStyle w:val="FootnoteReference"/>
          <w:sz w:val="16"/>
          <w:szCs w:val="16"/>
        </w:rPr>
        <w:footnoteRef/>
      </w:r>
      <w:r w:rsidRPr="00C06AB2">
        <w:rPr>
          <w:sz w:val="16"/>
          <w:szCs w:val="16"/>
        </w:rPr>
        <w:t xml:space="preserve"> Tot nu toe is slechts acht maal gebruik gemaakt van de statenklachtprocedure bij het EU-Hof. Voorbeelden zijn de zaak die Frankrijk tegen het Verenigd Koninkrijk aanhangig maakte naar aanleiding van de door het Verenigd Koninkrijk opgelegde boetes aan Franse vissers op basis van met Unierecht strijdige wetgeving (1979), en de zaak van Hongarije tegen Slowakije wegens de weigering van de Hongaarse president om Slowaaks grondgebied  betreden (2012).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2053" w14:textId="77777777" w:rsidR="00C06AB2" w:rsidRDefault="00C06A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5414" w14:textId="77777777" w:rsidR="00C06AB2" w:rsidRDefault="00C06A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0E6CF" w14:textId="77777777" w:rsidR="00C06AB2" w:rsidRDefault="00C06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324F1"/>
    <w:multiLevelType w:val="multilevel"/>
    <w:tmpl w:val="DBEA46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47536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07"/>
    <w:rsid w:val="00000EF5"/>
    <w:rsid w:val="0000147E"/>
    <w:rsid w:val="0000590F"/>
    <w:rsid w:val="00007719"/>
    <w:rsid w:val="000116A0"/>
    <w:rsid w:val="00013A1D"/>
    <w:rsid w:val="00025748"/>
    <w:rsid w:val="0002750B"/>
    <w:rsid w:val="000330FE"/>
    <w:rsid w:val="000412C6"/>
    <w:rsid w:val="00041419"/>
    <w:rsid w:val="00041673"/>
    <w:rsid w:val="000419DD"/>
    <w:rsid w:val="00044FBB"/>
    <w:rsid w:val="00046F5B"/>
    <w:rsid w:val="00063568"/>
    <w:rsid w:val="0007234C"/>
    <w:rsid w:val="000809EA"/>
    <w:rsid w:val="00083A3F"/>
    <w:rsid w:val="00086E27"/>
    <w:rsid w:val="00093E93"/>
    <w:rsid w:val="000959CD"/>
    <w:rsid w:val="00095BA5"/>
    <w:rsid w:val="00096176"/>
    <w:rsid w:val="00097C55"/>
    <w:rsid w:val="000A02E7"/>
    <w:rsid w:val="000A2221"/>
    <w:rsid w:val="000A2375"/>
    <w:rsid w:val="000A474A"/>
    <w:rsid w:val="000B1182"/>
    <w:rsid w:val="000B1C72"/>
    <w:rsid w:val="000B54D4"/>
    <w:rsid w:val="000B577F"/>
    <w:rsid w:val="000B7769"/>
    <w:rsid w:val="000C09E8"/>
    <w:rsid w:val="000D17C6"/>
    <w:rsid w:val="000D3AF0"/>
    <w:rsid w:val="000D4CF4"/>
    <w:rsid w:val="000E3DDE"/>
    <w:rsid w:val="000E7841"/>
    <w:rsid w:val="000E790D"/>
    <w:rsid w:val="000F21B3"/>
    <w:rsid w:val="000F3ED7"/>
    <w:rsid w:val="000F6917"/>
    <w:rsid w:val="0010135B"/>
    <w:rsid w:val="00101737"/>
    <w:rsid w:val="00101E79"/>
    <w:rsid w:val="00111E20"/>
    <w:rsid w:val="00112AAF"/>
    <w:rsid w:val="0011300B"/>
    <w:rsid w:val="0011458A"/>
    <w:rsid w:val="00125F9A"/>
    <w:rsid w:val="00130826"/>
    <w:rsid w:val="00130CFA"/>
    <w:rsid w:val="00132014"/>
    <w:rsid w:val="00133D56"/>
    <w:rsid w:val="0013703C"/>
    <w:rsid w:val="0013771C"/>
    <w:rsid w:val="00137EA7"/>
    <w:rsid w:val="0014188E"/>
    <w:rsid w:val="0014741B"/>
    <w:rsid w:val="001474C3"/>
    <w:rsid w:val="00150239"/>
    <w:rsid w:val="0015175C"/>
    <w:rsid w:val="0015328D"/>
    <w:rsid w:val="0015365C"/>
    <w:rsid w:val="0015733B"/>
    <w:rsid w:val="00157693"/>
    <w:rsid w:val="001628A7"/>
    <w:rsid w:val="0016401F"/>
    <w:rsid w:val="00164044"/>
    <w:rsid w:val="00171C27"/>
    <w:rsid w:val="0017642F"/>
    <w:rsid w:val="00183ABE"/>
    <w:rsid w:val="0019254E"/>
    <w:rsid w:val="001959D8"/>
    <w:rsid w:val="00195BB0"/>
    <w:rsid w:val="001963C5"/>
    <w:rsid w:val="001A0C8D"/>
    <w:rsid w:val="001A3A8B"/>
    <w:rsid w:val="001A799A"/>
    <w:rsid w:val="001B1438"/>
    <w:rsid w:val="001C4B47"/>
    <w:rsid w:val="001C4B5E"/>
    <w:rsid w:val="001C7D31"/>
    <w:rsid w:val="001D0A75"/>
    <w:rsid w:val="001D0B4E"/>
    <w:rsid w:val="001D20B8"/>
    <w:rsid w:val="001E05B7"/>
    <w:rsid w:val="001E39AF"/>
    <w:rsid w:val="001F0DBA"/>
    <w:rsid w:val="001F4F39"/>
    <w:rsid w:val="001F5767"/>
    <w:rsid w:val="001F6F3F"/>
    <w:rsid w:val="001F7F6F"/>
    <w:rsid w:val="00201011"/>
    <w:rsid w:val="00203F67"/>
    <w:rsid w:val="00204706"/>
    <w:rsid w:val="00206F5A"/>
    <w:rsid w:val="00213705"/>
    <w:rsid w:val="00217242"/>
    <w:rsid w:val="00220A13"/>
    <w:rsid w:val="00226F62"/>
    <w:rsid w:val="00227DAC"/>
    <w:rsid w:val="00233B87"/>
    <w:rsid w:val="00241642"/>
    <w:rsid w:val="00247336"/>
    <w:rsid w:val="0025253D"/>
    <w:rsid w:val="002573DF"/>
    <w:rsid w:val="002620DB"/>
    <w:rsid w:val="00270024"/>
    <w:rsid w:val="00274382"/>
    <w:rsid w:val="002752C5"/>
    <w:rsid w:val="00275796"/>
    <w:rsid w:val="002824ED"/>
    <w:rsid w:val="00283179"/>
    <w:rsid w:val="00284AD1"/>
    <w:rsid w:val="00285C4A"/>
    <w:rsid w:val="00285C65"/>
    <w:rsid w:val="002C0F02"/>
    <w:rsid w:val="002C39E8"/>
    <w:rsid w:val="002D6C9B"/>
    <w:rsid w:val="002E2831"/>
    <w:rsid w:val="002E2A63"/>
    <w:rsid w:val="002E7D55"/>
    <w:rsid w:val="002F6F9D"/>
    <w:rsid w:val="002F7437"/>
    <w:rsid w:val="003026AC"/>
    <w:rsid w:val="00305929"/>
    <w:rsid w:val="00307CB4"/>
    <w:rsid w:val="00310888"/>
    <w:rsid w:val="00320119"/>
    <w:rsid w:val="00321CF3"/>
    <w:rsid w:val="003246ED"/>
    <w:rsid w:val="00331C3C"/>
    <w:rsid w:val="00335651"/>
    <w:rsid w:val="00336F75"/>
    <w:rsid w:val="00342193"/>
    <w:rsid w:val="00343691"/>
    <w:rsid w:val="00350BC1"/>
    <w:rsid w:val="00355D6F"/>
    <w:rsid w:val="00361FBD"/>
    <w:rsid w:val="00362AB7"/>
    <w:rsid w:val="003651F7"/>
    <w:rsid w:val="00370610"/>
    <w:rsid w:val="00370C52"/>
    <w:rsid w:val="00373442"/>
    <w:rsid w:val="00375321"/>
    <w:rsid w:val="00377BB3"/>
    <w:rsid w:val="003932DE"/>
    <w:rsid w:val="00396FBA"/>
    <w:rsid w:val="003A2857"/>
    <w:rsid w:val="003A3229"/>
    <w:rsid w:val="003A589D"/>
    <w:rsid w:val="003A7A90"/>
    <w:rsid w:val="003A7BF8"/>
    <w:rsid w:val="003B3A35"/>
    <w:rsid w:val="003B542C"/>
    <w:rsid w:val="003B7281"/>
    <w:rsid w:val="003C4159"/>
    <w:rsid w:val="003C4184"/>
    <w:rsid w:val="003D01A6"/>
    <w:rsid w:val="003D479D"/>
    <w:rsid w:val="003D673B"/>
    <w:rsid w:val="003E0CB7"/>
    <w:rsid w:val="003E3D23"/>
    <w:rsid w:val="003E608E"/>
    <w:rsid w:val="003F37CC"/>
    <w:rsid w:val="003F5B29"/>
    <w:rsid w:val="004014D9"/>
    <w:rsid w:val="00404D40"/>
    <w:rsid w:val="004066D8"/>
    <w:rsid w:val="004144A0"/>
    <w:rsid w:val="00414AA9"/>
    <w:rsid w:val="00415A1C"/>
    <w:rsid w:val="00421DEA"/>
    <w:rsid w:val="00423AC9"/>
    <w:rsid w:val="00424193"/>
    <w:rsid w:val="004300F8"/>
    <w:rsid w:val="00430457"/>
    <w:rsid w:val="0043122C"/>
    <w:rsid w:val="00433F06"/>
    <w:rsid w:val="004357D8"/>
    <w:rsid w:val="00437D2A"/>
    <w:rsid w:val="00440C3A"/>
    <w:rsid w:val="00452718"/>
    <w:rsid w:val="00454B4A"/>
    <w:rsid w:val="0045635D"/>
    <w:rsid w:val="00456E97"/>
    <w:rsid w:val="004619FD"/>
    <w:rsid w:val="00463D46"/>
    <w:rsid w:val="004640AD"/>
    <w:rsid w:val="00465DDD"/>
    <w:rsid w:val="00467435"/>
    <w:rsid w:val="004675BB"/>
    <w:rsid w:val="0047678D"/>
    <w:rsid w:val="004830C3"/>
    <w:rsid w:val="00492727"/>
    <w:rsid w:val="00495542"/>
    <w:rsid w:val="00495F49"/>
    <w:rsid w:val="004A055E"/>
    <w:rsid w:val="004A1874"/>
    <w:rsid w:val="004A41BA"/>
    <w:rsid w:val="004B071F"/>
    <w:rsid w:val="004B52E4"/>
    <w:rsid w:val="004B6177"/>
    <w:rsid w:val="004B64F9"/>
    <w:rsid w:val="004C1968"/>
    <w:rsid w:val="004C72DF"/>
    <w:rsid w:val="004C7938"/>
    <w:rsid w:val="004D0D35"/>
    <w:rsid w:val="004D1047"/>
    <w:rsid w:val="004D75F0"/>
    <w:rsid w:val="004E18E3"/>
    <w:rsid w:val="004E2720"/>
    <w:rsid w:val="004E3A35"/>
    <w:rsid w:val="004E4C51"/>
    <w:rsid w:val="004F12D7"/>
    <w:rsid w:val="004F1C07"/>
    <w:rsid w:val="004F2DBE"/>
    <w:rsid w:val="004F4892"/>
    <w:rsid w:val="004F5808"/>
    <w:rsid w:val="00500981"/>
    <w:rsid w:val="00503801"/>
    <w:rsid w:val="00511F2F"/>
    <w:rsid w:val="00512482"/>
    <w:rsid w:val="00514215"/>
    <w:rsid w:val="00520C5D"/>
    <w:rsid w:val="005216E0"/>
    <w:rsid w:val="005229CF"/>
    <w:rsid w:val="0052711E"/>
    <w:rsid w:val="005348F5"/>
    <w:rsid w:val="00540D72"/>
    <w:rsid w:val="00540DBF"/>
    <w:rsid w:val="00552573"/>
    <w:rsid w:val="00562DE4"/>
    <w:rsid w:val="005651BF"/>
    <w:rsid w:val="005652AE"/>
    <w:rsid w:val="0056780A"/>
    <w:rsid w:val="00571894"/>
    <w:rsid w:val="00590D76"/>
    <w:rsid w:val="00597DD9"/>
    <w:rsid w:val="005A0300"/>
    <w:rsid w:val="005A2348"/>
    <w:rsid w:val="005A5F4B"/>
    <w:rsid w:val="005B221A"/>
    <w:rsid w:val="005D3610"/>
    <w:rsid w:val="005D61C5"/>
    <w:rsid w:val="005E572A"/>
    <w:rsid w:val="005F3AB1"/>
    <w:rsid w:val="005F685B"/>
    <w:rsid w:val="006003B6"/>
    <w:rsid w:val="00604852"/>
    <w:rsid w:val="0060717D"/>
    <w:rsid w:val="0061439D"/>
    <w:rsid w:val="006306BA"/>
    <w:rsid w:val="00631565"/>
    <w:rsid w:val="00637B7E"/>
    <w:rsid w:val="006423A6"/>
    <w:rsid w:val="00642F86"/>
    <w:rsid w:val="00643F48"/>
    <w:rsid w:val="00645136"/>
    <w:rsid w:val="00647548"/>
    <w:rsid w:val="00650888"/>
    <w:rsid w:val="006536F8"/>
    <w:rsid w:val="0066279B"/>
    <w:rsid w:val="0066442C"/>
    <w:rsid w:val="006718FF"/>
    <w:rsid w:val="00671EA3"/>
    <w:rsid w:val="00673801"/>
    <w:rsid w:val="00674989"/>
    <w:rsid w:val="0068072E"/>
    <w:rsid w:val="00680F92"/>
    <w:rsid w:val="00684CD0"/>
    <w:rsid w:val="00690EF4"/>
    <w:rsid w:val="0069403C"/>
    <w:rsid w:val="006A0319"/>
    <w:rsid w:val="006A184D"/>
    <w:rsid w:val="006A200F"/>
    <w:rsid w:val="006B786B"/>
    <w:rsid w:val="006C00A5"/>
    <w:rsid w:val="006C49A1"/>
    <w:rsid w:val="006D0D70"/>
    <w:rsid w:val="006D1080"/>
    <w:rsid w:val="006D19F7"/>
    <w:rsid w:val="006D1D3C"/>
    <w:rsid w:val="006D2F51"/>
    <w:rsid w:val="006D777E"/>
    <w:rsid w:val="006E0230"/>
    <w:rsid w:val="006E2210"/>
    <w:rsid w:val="006E2762"/>
    <w:rsid w:val="006E3FEF"/>
    <w:rsid w:val="006E4276"/>
    <w:rsid w:val="006E6A05"/>
    <w:rsid w:val="006E6E96"/>
    <w:rsid w:val="006E787F"/>
    <w:rsid w:val="006F19C1"/>
    <w:rsid w:val="006F5F56"/>
    <w:rsid w:val="006F5F5E"/>
    <w:rsid w:val="007063E1"/>
    <w:rsid w:val="007322D1"/>
    <w:rsid w:val="007327DC"/>
    <w:rsid w:val="00734036"/>
    <w:rsid w:val="0073675C"/>
    <w:rsid w:val="0074605D"/>
    <w:rsid w:val="0074682F"/>
    <w:rsid w:val="00750D25"/>
    <w:rsid w:val="007834F2"/>
    <w:rsid w:val="00786463"/>
    <w:rsid w:val="00790674"/>
    <w:rsid w:val="00794A1D"/>
    <w:rsid w:val="00797FBF"/>
    <w:rsid w:val="007A27E2"/>
    <w:rsid w:val="007A4FC5"/>
    <w:rsid w:val="007B42F4"/>
    <w:rsid w:val="007B50C2"/>
    <w:rsid w:val="007B5A29"/>
    <w:rsid w:val="007C1583"/>
    <w:rsid w:val="007C7198"/>
    <w:rsid w:val="007D2C3E"/>
    <w:rsid w:val="007D3B82"/>
    <w:rsid w:val="007D7CAE"/>
    <w:rsid w:val="007F1B15"/>
    <w:rsid w:val="007F2B9B"/>
    <w:rsid w:val="007F308B"/>
    <w:rsid w:val="0080354A"/>
    <w:rsid w:val="00803710"/>
    <w:rsid w:val="008048D6"/>
    <w:rsid w:val="00812AB2"/>
    <w:rsid w:val="00815966"/>
    <w:rsid w:val="00815DFB"/>
    <w:rsid w:val="008208C5"/>
    <w:rsid w:val="00824E6A"/>
    <w:rsid w:val="00826EB2"/>
    <w:rsid w:val="00831E1B"/>
    <w:rsid w:val="00832CC2"/>
    <w:rsid w:val="00832D1F"/>
    <w:rsid w:val="00835C7D"/>
    <w:rsid w:val="00842BE8"/>
    <w:rsid w:val="0084446D"/>
    <w:rsid w:val="008471B1"/>
    <w:rsid w:val="008544E6"/>
    <w:rsid w:val="008630E1"/>
    <w:rsid w:val="00866929"/>
    <w:rsid w:val="008672EA"/>
    <w:rsid w:val="00872A5C"/>
    <w:rsid w:val="00873796"/>
    <w:rsid w:val="00876221"/>
    <w:rsid w:val="008771C7"/>
    <w:rsid w:val="00882F78"/>
    <w:rsid w:val="00885A09"/>
    <w:rsid w:val="00891EE3"/>
    <w:rsid w:val="00894AF7"/>
    <w:rsid w:val="008A47EA"/>
    <w:rsid w:val="008B1F2F"/>
    <w:rsid w:val="008B3D67"/>
    <w:rsid w:val="008B45F4"/>
    <w:rsid w:val="008B7B73"/>
    <w:rsid w:val="008C1A71"/>
    <w:rsid w:val="008C4B90"/>
    <w:rsid w:val="008C79F9"/>
    <w:rsid w:val="008D0350"/>
    <w:rsid w:val="008D150A"/>
    <w:rsid w:val="008D221A"/>
    <w:rsid w:val="008D29AF"/>
    <w:rsid w:val="008E3D26"/>
    <w:rsid w:val="008E4D15"/>
    <w:rsid w:val="008E587E"/>
    <w:rsid w:val="008F14B2"/>
    <w:rsid w:val="008F1751"/>
    <w:rsid w:val="008F35D0"/>
    <w:rsid w:val="008F5F38"/>
    <w:rsid w:val="00904F08"/>
    <w:rsid w:val="00905AF0"/>
    <w:rsid w:val="009121A0"/>
    <w:rsid w:val="009131AF"/>
    <w:rsid w:val="0091618A"/>
    <w:rsid w:val="00916C00"/>
    <w:rsid w:val="0092310D"/>
    <w:rsid w:val="00925BA9"/>
    <w:rsid w:val="00936C36"/>
    <w:rsid w:val="009374B8"/>
    <w:rsid w:val="0094085F"/>
    <w:rsid w:val="009552F4"/>
    <w:rsid w:val="00956112"/>
    <w:rsid w:val="00964517"/>
    <w:rsid w:val="00970925"/>
    <w:rsid w:val="009714BA"/>
    <w:rsid w:val="009717DA"/>
    <w:rsid w:val="00975E9E"/>
    <w:rsid w:val="00985589"/>
    <w:rsid w:val="009908A0"/>
    <w:rsid w:val="009909C7"/>
    <w:rsid w:val="00992046"/>
    <w:rsid w:val="00993BA8"/>
    <w:rsid w:val="00995BB8"/>
    <w:rsid w:val="00996E43"/>
    <w:rsid w:val="00997E80"/>
    <w:rsid w:val="009A05B8"/>
    <w:rsid w:val="009A27A9"/>
    <w:rsid w:val="009A2C74"/>
    <w:rsid w:val="009A361D"/>
    <w:rsid w:val="009A7503"/>
    <w:rsid w:val="009B1744"/>
    <w:rsid w:val="009C2557"/>
    <w:rsid w:val="009C6C1F"/>
    <w:rsid w:val="009C7290"/>
    <w:rsid w:val="009D4D8B"/>
    <w:rsid w:val="009D52D1"/>
    <w:rsid w:val="009E066A"/>
    <w:rsid w:val="009F3728"/>
    <w:rsid w:val="009F4CDB"/>
    <w:rsid w:val="009F5E11"/>
    <w:rsid w:val="00A279C3"/>
    <w:rsid w:val="00A30AEC"/>
    <w:rsid w:val="00A332A5"/>
    <w:rsid w:val="00A34335"/>
    <w:rsid w:val="00A356D9"/>
    <w:rsid w:val="00A409C8"/>
    <w:rsid w:val="00A424B2"/>
    <w:rsid w:val="00A43832"/>
    <w:rsid w:val="00A46CB8"/>
    <w:rsid w:val="00A56FEB"/>
    <w:rsid w:val="00A81C4F"/>
    <w:rsid w:val="00A87050"/>
    <w:rsid w:val="00A93786"/>
    <w:rsid w:val="00A95824"/>
    <w:rsid w:val="00AA0921"/>
    <w:rsid w:val="00AB108F"/>
    <w:rsid w:val="00AB3DE5"/>
    <w:rsid w:val="00AB45F3"/>
    <w:rsid w:val="00AB564F"/>
    <w:rsid w:val="00AB5FE4"/>
    <w:rsid w:val="00AC0CE5"/>
    <w:rsid w:val="00AC2AAF"/>
    <w:rsid w:val="00AC3B64"/>
    <w:rsid w:val="00AC6CFB"/>
    <w:rsid w:val="00AC78C0"/>
    <w:rsid w:val="00AC78CB"/>
    <w:rsid w:val="00AD7983"/>
    <w:rsid w:val="00AE2C79"/>
    <w:rsid w:val="00AE4908"/>
    <w:rsid w:val="00AE4DF5"/>
    <w:rsid w:val="00AE54DB"/>
    <w:rsid w:val="00B00AA9"/>
    <w:rsid w:val="00B034EC"/>
    <w:rsid w:val="00B06182"/>
    <w:rsid w:val="00B12C81"/>
    <w:rsid w:val="00B13694"/>
    <w:rsid w:val="00B204FE"/>
    <w:rsid w:val="00B23C11"/>
    <w:rsid w:val="00B266BF"/>
    <w:rsid w:val="00B270E3"/>
    <w:rsid w:val="00B3345F"/>
    <w:rsid w:val="00B35514"/>
    <w:rsid w:val="00B4596D"/>
    <w:rsid w:val="00B5505A"/>
    <w:rsid w:val="00B619F8"/>
    <w:rsid w:val="00B6574D"/>
    <w:rsid w:val="00B705E1"/>
    <w:rsid w:val="00B727E5"/>
    <w:rsid w:val="00B72E6C"/>
    <w:rsid w:val="00B730C1"/>
    <w:rsid w:val="00B7666E"/>
    <w:rsid w:val="00B84A25"/>
    <w:rsid w:val="00B85E4C"/>
    <w:rsid w:val="00B9094B"/>
    <w:rsid w:val="00B96AD7"/>
    <w:rsid w:val="00BA2076"/>
    <w:rsid w:val="00BA248C"/>
    <w:rsid w:val="00BA2EB1"/>
    <w:rsid w:val="00BB3451"/>
    <w:rsid w:val="00BD3CAA"/>
    <w:rsid w:val="00BD46DB"/>
    <w:rsid w:val="00BD72E5"/>
    <w:rsid w:val="00BD76D1"/>
    <w:rsid w:val="00BE24F0"/>
    <w:rsid w:val="00BE341E"/>
    <w:rsid w:val="00BE6036"/>
    <w:rsid w:val="00C014C8"/>
    <w:rsid w:val="00C0643A"/>
    <w:rsid w:val="00C06AB2"/>
    <w:rsid w:val="00C14C9C"/>
    <w:rsid w:val="00C163C7"/>
    <w:rsid w:val="00C16CA3"/>
    <w:rsid w:val="00C16E81"/>
    <w:rsid w:val="00C17FB2"/>
    <w:rsid w:val="00C21AA4"/>
    <w:rsid w:val="00C22F25"/>
    <w:rsid w:val="00C232ED"/>
    <w:rsid w:val="00C2339E"/>
    <w:rsid w:val="00C30D2B"/>
    <w:rsid w:val="00C31A50"/>
    <w:rsid w:val="00C4436B"/>
    <w:rsid w:val="00C57B9F"/>
    <w:rsid w:val="00C6035C"/>
    <w:rsid w:val="00C60E46"/>
    <w:rsid w:val="00C62C7C"/>
    <w:rsid w:val="00C62E89"/>
    <w:rsid w:val="00C65484"/>
    <w:rsid w:val="00C75A01"/>
    <w:rsid w:val="00C7713D"/>
    <w:rsid w:val="00C84D9D"/>
    <w:rsid w:val="00C85ACA"/>
    <w:rsid w:val="00C86000"/>
    <w:rsid w:val="00C875CE"/>
    <w:rsid w:val="00C91FE9"/>
    <w:rsid w:val="00C9391B"/>
    <w:rsid w:val="00C95300"/>
    <w:rsid w:val="00C95C1B"/>
    <w:rsid w:val="00CA0AA9"/>
    <w:rsid w:val="00CA4636"/>
    <w:rsid w:val="00CA734B"/>
    <w:rsid w:val="00CB60CC"/>
    <w:rsid w:val="00CB6D49"/>
    <w:rsid w:val="00CB7668"/>
    <w:rsid w:val="00CC257E"/>
    <w:rsid w:val="00CC27F2"/>
    <w:rsid w:val="00CC2E41"/>
    <w:rsid w:val="00CD0FEE"/>
    <w:rsid w:val="00CD37A4"/>
    <w:rsid w:val="00CD507E"/>
    <w:rsid w:val="00CD7933"/>
    <w:rsid w:val="00CE18B0"/>
    <w:rsid w:val="00CE7441"/>
    <w:rsid w:val="00CF0C1C"/>
    <w:rsid w:val="00CF3CCA"/>
    <w:rsid w:val="00CF5745"/>
    <w:rsid w:val="00CF610E"/>
    <w:rsid w:val="00D002F2"/>
    <w:rsid w:val="00D014D5"/>
    <w:rsid w:val="00D014E8"/>
    <w:rsid w:val="00D01515"/>
    <w:rsid w:val="00D03062"/>
    <w:rsid w:val="00D12244"/>
    <w:rsid w:val="00D20BC1"/>
    <w:rsid w:val="00D246D2"/>
    <w:rsid w:val="00D25529"/>
    <w:rsid w:val="00D309B7"/>
    <w:rsid w:val="00D341B2"/>
    <w:rsid w:val="00D34FF0"/>
    <w:rsid w:val="00D353BD"/>
    <w:rsid w:val="00D35E4D"/>
    <w:rsid w:val="00D4533E"/>
    <w:rsid w:val="00D518F3"/>
    <w:rsid w:val="00D53EB6"/>
    <w:rsid w:val="00D575F9"/>
    <w:rsid w:val="00D600B7"/>
    <w:rsid w:val="00D600D8"/>
    <w:rsid w:val="00D61567"/>
    <w:rsid w:val="00D70695"/>
    <w:rsid w:val="00D72696"/>
    <w:rsid w:val="00D740D8"/>
    <w:rsid w:val="00D767C1"/>
    <w:rsid w:val="00D82593"/>
    <w:rsid w:val="00D84076"/>
    <w:rsid w:val="00D86618"/>
    <w:rsid w:val="00D9272D"/>
    <w:rsid w:val="00D95553"/>
    <w:rsid w:val="00D97B5E"/>
    <w:rsid w:val="00DA41F4"/>
    <w:rsid w:val="00DB04DD"/>
    <w:rsid w:val="00DB4571"/>
    <w:rsid w:val="00DB718A"/>
    <w:rsid w:val="00DB7EB8"/>
    <w:rsid w:val="00DC51B2"/>
    <w:rsid w:val="00DD0D2E"/>
    <w:rsid w:val="00DD11EC"/>
    <w:rsid w:val="00DD4AEE"/>
    <w:rsid w:val="00DD752D"/>
    <w:rsid w:val="00DE162D"/>
    <w:rsid w:val="00DE44DE"/>
    <w:rsid w:val="00DE468A"/>
    <w:rsid w:val="00DE4E08"/>
    <w:rsid w:val="00DF3989"/>
    <w:rsid w:val="00DF736D"/>
    <w:rsid w:val="00E038BB"/>
    <w:rsid w:val="00E03C77"/>
    <w:rsid w:val="00E068EF"/>
    <w:rsid w:val="00E06C81"/>
    <w:rsid w:val="00E12DA7"/>
    <w:rsid w:val="00E13C2E"/>
    <w:rsid w:val="00E1576E"/>
    <w:rsid w:val="00E172D4"/>
    <w:rsid w:val="00E21B1B"/>
    <w:rsid w:val="00E26833"/>
    <w:rsid w:val="00E27637"/>
    <w:rsid w:val="00E32DA3"/>
    <w:rsid w:val="00E337C2"/>
    <w:rsid w:val="00E35E91"/>
    <w:rsid w:val="00E406B0"/>
    <w:rsid w:val="00E412CD"/>
    <w:rsid w:val="00E41FBC"/>
    <w:rsid w:val="00E446C0"/>
    <w:rsid w:val="00E45094"/>
    <w:rsid w:val="00E46F28"/>
    <w:rsid w:val="00E52A5C"/>
    <w:rsid w:val="00E569F8"/>
    <w:rsid w:val="00E71869"/>
    <w:rsid w:val="00E723EE"/>
    <w:rsid w:val="00E764B7"/>
    <w:rsid w:val="00E80D67"/>
    <w:rsid w:val="00E8283C"/>
    <w:rsid w:val="00E84F91"/>
    <w:rsid w:val="00E86C60"/>
    <w:rsid w:val="00E86FDE"/>
    <w:rsid w:val="00E93C14"/>
    <w:rsid w:val="00EA0D77"/>
    <w:rsid w:val="00EA1957"/>
    <w:rsid w:val="00EA2145"/>
    <w:rsid w:val="00EA24CC"/>
    <w:rsid w:val="00EA28F9"/>
    <w:rsid w:val="00EA3263"/>
    <w:rsid w:val="00EA34B3"/>
    <w:rsid w:val="00EA37C1"/>
    <w:rsid w:val="00EA38E0"/>
    <w:rsid w:val="00EA6252"/>
    <w:rsid w:val="00EA734C"/>
    <w:rsid w:val="00EB3188"/>
    <w:rsid w:val="00EB3C22"/>
    <w:rsid w:val="00EB3E74"/>
    <w:rsid w:val="00EB4891"/>
    <w:rsid w:val="00EB7FE1"/>
    <w:rsid w:val="00EC256B"/>
    <w:rsid w:val="00EC6B9B"/>
    <w:rsid w:val="00ED0FF2"/>
    <w:rsid w:val="00ED4142"/>
    <w:rsid w:val="00ED6AEB"/>
    <w:rsid w:val="00EE0205"/>
    <w:rsid w:val="00EE0D89"/>
    <w:rsid w:val="00EE1053"/>
    <w:rsid w:val="00EE41DA"/>
    <w:rsid w:val="00EF4B61"/>
    <w:rsid w:val="00F01B0F"/>
    <w:rsid w:val="00F01B5B"/>
    <w:rsid w:val="00F049FC"/>
    <w:rsid w:val="00F053C3"/>
    <w:rsid w:val="00F05D85"/>
    <w:rsid w:val="00F13D45"/>
    <w:rsid w:val="00F25136"/>
    <w:rsid w:val="00F318AC"/>
    <w:rsid w:val="00F34FE6"/>
    <w:rsid w:val="00F35D9D"/>
    <w:rsid w:val="00F36946"/>
    <w:rsid w:val="00F40C5E"/>
    <w:rsid w:val="00F4605E"/>
    <w:rsid w:val="00F72E42"/>
    <w:rsid w:val="00F808CB"/>
    <w:rsid w:val="00F80FD3"/>
    <w:rsid w:val="00F86DD8"/>
    <w:rsid w:val="00F9090C"/>
    <w:rsid w:val="00F95BD2"/>
    <w:rsid w:val="00F95DC1"/>
    <w:rsid w:val="00FB4028"/>
    <w:rsid w:val="00FB5922"/>
    <w:rsid w:val="00FC35F8"/>
    <w:rsid w:val="00FC41D6"/>
    <w:rsid w:val="00FD3AAD"/>
    <w:rsid w:val="00FE05EA"/>
    <w:rsid w:val="00FE175E"/>
    <w:rsid w:val="00FE34D4"/>
    <w:rsid w:val="00FE4B8B"/>
    <w:rsid w:val="00FF6615"/>
    <w:rsid w:val="01A50556"/>
    <w:rsid w:val="18FA1AD9"/>
    <w:rsid w:val="2A189654"/>
    <w:rsid w:val="3181B3F8"/>
    <w:rsid w:val="56CF6F69"/>
    <w:rsid w:val="7E391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D031"/>
  <w15:docId w15:val="{091DFEFD-C588-4230-A238-AD5E8DD9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6EB2"/>
    <w:pPr>
      <w:spacing w:after="0"/>
    </w:pPr>
  </w:style>
  <w:style w:type="character" w:styleId="CommentReference">
    <w:name w:val="annotation reference"/>
    <w:basedOn w:val="DefaultParagraphFont"/>
    <w:uiPriority w:val="99"/>
    <w:semiHidden/>
    <w:unhideWhenUsed/>
    <w:rsid w:val="00B4596D"/>
    <w:rPr>
      <w:sz w:val="16"/>
      <w:szCs w:val="16"/>
    </w:rPr>
  </w:style>
  <w:style w:type="paragraph" w:styleId="CommentText">
    <w:name w:val="annotation text"/>
    <w:basedOn w:val="Normal"/>
    <w:link w:val="CommentTextChar"/>
    <w:uiPriority w:val="99"/>
    <w:unhideWhenUsed/>
    <w:rsid w:val="00B4596D"/>
    <w:rPr>
      <w:sz w:val="20"/>
      <w:szCs w:val="20"/>
    </w:rPr>
  </w:style>
  <w:style w:type="character" w:customStyle="1" w:styleId="CommentTextChar">
    <w:name w:val="Comment Text Char"/>
    <w:basedOn w:val="DefaultParagraphFont"/>
    <w:link w:val="CommentText"/>
    <w:uiPriority w:val="99"/>
    <w:rsid w:val="00B4596D"/>
    <w:rPr>
      <w:sz w:val="20"/>
      <w:szCs w:val="20"/>
    </w:rPr>
  </w:style>
  <w:style w:type="paragraph" w:styleId="CommentSubject">
    <w:name w:val="annotation subject"/>
    <w:basedOn w:val="CommentText"/>
    <w:next w:val="CommentText"/>
    <w:link w:val="CommentSubjectChar"/>
    <w:uiPriority w:val="99"/>
    <w:semiHidden/>
    <w:unhideWhenUsed/>
    <w:rsid w:val="00B4596D"/>
    <w:rPr>
      <w:b/>
      <w:bCs/>
    </w:rPr>
  </w:style>
  <w:style w:type="character" w:customStyle="1" w:styleId="CommentSubjectChar">
    <w:name w:val="Comment Subject Char"/>
    <w:basedOn w:val="CommentTextChar"/>
    <w:link w:val="CommentSubject"/>
    <w:uiPriority w:val="99"/>
    <w:semiHidden/>
    <w:rsid w:val="00B4596D"/>
    <w:rPr>
      <w:b/>
      <w:bCs/>
      <w:sz w:val="20"/>
      <w:szCs w:val="20"/>
    </w:rPr>
  </w:style>
  <w:style w:type="paragraph" w:styleId="BalloonText">
    <w:name w:val="Balloon Text"/>
    <w:basedOn w:val="Normal"/>
    <w:link w:val="BalloonTextChar"/>
    <w:uiPriority w:val="99"/>
    <w:semiHidden/>
    <w:unhideWhenUsed/>
    <w:rsid w:val="00B4596D"/>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B4596D"/>
    <w:rPr>
      <w:rFonts w:ascii="Segoe UI" w:hAnsi="Segoe UI" w:cs="Segoe UI"/>
      <w:szCs w:val="18"/>
    </w:rPr>
  </w:style>
  <w:style w:type="paragraph" w:styleId="FootnoteText">
    <w:name w:val="footnote text"/>
    <w:basedOn w:val="Normal"/>
    <w:link w:val="FootnoteTextChar"/>
    <w:uiPriority w:val="99"/>
    <w:unhideWhenUsed/>
    <w:rsid w:val="00B9094B"/>
    <w:pPr>
      <w:spacing w:after="0"/>
    </w:pPr>
    <w:rPr>
      <w:rFonts w:eastAsia="Times New Roman" w:cs="Times New Roman"/>
      <w:sz w:val="20"/>
      <w:szCs w:val="20"/>
      <w:lang w:val="nl-NL" w:eastAsia="nl-NL"/>
    </w:rPr>
  </w:style>
  <w:style w:type="character" w:customStyle="1" w:styleId="FootnoteTextChar">
    <w:name w:val="Footnote Text Char"/>
    <w:basedOn w:val="DefaultParagraphFont"/>
    <w:link w:val="FootnoteText"/>
    <w:uiPriority w:val="99"/>
    <w:rsid w:val="00B9094B"/>
    <w:rPr>
      <w:rFonts w:eastAsia="Times New Roman" w:cs="Times New Roman"/>
      <w:sz w:val="20"/>
      <w:szCs w:val="20"/>
      <w:lang w:val="nl-NL" w:eastAsia="nl-NL"/>
    </w:rPr>
  </w:style>
  <w:style w:type="character" w:styleId="FootnoteReference">
    <w:name w:val="footnote reference"/>
    <w:basedOn w:val="DefaultParagraphFont"/>
    <w:uiPriority w:val="99"/>
    <w:semiHidden/>
    <w:unhideWhenUsed/>
    <w:rsid w:val="00B9094B"/>
    <w:rPr>
      <w:vertAlign w:val="superscript"/>
    </w:rPr>
  </w:style>
  <w:style w:type="character" w:styleId="Hyperlink">
    <w:name w:val="Hyperlink"/>
    <w:basedOn w:val="DefaultParagraphFont"/>
    <w:uiPriority w:val="99"/>
    <w:unhideWhenUsed/>
    <w:rsid w:val="00B9094B"/>
    <w:rPr>
      <w:color w:val="0000FF" w:themeColor="hyperlink"/>
      <w:u w:val="single"/>
    </w:rPr>
  </w:style>
  <w:style w:type="paragraph" w:styleId="Header">
    <w:name w:val="header"/>
    <w:basedOn w:val="Normal"/>
    <w:link w:val="HeaderChar"/>
    <w:uiPriority w:val="99"/>
    <w:unhideWhenUsed/>
    <w:rsid w:val="00DA41F4"/>
    <w:pPr>
      <w:tabs>
        <w:tab w:val="center" w:pos="4513"/>
        <w:tab w:val="right" w:pos="9026"/>
      </w:tabs>
      <w:spacing w:after="0"/>
    </w:pPr>
  </w:style>
  <w:style w:type="character" w:customStyle="1" w:styleId="HeaderChar">
    <w:name w:val="Header Char"/>
    <w:basedOn w:val="DefaultParagraphFont"/>
    <w:link w:val="Header"/>
    <w:uiPriority w:val="99"/>
    <w:rsid w:val="00DA41F4"/>
  </w:style>
  <w:style w:type="paragraph" w:styleId="Footer">
    <w:name w:val="footer"/>
    <w:basedOn w:val="Normal"/>
    <w:link w:val="FooterChar"/>
    <w:uiPriority w:val="99"/>
    <w:unhideWhenUsed/>
    <w:rsid w:val="00DA41F4"/>
    <w:pPr>
      <w:tabs>
        <w:tab w:val="center" w:pos="4513"/>
        <w:tab w:val="right" w:pos="9026"/>
      </w:tabs>
      <w:spacing w:after="0"/>
    </w:pPr>
  </w:style>
  <w:style w:type="character" w:customStyle="1" w:styleId="FooterChar">
    <w:name w:val="Footer Char"/>
    <w:basedOn w:val="DefaultParagraphFont"/>
    <w:link w:val="Footer"/>
    <w:uiPriority w:val="99"/>
    <w:rsid w:val="00DA41F4"/>
  </w:style>
  <w:style w:type="character" w:styleId="FollowedHyperlink">
    <w:name w:val="FollowedHyperlink"/>
    <w:basedOn w:val="DefaultParagraphFont"/>
    <w:uiPriority w:val="99"/>
    <w:semiHidden/>
    <w:unhideWhenUsed/>
    <w:rsid w:val="00DA41F4"/>
    <w:rPr>
      <w:color w:val="800080" w:themeColor="followedHyperlink"/>
      <w:u w:val="single"/>
    </w:rPr>
  </w:style>
  <w:style w:type="paragraph" w:styleId="NormalWeb">
    <w:name w:val="Normal (Web)"/>
    <w:basedOn w:val="Normal"/>
    <w:uiPriority w:val="99"/>
    <w:semiHidden/>
    <w:unhideWhenUsed/>
    <w:rsid w:val="00B270E3"/>
    <w:pPr>
      <w:spacing w:before="100" w:beforeAutospacing="1" w:after="100" w:afterAutospacing="1"/>
    </w:pPr>
    <w:rPr>
      <w:rFonts w:ascii="Times New Roman" w:eastAsiaTheme="minorHAnsi" w:hAnsi="Times New Roman" w:cs="Times New Roman"/>
      <w:sz w:val="24"/>
      <w:szCs w:val="24"/>
      <w:lang w:val="nl-NL" w:eastAsia="nl-NL"/>
    </w:rPr>
  </w:style>
  <w:style w:type="character" w:styleId="UnresolvedMention">
    <w:name w:val="Unresolved Mention"/>
    <w:basedOn w:val="DefaultParagraphFont"/>
    <w:uiPriority w:val="99"/>
    <w:semiHidden/>
    <w:unhideWhenUsed/>
    <w:rsid w:val="00995BB8"/>
    <w:rPr>
      <w:color w:val="605E5C"/>
      <w:shd w:val="clear" w:color="auto" w:fill="E1DFDD"/>
    </w:rPr>
  </w:style>
  <w:style w:type="paragraph" w:styleId="Revision">
    <w:name w:val="Revision"/>
    <w:hidden/>
    <w:uiPriority w:val="99"/>
    <w:semiHidden/>
    <w:rsid w:val="00B35514"/>
    <w:pPr>
      <w:spacing w:after="0"/>
    </w:pPr>
  </w:style>
  <w:style w:type="table" w:styleId="TableGrid">
    <w:name w:val="Table Grid"/>
    <w:basedOn w:val="TableNormal"/>
    <w:uiPriority w:val="59"/>
    <w:rsid w:val="008D15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2944">
      <w:bodyDiv w:val="1"/>
      <w:marLeft w:val="0"/>
      <w:marRight w:val="0"/>
      <w:marTop w:val="0"/>
      <w:marBottom w:val="0"/>
      <w:divBdr>
        <w:top w:val="none" w:sz="0" w:space="0" w:color="auto"/>
        <w:left w:val="none" w:sz="0" w:space="0" w:color="auto"/>
        <w:bottom w:val="none" w:sz="0" w:space="0" w:color="auto"/>
        <w:right w:val="none" w:sz="0" w:space="0" w:color="auto"/>
      </w:divBdr>
    </w:div>
    <w:div w:id="146286925">
      <w:bodyDiv w:val="1"/>
      <w:marLeft w:val="0"/>
      <w:marRight w:val="0"/>
      <w:marTop w:val="0"/>
      <w:marBottom w:val="0"/>
      <w:divBdr>
        <w:top w:val="none" w:sz="0" w:space="0" w:color="auto"/>
        <w:left w:val="none" w:sz="0" w:space="0" w:color="auto"/>
        <w:bottom w:val="none" w:sz="0" w:space="0" w:color="auto"/>
        <w:right w:val="none" w:sz="0" w:space="0" w:color="auto"/>
      </w:divBdr>
    </w:div>
    <w:div w:id="151914878">
      <w:bodyDiv w:val="1"/>
      <w:marLeft w:val="0"/>
      <w:marRight w:val="0"/>
      <w:marTop w:val="0"/>
      <w:marBottom w:val="0"/>
      <w:divBdr>
        <w:top w:val="none" w:sz="0" w:space="0" w:color="auto"/>
        <w:left w:val="none" w:sz="0" w:space="0" w:color="auto"/>
        <w:bottom w:val="none" w:sz="0" w:space="0" w:color="auto"/>
        <w:right w:val="none" w:sz="0" w:space="0" w:color="auto"/>
      </w:divBdr>
    </w:div>
    <w:div w:id="168448444">
      <w:bodyDiv w:val="1"/>
      <w:marLeft w:val="0"/>
      <w:marRight w:val="0"/>
      <w:marTop w:val="0"/>
      <w:marBottom w:val="0"/>
      <w:divBdr>
        <w:top w:val="none" w:sz="0" w:space="0" w:color="auto"/>
        <w:left w:val="none" w:sz="0" w:space="0" w:color="auto"/>
        <w:bottom w:val="none" w:sz="0" w:space="0" w:color="auto"/>
        <w:right w:val="none" w:sz="0" w:space="0" w:color="auto"/>
      </w:divBdr>
    </w:div>
    <w:div w:id="259263586">
      <w:bodyDiv w:val="1"/>
      <w:marLeft w:val="0"/>
      <w:marRight w:val="0"/>
      <w:marTop w:val="0"/>
      <w:marBottom w:val="0"/>
      <w:divBdr>
        <w:top w:val="none" w:sz="0" w:space="0" w:color="auto"/>
        <w:left w:val="none" w:sz="0" w:space="0" w:color="auto"/>
        <w:bottom w:val="none" w:sz="0" w:space="0" w:color="auto"/>
        <w:right w:val="none" w:sz="0" w:space="0" w:color="auto"/>
      </w:divBdr>
      <w:divsChild>
        <w:div w:id="2066290293">
          <w:marLeft w:val="0"/>
          <w:marRight w:val="0"/>
          <w:marTop w:val="0"/>
          <w:marBottom w:val="0"/>
          <w:divBdr>
            <w:top w:val="none" w:sz="0" w:space="0" w:color="auto"/>
            <w:left w:val="none" w:sz="0" w:space="0" w:color="auto"/>
            <w:bottom w:val="none" w:sz="0" w:space="0" w:color="auto"/>
            <w:right w:val="none" w:sz="0" w:space="0" w:color="auto"/>
          </w:divBdr>
          <w:divsChild>
            <w:div w:id="536161219">
              <w:marLeft w:val="0"/>
              <w:marRight w:val="0"/>
              <w:marTop w:val="0"/>
              <w:marBottom w:val="0"/>
              <w:divBdr>
                <w:top w:val="none" w:sz="0" w:space="0" w:color="auto"/>
                <w:left w:val="none" w:sz="0" w:space="0" w:color="auto"/>
                <w:bottom w:val="none" w:sz="0" w:space="0" w:color="auto"/>
                <w:right w:val="none" w:sz="0" w:space="0" w:color="auto"/>
              </w:divBdr>
              <w:divsChild>
                <w:div w:id="1132363736">
                  <w:marLeft w:val="0"/>
                  <w:marRight w:val="0"/>
                  <w:marTop w:val="0"/>
                  <w:marBottom w:val="0"/>
                  <w:divBdr>
                    <w:top w:val="none" w:sz="0" w:space="0" w:color="auto"/>
                    <w:left w:val="none" w:sz="0" w:space="0" w:color="auto"/>
                    <w:bottom w:val="none" w:sz="0" w:space="0" w:color="auto"/>
                    <w:right w:val="none" w:sz="0" w:space="0" w:color="auto"/>
                  </w:divBdr>
                  <w:divsChild>
                    <w:div w:id="5141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654106">
      <w:bodyDiv w:val="1"/>
      <w:marLeft w:val="0"/>
      <w:marRight w:val="0"/>
      <w:marTop w:val="0"/>
      <w:marBottom w:val="0"/>
      <w:divBdr>
        <w:top w:val="none" w:sz="0" w:space="0" w:color="auto"/>
        <w:left w:val="none" w:sz="0" w:space="0" w:color="auto"/>
        <w:bottom w:val="none" w:sz="0" w:space="0" w:color="auto"/>
        <w:right w:val="none" w:sz="0" w:space="0" w:color="auto"/>
      </w:divBdr>
    </w:div>
    <w:div w:id="598410232">
      <w:bodyDiv w:val="1"/>
      <w:marLeft w:val="0"/>
      <w:marRight w:val="0"/>
      <w:marTop w:val="0"/>
      <w:marBottom w:val="0"/>
      <w:divBdr>
        <w:top w:val="none" w:sz="0" w:space="0" w:color="auto"/>
        <w:left w:val="none" w:sz="0" w:space="0" w:color="auto"/>
        <w:bottom w:val="none" w:sz="0" w:space="0" w:color="auto"/>
        <w:right w:val="none" w:sz="0" w:space="0" w:color="auto"/>
      </w:divBdr>
    </w:div>
    <w:div w:id="1317489360">
      <w:bodyDiv w:val="1"/>
      <w:marLeft w:val="0"/>
      <w:marRight w:val="0"/>
      <w:marTop w:val="0"/>
      <w:marBottom w:val="0"/>
      <w:divBdr>
        <w:top w:val="none" w:sz="0" w:space="0" w:color="auto"/>
        <w:left w:val="none" w:sz="0" w:space="0" w:color="auto"/>
        <w:bottom w:val="none" w:sz="0" w:space="0" w:color="auto"/>
        <w:right w:val="none" w:sz="0" w:space="0" w:color="auto"/>
      </w:divBdr>
    </w:div>
    <w:div w:id="1378123101">
      <w:bodyDiv w:val="1"/>
      <w:marLeft w:val="0"/>
      <w:marRight w:val="0"/>
      <w:marTop w:val="0"/>
      <w:marBottom w:val="0"/>
      <w:divBdr>
        <w:top w:val="none" w:sz="0" w:space="0" w:color="auto"/>
        <w:left w:val="none" w:sz="0" w:space="0" w:color="auto"/>
        <w:bottom w:val="none" w:sz="0" w:space="0" w:color="auto"/>
        <w:right w:val="none" w:sz="0" w:space="0" w:color="auto"/>
      </w:divBdr>
    </w:div>
    <w:div w:id="1964264592">
      <w:bodyDiv w:val="1"/>
      <w:marLeft w:val="0"/>
      <w:marRight w:val="0"/>
      <w:marTop w:val="0"/>
      <w:marBottom w:val="0"/>
      <w:divBdr>
        <w:top w:val="none" w:sz="0" w:space="0" w:color="auto"/>
        <w:left w:val="none" w:sz="0" w:space="0" w:color="auto"/>
        <w:bottom w:val="none" w:sz="0" w:space="0" w:color="auto"/>
        <w:right w:val="none" w:sz="0" w:space="0" w:color="auto"/>
      </w:divBdr>
    </w:div>
    <w:div w:id="2010786109">
      <w:bodyDiv w:val="1"/>
      <w:marLeft w:val="0"/>
      <w:marRight w:val="0"/>
      <w:marTop w:val="0"/>
      <w:marBottom w:val="0"/>
      <w:divBdr>
        <w:top w:val="none" w:sz="0" w:space="0" w:color="auto"/>
        <w:left w:val="none" w:sz="0" w:space="0" w:color="auto"/>
        <w:bottom w:val="none" w:sz="0" w:space="0" w:color="auto"/>
        <w:right w:val="none" w:sz="0" w:space="0" w:color="auto"/>
      </w:divBdr>
    </w:div>
    <w:div w:id="2099520951">
      <w:bodyDiv w:val="1"/>
      <w:marLeft w:val="0"/>
      <w:marRight w:val="0"/>
      <w:marTop w:val="0"/>
      <w:marBottom w:val="0"/>
      <w:divBdr>
        <w:top w:val="none" w:sz="0" w:space="0" w:color="auto"/>
        <w:left w:val="none" w:sz="0" w:space="0" w:color="auto"/>
        <w:bottom w:val="none" w:sz="0" w:space="0" w:color="auto"/>
        <w:right w:val="none" w:sz="0" w:space="0" w:color="auto"/>
      </w:divBdr>
    </w:div>
    <w:div w:id="212900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strategy-and-policy/strategy-documents/commission-work-programme/commission-work-programme-2026_en" TargetMode="External"/><Relationship Id="rId2" Type="http://schemas.openxmlformats.org/officeDocument/2006/relationships/hyperlink" Target="https://www.consilium.europa.eu/en/press/press-releases/2018/03/23/european-council-art-50-guidelines-on-the-framework-for-the-future-eu-uk-relationship-23-march-2018/" TargetMode="External"/><Relationship Id="rId1" Type="http://schemas.openxmlformats.org/officeDocument/2006/relationships/hyperlink" Target="https://www.rijksoverheid.nl/documenten/vergaderstukken/2025/05/27/verslag-van-de-raad-buitenlandse-zaken-van-20-mei-2025" TargetMode="External"/><Relationship Id="rId5" Type="http://schemas.openxmlformats.org/officeDocument/2006/relationships/hyperlink" Target="https://ec.europa.eu/commission/presscorner/detail/en/inf_25_2481" TargetMode="External"/><Relationship Id="rId4" Type="http://schemas.openxmlformats.org/officeDocument/2006/relationships/hyperlink" Target="https://commission.europa.eu/publications/2025-rule-law-report-communication-and-country-chapter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2314</ap:Words>
  <ap:Characters>12728</ap:Characters>
  <ap:DocSecurity>0</ap:DocSecurity>
  <ap:Lines>106</ap:Lines>
  <ap:Paragraphs>30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15012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2025-11-21T11:06:00.0000000Z</lastPrinted>
  <dcterms:created xsi:type="dcterms:W3CDTF">2025-11-21T13:31:00.0000000Z</dcterms:created>
  <dcterms:modified xsi:type="dcterms:W3CDTF">2025-11-21T13:31:00.0000000Z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Land0">
    <vt:lpwstr/>
  </property>
  <property fmtid="{D5CDD505-2E9C-101B-9397-08002B2CF9AE}" pid="4" name="Forum">
    <vt:lpwstr/>
  </property>
  <property fmtid="{D5CDD505-2E9C-101B-9397-08002B2CF9AE}" pid="5" name="_dlc_DocIdItemGuid">
    <vt:lpwstr>1ac5a57f-1117-4526-bcaa-8d0d28f1c683</vt:lpwstr>
  </property>
  <property fmtid="{D5CDD505-2E9C-101B-9397-08002B2CF9AE}" pid="6" name="_docset_NoMedatataSyncRequired">
    <vt:lpwstr>False</vt:lpwstr>
  </property>
  <property fmtid="{D5CDD505-2E9C-101B-9397-08002B2CF9AE}" pid="7" name="BZ_Country">
    <vt:lpwstr>9;#The Netherlands|7f69a7bb-478c-499d-a6cf-5869916dfee4</vt:lpwstr>
  </property>
  <property fmtid="{D5CDD505-2E9C-101B-9397-08002B2CF9AE}" pid="8" name="BZ_Classification">
    <vt:lpwstr>14;#UNCLASSIFIED|d92c6340-bc14-4cb2-a9a6-6deda93c493b</vt:lpwstr>
  </property>
  <property fmtid="{D5CDD505-2E9C-101B-9397-08002B2CF9AE}" pid="9" name="BZ_Forum">
    <vt:lpwstr>8;#EU|4d8f9873-61b3-4ee5-b6f7-0bb00c6df5e8</vt:lpwstr>
  </property>
  <property fmtid="{D5CDD505-2E9C-101B-9397-08002B2CF9AE}" pid="10" name="BZ_Theme">
    <vt:lpwstr>11;#Organization|d3f777fe-abca-43dd-b11c-a7496ad32ea5;#7;#Visits (logistic)|53e8069b-a40e-4a89-b4f3-9b7112716272</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DocumentSetDescription">
    <vt:lpwstr/>
  </property>
  <property fmtid="{D5CDD505-2E9C-101B-9397-08002B2CF9AE}" pid="14" name="BZCountryState">
    <vt:lpwstr>3;#Not applicable|ec01d90b-9d0f-4785-8785-e1ea615196bf</vt:lpwstr>
  </property>
  <property fmtid="{D5CDD505-2E9C-101B-9397-08002B2CF9AE}" pid="15" name="BZMarking">
    <vt:lpwstr>5;#NO MARKING|0a4eb9ae-69eb-4d9e-b573-43ab99ef8592</vt:lpwstr>
  </property>
  <property fmtid="{D5CDD505-2E9C-101B-9397-08002B2CF9AE}" pid="16" name="BZClassification">
    <vt:lpwstr>4;#UNCLASSIFIED (U)|284e6a62-15ab-4017-be27-a1e965f4e940</vt:lpwstr>
  </property>
  <property fmtid="{D5CDD505-2E9C-101B-9397-08002B2CF9AE}" pid="17" name="URL">
    <vt:lpwstr/>
  </property>
  <property fmtid="{D5CDD505-2E9C-101B-9397-08002B2CF9AE}" pid="18" name="nf4434b3fae540fe847866e45672fb3a">
    <vt:lpwstr>Organization|d3f777fe-abca-43dd-b11c-a7496ad32ea5;Visits (logistic)|53e8069b-a40e-4a89-b4f3-9b7112716272</vt:lpwstr>
  </property>
  <property fmtid="{D5CDD505-2E9C-101B-9397-08002B2CF9AE}" pid="19" name="a45510494d1a450e9cee6905c7ad8168">
    <vt:lpwstr>The Netherlands|7f69a7bb-478c-499d-a6cf-5869916dfee4</vt:lpwstr>
  </property>
  <property fmtid="{D5CDD505-2E9C-101B-9397-08002B2CF9AE}" pid="20" name="ge4bd621e46a403e97baf402a410deb5">
    <vt:lpwstr>EU|4d8f9873-61b3-4ee5-b6f7-0bb00c6df5e8</vt:lpwstr>
  </property>
  <property fmtid="{D5CDD505-2E9C-101B-9397-08002B2CF9AE}" pid="21" name="gc2efd3bfea04f7f8169be07009f5536">
    <vt:lpwstr/>
  </property>
  <property fmtid="{D5CDD505-2E9C-101B-9397-08002B2CF9AE}" pid="22" name="BZDossierPublishingHistory">
    <vt:lpwstr/>
  </property>
  <property fmtid="{D5CDD505-2E9C-101B-9397-08002B2CF9AE}" pid="23" name="BZDossierApprovalHistory">
    <vt:lpwstr/>
  </property>
  <property fmtid="{D5CDD505-2E9C-101B-9397-08002B2CF9AE}" pid="24" name="BZDossierContributors">
    <vt:lpwstr/>
  </property>
  <property fmtid="{D5CDD505-2E9C-101B-9397-08002B2CF9AE}" pid="25" name="BZDossierProcessLocation">
    <vt:lpwstr/>
  </property>
  <property fmtid="{D5CDD505-2E9C-101B-9397-08002B2CF9AE}" pid="26" name="BZDossierPublishingWOOCategory">
    <vt:lpwstr/>
  </property>
  <property fmtid="{D5CDD505-2E9C-101B-9397-08002B2CF9AE}" pid="27" name="i42ef48d5fa942a0ad0d60e44f201751">
    <vt:lpwstr/>
  </property>
  <property fmtid="{D5CDD505-2E9C-101B-9397-08002B2CF9AE}" pid="28" name="f2fb2a8e39404f1ab554e4e4a49d2918">
    <vt:lpwstr/>
  </property>
  <property fmtid="{D5CDD505-2E9C-101B-9397-08002B2CF9AE}" pid="29" name="BZDossierDescription">
    <vt:lpwstr/>
  </property>
  <property fmtid="{D5CDD505-2E9C-101B-9397-08002B2CF9AE}" pid="30" name="BZDossierReaders">
    <vt:lpwstr/>
  </property>
  <property fmtid="{D5CDD505-2E9C-101B-9397-08002B2CF9AE}" pid="31" name="p29721a54a5c4bbe9786e930fc91e270">
    <vt:lpwstr/>
  </property>
  <property fmtid="{D5CDD505-2E9C-101B-9397-08002B2CF9AE}" pid="32" name="BZDossierTranslationHistory">
    <vt:lpwstr/>
  </property>
  <property fmtid="{D5CDD505-2E9C-101B-9397-08002B2CF9AE}" pid="33" name="BZDossierReference">
    <vt:lpwstr/>
  </property>
  <property fmtid="{D5CDD505-2E9C-101B-9397-08002B2CF9AE}" pid="34" name="BZDossierAuditLog">
    <vt:lpwstr/>
  </property>
  <property fmtid="{D5CDD505-2E9C-101B-9397-08002B2CF9AE}" pid="35" name="BZDossierTitle">
    <vt:lpwstr/>
  </property>
  <property fmtid="{D5CDD505-2E9C-101B-9397-08002B2CF9AE}" pid="36" name="ed9282a3f18446ec8c17c7829edf82dd">
    <vt:lpwstr/>
  </property>
  <property fmtid="{D5CDD505-2E9C-101B-9397-08002B2CF9AE}" pid="37" name="e256f556a7b748329ab47889947c7d40">
    <vt:lpwstr/>
  </property>
  <property fmtid="{D5CDD505-2E9C-101B-9397-08002B2CF9AE}" pid="38" name="BZDossierProcessType">
    <vt:lpwstr/>
  </property>
  <property fmtid="{D5CDD505-2E9C-101B-9397-08002B2CF9AE}" pid="39" name="BZDossierSendingHistory">
    <vt:lpwstr/>
  </property>
  <property fmtid="{D5CDD505-2E9C-101B-9397-08002B2CF9AE}" pid="40" name="BZDossierBudgetManager">
    <vt:lpwstr/>
  </property>
  <property fmtid="{D5CDD505-2E9C-101B-9397-08002B2CF9AE}" pid="41" name="BZDossierAlignmentHistory">
    <vt:lpwstr/>
  </property>
  <property fmtid="{D5CDD505-2E9C-101B-9397-08002B2CF9AE}" pid="42" name="BZDossierSendTo">
    <vt:lpwstr/>
  </property>
  <property fmtid="{D5CDD505-2E9C-101B-9397-08002B2CF9AE}" pid="43" name="BZDossierRedacting">
    <vt:lpwstr/>
  </property>
  <property fmtid="{D5CDD505-2E9C-101B-9397-08002B2CF9AE}" pid="44" name="BZDossierRedactingHistory">
    <vt:lpwstr/>
  </property>
  <property fmtid="{D5CDD505-2E9C-101B-9397-08002B2CF9AE}" pid="45" name="BZDossierApprovalPolitical">
    <vt:lpwstr/>
  </property>
  <property fmtid="{D5CDD505-2E9C-101B-9397-08002B2CF9AE}" pid="46" name="BZDossierPrincipalsInvolved">
    <vt:lpwstr/>
  </property>
  <property fmtid="{D5CDD505-2E9C-101B-9397-08002B2CF9AE}" pid="47" name="BZDossierApproval">
    <vt:lpwstr/>
  </property>
  <property fmtid="{D5CDD505-2E9C-101B-9397-08002B2CF9AE}" pid="48" name="BZDossierAlignment">
    <vt:lpwstr/>
  </property>
  <property fmtid="{D5CDD505-2E9C-101B-9397-08002B2CF9AE}" pid="49" name="BZDossierSending">
    <vt:lpwstr/>
  </property>
  <property fmtid="{D5CDD505-2E9C-101B-9397-08002B2CF9AE}" pid="50" name="BZDossierResponsibleDepartment">
    <vt:lpwstr/>
  </property>
  <property fmtid="{D5CDD505-2E9C-101B-9397-08002B2CF9AE}" pid="51" name="BZDossierResponsibleGroup">
    <vt:lpwstr/>
  </property>
  <property fmtid="{D5CDD505-2E9C-101B-9397-08002B2CF9AE}" pid="52" name="BZDossierApprovalPoliticalHistory">
    <vt:lpwstr/>
  </property>
  <property fmtid="{D5CDD505-2E9C-101B-9397-08002B2CF9AE}" pid="53" name="BZDossierPublishing">
    <vt:lpwstr/>
  </property>
  <property fmtid="{D5CDD505-2E9C-101B-9397-08002B2CF9AE}" pid="54" name="BZDossierSpecifics">
    <vt:lpwstr/>
  </property>
  <property fmtid="{D5CDD505-2E9C-101B-9397-08002B2CF9AE}" pid="55" name="BZDossierGovernmentOfficial">
    <vt:lpwstr/>
  </property>
  <property fmtid="{D5CDD505-2E9C-101B-9397-08002B2CF9AE}" pid="56" name="f8e003236e1c4ac2ab9051d5d8789bbb">
    <vt:lpwstr/>
  </property>
  <property fmtid="{D5CDD505-2E9C-101B-9397-08002B2CF9AE}" pid="57" name="BZDossierNotes">
    <vt:lpwstr/>
  </property>
  <property fmtid="{D5CDD505-2E9C-101B-9397-08002B2CF9AE}" pid="58" name="BZDossierTranslation">
    <vt:lpwstr/>
  </property>
  <property fmtid="{D5CDD505-2E9C-101B-9397-08002B2CF9AE}" pid="59" name="BZEmailSubject">
    <vt:lpwstr/>
  </property>
  <property fmtid="{D5CDD505-2E9C-101B-9397-08002B2CF9AE}" pid="60" name="BZEmailFrom">
    <vt:lpwstr/>
  </property>
  <property fmtid="{D5CDD505-2E9C-101B-9397-08002B2CF9AE}" pid="61" name="BZEmailCC">
    <vt:lpwstr/>
  </property>
  <property fmtid="{D5CDD505-2E9C-101B-9397-08002B2CF9AE}" pid="62" name="BZEmailTo">
    <vt:lpwstr/>
  </property>
  <property fmtid="{D5CDD505-2E9C-101B-9397-08002B2CF9AE}" pid="63" name="BZEmailBody">
    <vt:lpwstr/>
  </property>
</Properties>
</file>