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3402"/>
        <w:gridCol w:w="3969"/>
      </w:tblGrid>
      <w:tr w:rsidR="004330ED" w:rsidTr="00EA1CE4" w14:paraId="7F7AF6D5" w14:textId="77777777">
        <w:tc>
          <w:tcPr>
            <w:tcW w:w="63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30ED" w:rsidP="00EA1CE4" w:rsidRDefault="004330ED" w14:paraId="2F60D588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 w:rsidR="0021777F">
              <w:rPr>
                <w:rFonts w:ascii="Times New Roman" w:hAnsi="Times New Roman"/>
                <w:spacing w:val="40"/>
                <w:sz w:val="22"/>
              </w:rPr>
              <w:t>WEEDE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 w:rsidR="0021777F">
              <w:rPr>
                <w:rFonts w:ascii="Times New Roman" w:hAnsi="Times New Roman"/>
                <w:spacing w:val="40"/>
                <w:sz w:val="22"/>
              </w:rPr>
              <w:t xml:space="preserve">AMER </w:t>
            </w:r>
            <w:r>
              <w:rPr>
                <w:rFonts w:ascii="Times New Roman" w:hAnsi="Times New Roman"/>
                <w:spacing w:val="40"/>
                <w:sz w:val="22"/>
              </w:rPr>
              <w:t>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4330ED" w:rsidP="006E0971" w:rsidRDefault="004330ED" w14:paraId="30EC9773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4330ED" w:rsidTr="00EA1CE4" w14:paraId="0DB673EF" w14:textId="77777777">
        <w:trPr>
          <w:cantSplit/>
        </w:trPr>
        <w:tc>
          <w:tcPr>
            <w:tcW w:w="10348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="004330ED" w:rsidP="004A1E29" w:rsidRDefault="004330ED" w14:paraId="2B5C4456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 xml:space="preserve">Vergaderjaar </w:t>
            </w:r>
            <w:r w:rsidRPr="00E908D7" w:rsidR="00E908D7">
              <w:rPr>
                <w:rFonts w:ascii="Times New Roman" w:hAnsi="Times New Roman"/>
                <w:b w:val="0"/>
              </w:rPr>
              <w:t>202</w:t>
            </w:r>
            <w:r w:rsidR="00413B00">
              <w:rPr>
                <w:rFonts w:ascii="Times New Roman" w:hAnsi="Times New Roman"/>
                <w:b w:val="0"/>
              </w:rPr>
              <w:t>5</w:t>
            </w:r>
            <w:r w:rsidRPr="00E908D7" w:rsidR="00E908D7">
              <w:rPr>
                <w:rFonts w:ascii="Times New Roman" w:hAnsi="Times New Roman"/>
                <w:b w:val="0"/>
              </w:rPr>
              <w:t>-202</w:t>
            </w:r>
            <w:r w:rsidR="00413B00">
              <w:rPr>
                <w:rFonts w:ascii="Times New Roman" w:hAnsi="Times New Roman"/>
                <w:b w:val="0"/>
              </w:rPr>
              <w:t>6</w:t>
            </w:r>
          </w:p>
        </w:tc>
      </w:tr>
      <w:tr w:rsidR="004330ED" w:rsidTr="00EA1CE4" w14:paraId="71AE8F34" w14:textId="77777777">
        <w:trPr>
          <w:cantSplit/>
        </w:trPr>
        <w:tc>
          <w:tcPr>
            <w:tcW w:w="103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330ED" w:rsidP="00BF623B" w:rsidRDefault="004330ED" w14:paraId="2B8A3F63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b w:val="0"/>
              </w:rPr>
            </w:pPr>
          </w:p>
        </w:tc>
      </w:tr>
      <w:tr w:rsidR="004330ED" w:rsidTr="00EA1CE4" w14:paraId="5AC60C03" w14:textId="77777777">
        <w:trPr>
          <w:cantSplit/>
        </w:trPr>
        <w:tc>
          <w:tcPr>
            <w:tcW w:w="10348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4330ED" w:rsidP="00BF623B" w:rsidRDefault="004330ED" w14:paraId="50B8C0B7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</w:tr>
      <w:tr w:rsidR="004330ED" w:rsidTr="00EA1CE4" w14:paraId="59393AB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="004330ED" w:rsidP="006E0971" w:rsidRDefault="004330ED" w14:paraId="7AC7BFA1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Pr="00783215" w:rsidR="004330ED" w:rsidP="006E0971" w:rsidRDefault="004330ED" w14:paraId="5C0F7CF2" w14:textId="77777777">
            <w:pPr>
              <w:suppressAutoHyphens/>
              <w:ind w:left="-70"/>
              <w:rPr>
                <w:b/>
              </w:rPr>
            </w:pPr>
          </w:p>
        </w:tc>
      </w:tr>
      <w:tr w:rsidR="003C21AC" w:rsidTr="00EA1CE4" w14:paraId="1C5BA23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EA1CE4" w:rsidRDefault="00E9366A" w14:paraId="038D4590" w14:textId="5A2DDB7E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36 812</w:t>
            </w:r>
          </w:p>
        </w:tc>
        <w:tc>
          <w:tcPr>
            <w:tcW w:w="7371" w:type="dxa"/>
            <w:gridSpan w:val="2"/>
          </w:tcPr>
          <w:p w:rsidRPr="00E9366A" w:rsidR="003C21AC" w:rsidP="00E9366A" w:rsidRDefault="00E9366A" w14:paraId="5DB24DB3" w14:textId="78E341FA">
            <w:pPr>
              <w:rPr>
                <w:b/>
                <w:bCs/>
                <w:szCs w:val="24"/>
              </w:rPr>
            </w:pPr>
            <w:r w:rsidRPr="00E9366A">
              <w:rPr>
                <w:b/>
                <w:bCs/>
                <w:szCs w:val="24"/>
              </w:rPr>
              <w:t>Wijziging van enkele belastingwetten en enige andere wetten (Belastingplan 2026)</w:t>
            </w:r>
          </w:p>
        </w:tc>
      </w:tr>
      <w:tr w:rsidR="003C21AC" w:rsidTr="00EA1CE4" w14:paraId="79EB8F0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6E0971" w:rsidRDefault="003C21AC" w14:paraId="026A2DA9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Pr="00783215" w:rsidR="003C21AC" w:rsidP="006E0971" w:rsidRDefault="003C21AC" w14:paraId="3E666989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</w:rPr>
            </w:pPr>
          </w:p>
        </w:tc>
      </w:tr>
      <w:tr w:rsidR="003C21AC" w:rsidTr="00EA1CE4" w14:paraId="2B5BAFA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6E0971" w:rsidRDefault="003C21AC" w14:paraId="5CD9E8DC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Pr="00C035D4" w:rsidR="003C21AC" w:rsidP="006E0971" w:rsidRDefault="003C21AC" w14:paraId="2EC7357C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</w:rPr>
            </w:pPr>
          </w:p>
        </w:tc>
      </w:tr>
      <w:tr w:rsidR="003C21AC" w:rsidTr="00EA1CE4" w14:paraId="6295129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EA1CE4" w:rsidRDefault="003C21AC" w14:paraId="776EC986" w14:textId="38B5B2C8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 w:rsidRPr="00C035D4">
              <w:rPr>
                <w:rFonts w:ascii="Times New Roman" w:hAnsi="Times New Roman"/>
              </w:rPr>
              <w:t xml:space="preserve">Nr. </w:t>
            </w:r>
            <w:r w:rsidR="00AC4FDC">
              <w:rPr>
                <w:rFonts w:ascii="Times New Roman" w:hAnsi="Times New Roman"/>
                <w:caps/>
              </w:rPr>
              <w:t>52</w:t>
            </w:r>
          </w:p>
        </w:tc>
        <w:tc>
          <w:tcPr>
            <w:tcW w:w="7371" w:type="dxa"/>
            <w:gridSpan w:val="2"/>
          </w:tcPr>
          <w:p w:rsidRPr="00C035D4" w:rsidR="003C21AC" w:rsidP="006E0971" w:rsidRDefault="003C21AC" w14:paraId="7035FF6E" w14:textId="5F6C8C7E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  <w:caps/>
              </w:rPr>
            </w:pPr>
            <w:r w:rsidRPr="00C035D4">
              <w:rPr>
                <w:rFonts w:ascii="Times New Roman" w:hAnsi="Times New Roman"/>
                <w:caps/>
              </w:rPr>
              <w:t xml:space="preserve">AMENDEMENT VAN HET LID </w:t>
            </w:r>
            <w:r w:rsidR="00E9366A">
              <w:rPr>
                <w:rFonts w:ascii="Times New Roman" w:hAnsi="Times New Roman"/>
                <w:caps/>
              </w:rPr>
              <w:t>vermeer</w:t>
            </w:r>
          </w:p>
        </w:tc>
      </w:tr>
      <w:tr w:rsidR="003C21AC" w:rsidTr="00EA1CE4" w14:paraId="2F3F6F3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="003C21AC" w:rsidP="006E0971" w:rsidRDefault="003C21AC" w14:paraId="0BF675BC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="003C21AC" w:rsidP="006E0971" w:rsidRDefault="003C21AC" w14:paraId="090F6918" w14:textId="3BC86929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 xml:space="preserve">Ontvangen </w:t>
            </w:r>
            <w:r w:rsidR="00AC4FDC">
              <w:rPr>
                <w:rFonts w:ascii="Times New Roman" w:hAnsi="Times New Roman"/>
                <w:b w:val="0"/>
              </w:rPr>
              <w:t>24 november 2025</w:t>
            </w:r>
          </w:p>
        </w:tc>
      </w:tr>
      <w:tr w:rsidR="00B01BA6" w:rsidTr="00EA1CE4" w14:paraId="214F5C4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="00B01BA6" w:rsidP="006E0971" w:rsidRDefault="00B01BA6" w14:paraId="2F9BA033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="00B01BA6" w:rsidP="006E0971" w:rsidRDefault="00B01BA6" w14:paraId="005D95FB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  <w:b w:val="0"/>
              </w:rPr>
            </w:pPr>
          </w:p>
        </w:tc>
      </w:tr>
      <w:tr w:rsidRPr="00EA69AC" w:rsidR="00B01BA6" w:rsidTr="00EA1CE4" w14:paraId="79D1BB1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0348" w:type="dxa"/>
            <w:gridSpan w:val="3"/>
          </w:tcPr>
          <w:p w:rsidRPr="00EA69AC" w:rsidR="00B01BA6" w:rsidP="0088452C" w:rsidRDefault="00B01BA6" w14:paraId="7C94F6EC" w14:textId="77777777">
            <w:pPr>
              <w:ind w:firstLine="284"/>
            </w:pPr>
            <w:r w:rsidRPr="00EA69AC">
              <w:t>De ondergetekende stelt het volgende amendement voor:</w:t>
            </w:r>
          </w:p>
        </w:tc>
      </w:tr>
    </w:tbl>
    <w:p w:rsidRPr="00EA69AC" w:rsidR="004330ED" w:rsidP="00D774B3" w:rsidRDefault="004330ED" w14:paraId="7E041947" w14:textId="77777777"/>
    <w:p w:rsidRPr="00EA69AC" w:rsidR="00E9366A" w:rsidP="00E9366A" w:rsidRDefault="00E9366A" w14:paraId="549DC4F5" w14:textId="742006D4">
      <w:pPr>
        <w:ind w:firstLine="284"/>
      </w:pPr>
      <w:r>
        <w:t>In artikel XXXVII wordt “en” vervangen door een komma en wordt na “IX” ingevoegd “en XXI”.</w:t>
      </w:r>
    </w:p>
    <w:p w:rsidR="00EA1CE4" w:rsidP="00EA1CE4" w:rsidRDefault="00EA1CE4" w14:paraId="2CDBEC30" w14:textId="77777777"/>
    <w:p w:rsidRPr="00EA69AC" w:rsidR="003C21AC" w:rsidP="00EA1CE4" w:rsidRDefault="003C21AC" w14:paraId="0C00B273" w14:textId="77777777">
      <w:pPr>
        <w:rPr>
          <w:b/>
        </w:rPr>
      </w:pPr>
      <w:r w:rsidRPr="00EA69AC">
        <w:rPr>
          <w:b/>
        </w:rPr>
        <w:t>Toelichting</w:t>
      </w:r>
    </w:p>
    <w:p w:rsidR="00667250" w:rsidP="00667250" w:rsidRDefault="00667250" w14:paraId="034341FD" w14:textId="77777777">
      <w:pPr>
        <w:rPr>
          <w:i/>
          <w:iCs/>
        </w:rPr>
      </w:pPr>
    </w:p>
    <w:p w:rsidRPr="00DE6422" w:rsidR="00A80D80" w:rsidP="00A80D80" w:rsidRDefault="00A80D80" w14:paraId="4B1C7310" w14:textId="586DB4EE">
      <w:r>
        <w:t xml:space="preserve">Dit </w:t>
      </w:r>
      <w:r w:rsidR="00592C9B">
        <w:t xml:space="preserve">amendement </w:t>
      </w:r>
      <w:r>
        <w:t xml:space="preserve">maakt de voorgenomen beperkingen aan de </w:t>
      </w:r>
      <w:r w:rsidRPr="00DE6422">
        <w:t xml:space="preserve">vrijstelling van motorrijtuigenbelasting voor oldtimers ongedaan. </w:t>
      </w:r>
      <w:r>
        <w:t xml:space="preserve">Op dit moment bestaat er </w:t>
      </w:r>
      <w:r w:rsidRPr="00DE6422">
        <w:t xml:space="preserve">een vrijstelling voor motorrijtuigen die ouder zijn dan veertig jaar. </w:t>
      </w:r>
      <w:r>
        <w:t xml:space="preserve">In </w:t>
      </w:r>
      <w:r w:rsidRPr="00DE6422">
        <w:t xml:space="preserve">het </w:t>
      </w:r>
      <w:r>
        <w:t xml:space="preserve">Belastingplan 2024 is geregeld </w:t>
      </w:r>
      <w:r w:rsidRPr="00DE6422">
        <w:t xml:space="preserve">dat deze vrijstelling met ingang van 1 januari 2028 </w:t>
      </w:r>
      <w:r>
        <w:t xml:space="preserve">wordt beperkt </w:t>
      </w:r>
      <w:r w:rsidRPr="00DE6422">
        <w:t>tot motorrijtuigen die vóór 1 januari 1988 voor het eerst in gebruik zijn genomen.</w:t>
      </w:r>
      <w:r>
        <w:t xml:space="preserve"> </w:t>
      </w:r>
      <w:r w:rsidRPr="00DE6422">
        <w:t xml:space="preserve">Met het onderhavige </w:t>
      </w:r>
      <w:r>
        <w:t xml:space="preserve">onderdeel </w:t>
      </w:r>
      <w:r w:rsidRPr="00DE6422">
        <w:t>wordt die wijziging teruggedraaid, zodat de bestaande regeling wordt gehandhaafd</w:t>
      </w:r>
      <w:r>
        <w:t xml:space="preserve">: </w:t>
      </w:r>
      <w:r w:rsidRPr="00A55D50">
        <w:t>de vrijstelling geldt voor motorrijtuigen van veertig jaar en ouder</w:t>
      </w:r>
      <w:r w:rsidRPr="00DE6422">
        <w:t>. Daarmee blijft de huidige systematiek van een leeftijdsafhankelijke vrijstelling behouden.</w:t>
      </w:r>
    </w:p>
    <w:p w:rsidR="006C27A7" w:rsidP="00E9366A" w:rsidRDefault="006C27A7" w14:paraId="34D9A321" w14:textId="77777777"/>
    <w:p w:rsidR="006C27A7" w:rsidP="00E9366A" w:rsidRDefault="006C27A7" w14:paraId="7C52D3FF" w14:textId="6A640178">
      <w:pPr>
        <w:rPr>
          <w:i/>
          <w:iCs/>
        </w:rPr>
      </w:pPr>
      <w:r>
        <w:rPr>
          <w:i/>
          <w:iCs/>
        </w:rPr>
        <w:t xml:space="preserve">Budgettair </w:t>
      </w:r>
    </w:p>
    <w:p w:rsidR="00592922" w:rsidP="0003315C" w:rsidRDefault="0045141D" w14:paraId="2E270A0C" w14:textId="77777777">
      <w:r w:rsidRPr="0045141D">
        <w:t xml:space="preserve">Het afschaffen van de uitfasering van de oldtimerregeling kost € 4mln. per 2028 en loopt stapsgewijs ieder jaar op tot het in 2058 structureel </w:t>
      </w:r>
      <w:r>
        <w:t>€ </w:t>
      </w:r>
      <w:r w:rsidRPr="0045141D">
        <w:t xml:space="preserve">76 mln. kost. </w:t>
      </w:r>
    </w:p>
    <w:p w:rsidR="003F1776" w:rsidP="0003315C" w:rsidRDefault="003F1776" w14:paraId="4CA7373B" w14:textId="77777777"/>
    <w:p w:rsidRPr="00AC4FDC" w:rsidR="003F1776" w:rsidP="0003315C" w:rsidRDefault="003F1776" w14:paraId="63417AD9" w14:textId="057F87C5">
      <w:pPr>
        <w:rPr>
          <w:i/>
          <w:iCs/>
        </w:rPr>
      </w:pPr>
      <w:r w:rsidRPr="00AC4FDC">
        <w:rPr>
          <w:i/>
          <w:iCs/>
        </w:rPr>
        <w:t xml:space="preserve">Dekking </w:t>
      </w:r>
    </w:p>
    <w:p w:rsidR="003F1776" w:rsidP="0003315C" w:rsidRDefault="003F1776" w14:paraId="6D6DD9C3" w14:textId="20470EFA">
      <w:r>
        <w:t xml:space="preserve">Dekking wordt volledig ingevuld door het versoberen van de SDE++ subsidie. Hiertoe wordt een apart amendement ingediend op de begroting van het Klimaatfonds. </w:t>
      </w:r>
    </w:p>
    <w:p w:rsidR="00592922" w:rsidP="0003315C" w:rsidRDefault="00592922" w14:paraId="719CA777" w14:textId="77777777">
      <w:pPr>
        <w:rPr>
          <w:bCs/>
          <w:i/>
          <w:iCs/>
        </w:rPr>
      </w:pPr>
      <w:bookmarkStart w:name="_Hlk214437708" w:id="0"/>
    </w:p>
    <w:p w:rsidRPr="00592922" w:rsidR="0003315C" w:rsidP="0003315C" w:rsidRDefault="0003315C" w14:paraId="7BDD6260" w14:textId="21C73082">
      <w:r w:rsidRPr="0003315C">
        <w:rPr>
          <w:bCs/>
          <w:i/>
          <w:iCs/>
        </w:rPr>
        <w:t>Tabel 1: Budgettaire effecten amendement (Prijspeil 2025)</w:t>
      </w:r>
    </w:p>
    <w:tbl>
      <w:tblPr>
        <w:tblStyle w:val="Rastertabel4-Accent5"/>
        <w:tblW w:w="9415" w:type="dxa"/>
        <w:tblInd w:w="-5" w:type="dxa"/>
        <w:tblLook w:val="04A0" w:firstRow="1" w:lastRow="0" w:firstColumn="1" w:lastColumn="0" w:noHBand="0" w:noVBand="1"/>
      </w:tblPr>
      <w:tblGrid>
        <w:gridCol w:w="2380"/>
        <w:gridCol w:w="861"/>
        <w:gridCol w:w="862"/>
        <w:gridCol w:w="862"/>
        <w:gridCol w:w="862"/>
        <w:gridCol w:w="862"/>
        <w:gridCol w:w="862"/>
        <w:gridCol w:w="969"/>
        <w:gridCol w:w="895"/>
      </w:tblGrid>
      <w:tr w:rsidRPr="0003315C" w:rsidR="00592922" w:rsidTr="00592C9B" w14:paraId="5A0874CC" w14:textId="468BC5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0" w:type="dxa"/>
          </w:tcPr>
          <w:p w:rsidRPr="00592922" w:rsidR="0003315C" w:rsidP="0003315C" w:rsidRDefault="0003315C" w14:paraId="7713F6B5" w14:textId="77777777"/>
        </w:tc>
        <w:tc>
          <w:tcPr>
            <w:tcW w:w="861" w:type="dxa"/>
            <w:hideMark/>
          </w:tcPr>
          <w:p w:rsidRPr="00592922" w:rsidR="0003315C" w:rsidP="0003315C" w:rsidRDefault="0003315C" w14:paraId="53EC6514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92922">
              <w:t>2028</w:t>
            </w:r>
          </w:p>
        </w:tc>
        <w:tc>
          <w:tcPr>
            <w:tcW w:w="862" w:type="dxa"/>
            <w:hideMark/>
          </w:tcPr>
          <w:p w:rsidRPr="00592922" w:rsidR="0003315C" w:rsidP="0003315C" w:rsidRDefault="0003315C" w14:paraId="2EEE9CB0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92922">
              <w:t>2029</w:t>
            </w:r>
          </w:p>
        </w:tc>
        <w:tc>
          <w:tcPr>
            <w:tcW w:w="862" w:type="dxa"/>
            <w:hideMark/>
          </w:tcPr>
          <w:p w:rsidRPr="00592922" w:rsidR="0003315C" w:rsidP="0003315C" w:rsidRDefault="0003315C" w14:paraId="12FDDF69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92922">
              <w:t>2030</w:t>
            </w:r>
          </w:p>
        </w:tc>
        <w:tc>
          <w:tcPr>
            <w:tcW w:w="862" w:type="dxa"/>
            <w:hideMark/>
          </w:tcPr>
          <w:p w:rsidRPr="00592922" w:rsidR="0003315C" w:rsidP="0003315C" w:rsidRDefault="0003315C" w14:paraId="30707FF5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92922">
              <w:t>2031</w:t>
            </w:r>
          </w:p>
        </w:tc>
        <w:tc>
          <w:tcPr>
            <w:tcW w:w="862" w:type="dxa"/>
            <w:hideMark/>
          </w:tcPr>
          <w:p w:rsidRPr="00592922" w:rsidR="0003315C" w:rsidP="0003315C" w:rsidRDefault="0003315C" w14:paraId="66E9B869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92922">
              <w:t>2032</w:t>
            </w:r>
          </w:p>
        </w:tc>
        <w:tc>
          <w:tcPr>
            <w:tcW w:w="862" w:type="dxa"/>
            <w:hideMark/>
          </w:tcPr>
          <w:p w:rsidRPr="00592922" w:rsidR="0003315C" w:rsidP="0003315C" w:rsidRDefault="0003315C" w14:paraId="2F548F41" w14:textId="46C931D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92922">
              <w:t>2033</w:t>
            </w:r>
          </w:p>
        </w:tc>
        <w:tc>
          <w:tcPr>
            <w:tcW w:w="969" w:type="dxa"/>
          </w:tcPr>
          <w:p w:rsidRPr="0003315C" w:rsidR="0003315C" w:rsidP="0003315C" w:rsidRDefault="0003315C" w14:paraId="05751BD7" w14:textId="1557E48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proofErr w:type="spellStart"/>
            <w:r>
              <w:rPr>
                <w:b w:val="0"/>
              </w:rPr>
              <w:t>Struc</w:t>
            </w:r>
            <w:proofErr w:type="spellEnd"/>
            <w:r>
              <w:rPr>
                <w:b w:val="0"/>
              </w:rPr>
              <w:t>.</w:t>
            </w:r>
          </w:p>
        </w:tc>
        <w:tc>
          <w:tcPr>
            <w:tcW w:w="895" w:type="dxa"/>
          </w:tcPr>
          <w:p w:rsidRPr="00592922" w:rsidR="0003315C" w:rsidP="0003315C" w:rsidRDefault="0003315C" w14:paraId="7B1A3C46" w14:textId="2B363BA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proofErr w:type="spellStart"/>
            <w:r>
              <w:rPr>
                <w:b w:val="0"/>
              </w:rPr>
              <w:t>Struc</w:t>
            </w:r>
            <w:proofErr w:type="spellEnd"/>
            <w:r>
              <w:rPr>
                <w:b w:val="0"/>
              </w:rPr>
              <w:t xml:space="preserve"> jaar</w:t>
            </w:r>
          </w:p>
        </w:tc>
      </w:tr>
      <w:tr w:rsidRPr="0003315C" w:rsidR="00592922" w:rsidTr="00592C9B" w14:paraId="536486D0" w14:textId="558E6F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0" w:type="dxa"/>
            <w:tcBorders>
              <w:top w:val="single" w:color="92CDDC" w:themeColor="accent5" w:themeTint="99" w:sz="4" w:space="0"/>
              <w:left w:val="single" w:color="92CDDC" w:themeColor="accent5" w:themeTint="99" w:sz="4" w:space="0"/>
              <w:bottom w:val="single" w:color="92CDDC" w:themeColor="accent5" w:themeTint="99" w:sz="4" w:space="0"/>
              <w:right w:val="single" w:color="92CDDC" w:themeColor="accent5" w:themeTint="99" w:sz="4" w:space="0"/>
            </w:tcBorders>
          </w:tcPr>
          <w:p w:rsidR="0003315C" w:rsidP="0003315C" w:rsidRDefault="0003315C" w14:paraId="2D0B39CD" w14:textId="7DBACC8B">
            <w:r>
              <w:t xml:space="preserve">Terugdraaien </w:t>
            </w:r>
            <w:proofErr w:type="spellStart"/>
            <w:r>
              <w:t>versorbering</w:t>
            </w:r>
            <w:proofErr w:type="spellEnd"/>
            <w:r>
              <w:t xml:space="preserve"> oldtimerregeling</w:t>
            </w:r>
          </w:p>
        </w:tc>
        <w:tc>
          <w:tcPr>
            <w:tcW w:w="861" w:type="dxa"/>
            <w:tcBorders>
              <w:top w:val="single" w:color="92CDDC" w:themeColor="accent5" w:themeTint="99" w:sz="4" w:space="0"/>
              <w:left w:val="single" w:color="92CDDC" w:themeColor="accent5" w:themeTint="99" w:sz="4" w:space="0"/>
              <w:bottom w:val="single" w:color="92CDDC" w:themeColor="accent5" w:themeTint="99" w:sz="4" w:space="0"/>
              <w:right w:val="single" w:color="92CDDC" w:themeColor="accent5" w:themeTint="99" w:sz="4" w:space="0"/>
            </w:tcBorders>
          </w:tcPr>
          <w:p w:rsidRPr="0003315C" w:rsidR="0003315C" w:rsidP="0003315C" w:rsidRDefault="0003315C" w14:paraId="22B536C1" w14:textId="070B96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-4</w:t>
            </w:r>
          </w:p>
        </w:tc>
        <w:tc>
          <w:tcPr>
            <w:tcW w:w="862" w:type="dxa"/>
            <w:tcBorders>
              <w:top w:val="single" w:color="92CDDC" w:themeColor="accent5" w:themeTint="99" w:sz="4" w:space="0"/>
              <w:left w:val="single" w:color="92CDDC" w:themeColor="accent5" w:themeTint="99" w:sz="4" w:space="0"/>
              <w:bottom w:val="single" w:color="92CDDC" w:themeColor="accent5" w:themeTint="99" w:sz="4" w:space="0"/>
              <w:right w:val="single" w:color="92CDDC" w:themeColor="accent5" w:themeTint="99" w:sz="4" w:space="0"/>
            </w:tcBorders>
          </w:tcPr>
          <w:p w:rsidRPr="0003315C" w:rsidR="0003315C" w:rsidP="0003315C" w:rsidRDefault="0003315C" w14:paraId="1D025651" w14:textId="0E5A2E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-10</w:t>
            </w:r>
          </w:p>
        </w:tc>
        <w:tc>
          <w:tcPr>
            <w:tcW w:w="862" w:type="dxa"/>
            <w:tcBorders>
              <w:top w:val="single" w:color="92CDDC" w:themeColor="accent5" w:themeTint="99" w:sz="4" w:space="0"/>
              <w:left w:val="single" w:color="92CDDC" w:themeColor="accent5" w:themeTint="99" w:sz="4" w:space="0"/>
              <w:bottom w:val="single" w:color="92CDDC" w:themeColor="accent5" w:themeTint="99" w:sz="4" w:space="0"/>
              <w:right w:val="single" w:color="92CDDC" w:themeColor="accent5" w:themeTint="99" w:sz="4" w:space="0"/>
            </w:tcBorders>
          </w:tcPr>
          <w:p w:rsidRPr="0003315C" w:rsidR="0003315C" w:rsidP="0003315C" w:rsidRDefault="0003315C" w14:paraId="7DB630D9" w14:textId="1ADB6C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-14</w:t>
            </w:r>
          </w:p>
        </w:tc>
        <w:tc>
          <w:tcPr>
            <w:tcW w:w="862" w:type="dxa"/>
            <w:tcBorders>
              <w:top w:val="single" w:color="92CDDC" w:themeColor="accent5" w:themeTint="99" w:sz="4" w:space="0"/>
              <w:left w:val="single" w:color="92CDDC" w:themeColor="accent5" w:themeTint="99" w:sz="4" w:space="0"/>
              <w:bottom w:val="single" w:color="92CDDC" w:themeColor="accent5" w:themeTint="99" w:sz="4" w:space="0"/>
              <w:right w:val="single" w:color="92CDDC" w:themeColor="accent5" w:themeTint="99" w:sz="4" w:space="0"/>
            </w:tcBorders>
          </w:tcPr>
          <w:p w:rsidRPr="0003315C" w:rsidR="0003315C" w:rsidP="0003315C" w:rsidRDefault="0003315C" w14:paraId="517CE35A" w14:textId="7FD586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-18</w:t>
            </w:r>
          </w:p>
        </w:tc>
        <w:tc>
          <w:tcPr>
            <w:tcW w:w="862" w:type="dxa"/>
            <w:tcBorders>
              <w:top w:val="single" w:color="92CDDC" w:themeColor="accent5" w:themeTint="99" w:sz="4" w:space="0"/>
              <w:left w:val="single" w:color="92CDDC" w:themeColor="accent5" w:themeTint="99" w:sz="4" w:space="0"/>
              <w:bottom w:val="single" w:color="92CDDC" w:themeColor="accent5" w:themeTint="99" w:sz="4" w:space="0"/>
              <w:right w:val="single" w:color="92CDDC" w:themeColor="accent5" w:themeTint="99" w:sz="4" w:space="0"/>
            </w:tcBorders>
          </w:tcPr>
          <w:p w:rsidRPr="0003315C" w:rsidR="0003315C" w:rsidP="0003315C" w:rsidRDefault="0003315C" w14:paraId="3F2ACA8A" w14:textId="3D77F9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-22</w:t>
            </w:r>
          </w:p>
        </w:tc>
        <w:tc>
          <w:tcPr>
            <w:tcW w:w="862" w:type="dxa"/>
            <w:tcBorders>
              <w:top w:val="single" w:color="92CDDC" w:themeColor="accent5" w:themeTint="99" w:sz="4" w:space="0"/>
              <w:left w:val="single" w:color="92CDDC" w:themeColor="accent5" w:themeTint="99" w:sz="4" w:space="0"/>
              <w:bottom w:val="single" w:color="92CDDC" w:themeColor="accent5" w:themeTint="99" w:sz="4" w:space="0"/>
              <w:right w:val="single" w:color="92CDDC" w:themeColor="accent5" w:themeTint="99" w:sz="4" w:space="0"/>
            </w:tcBorders>
          </w:tcPr>
          <w:p w:rsidRPr="0003315C" w:rsidR="0003315C" w:rsidP="0003315C" w:rsidRDefault="0003315C" w14:paraId="67A8D79D" w14:textId="1855E4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-26</w:t>
            </w:r>
          </w:p>
        </w:tc>
        <w:tc>
          <w:tcPr>
            <w:tcW w:w="969" w:type="dxa"/>
            <w:tcBorders>
              <w:top w:val="single" w:color="92CDDC" w:themeColor="accent5" w:themeTint="99" w:sz="4" w:space="0"/>
              <w:left w:val="single" w:color="92CDDC" w:themeColor="accent5" w:themeTint="99" w:sz="4" w:space="0"/>
              <w:bottom w:val="single" w:color="92CDDC" w:themeColor="accent5" w:themeTint="99" w:sz="4" w:space="0"/>
              <w:right w:val="single" w:color="92CDDC" w:themeColor="accent5" w:themeTint="99" w:sz="4" w:space="0"/>
            </w:tcBorders>
          </w:tcPr>
          <w:p w:rsidRPr="0003315C" w:rsidR="0003315C" w:rsidP="0003315C" w:rsidRDefault="0003315C" w14:paraId="79DADB18" w14:textId="57E20E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-76</w:t>
            </w:r>
          </w:p>
        </w:tc>
        <w:tc>
          <w:tcPr>
            <w:tcW w:w="895" w:type="dxa"/>
            <w:tcBorders>
              <w:top w:val="single" w:color="92CDDC" w:themeColor="accent5" w:themeTint="99" w:sz="4" w:space="0"/>
              <w:left w:val="single" w:color="92CDDC" w:themeColor="accent5" w:themeTint="99" w:sz="4" w:space="0"/>
              <w:bottom w:val="single" w:color="92CDDC" w:themeColor="accent5" w:themeTint="99" w:sz="4" w:space="0"/>
              <w:right w:val="single" w:color="92CDDC" w:themeColor="accent5" w:themeTint="99" w:sz="4" w:space="0"/>
            </w:tcBorders>
          </w:tcPr>
          <w:p w:rsidRPr="0003315C" w:rsidR="0003315C" w:rsidP="0003315C" w:rsidRDefault="0003315C" w14:paraId="54600376" w14:textId="1B3E91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2058</w:t>
            </w:r>
          </w:p>
        </w:tc>
      </w:tr>
      <w:bookmarkEnd w:id="0"/>
    </w:tbl>
    <w:p w:rsidRPr="00EA69AC" w:rsidR="005B1DCC" w:rsidP="00BF623B" w:rsidRDefault="005B1DCC" w14:paraId="2C867F9F" w14:textId="77777777"/>
    <w:p w:rsidR="00E9366A" w:rsidP="00EA1CE4" w:rsidRDefault="00141826" w14:paraId="4D10B9DF" w14:textId="5E9FD1D9">
      <w:r>
        <w:t>Vermeer</w:t>
      </w:r>
    </w:p>
    <w:p w:rsidRPr="00EA69AC" w:rsidR="00BE457F" w:rsidP="00EA1CE4" w:rsidRDefault="00BE457F" w14:paraId="7A5137E3" w14:textId="77777777"/>
    <w:sectPr w:rsidRPr="00EA69AC" w:rsidR="00BE457F" w:rsidSect="00EA1CE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6" w:h="16838"/>
      <w:pgMar w:top="360" w:right="566" w:bottom="1417" w:left="993" w:header="360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1CF014" w14:textId="77777777" w:rsidR="001C7874" w:rsidRDefault="001C7874">
      <w:pPr>
        <w:spacing w:line="20" w:lineRule="exact"/>
      </w:pPr>
    </w:p>
  </w:endnote>
  <w:endnote w:type="continuationSeparator" w:id="0">
    <w:p w14:paraId="79F01D7E" w14:textId="77777777" w:rsidR="001C7874" w:rsidRDefault="001C7874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600374B" w14:textId="77777777" w:rsidR="001C7874" w:rsidRDefault="001C7874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2DD3A" w14:textId="77777777" w:rsidR="00F36E2A" w:rsidRDefault="00F36E2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434EB" w14:textId="77777777" w:rsidR="00F36E2A" w:rsidRDefault="00F36E2A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B946C" w14:textId="77777777" w:rsidR="00F36E2A" w:rsidRDefault="00F36E2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4AECBB" w14:textId="77777777" w:rsidR="001C7874" w:rsidRDefault="001C7874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885BD15" w14:textId="77777777" w:rsidR="001C7874" w:rsidRDefault="001C7874">
      <w:r>
        <w:continuationSeparator/>
      </w:r>
    </w:p>
  </w:footnote>
  <w:footnote w:type="continuationNotice" w:id="1">
    <w:p w14:paraId="20E28ECD" w14:textId="77777777" w:rsidR="001C7874" w:rsidRDefault="001C787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109C4" w14:textId="77777777" w:rsidR="00F36E2A" w:rsidRDefault="00F36E2A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C4C36" w14:textId="77777777" w:rsidR="00F36E2A" w:rsidRDefault="00F36E2A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29815" w14:textId="77777777" w:rsidR="00F36E2A" w:rsidRDefault="00F36E2A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83E48"/>
    <w:multiLevelType w:val="multilevel"/>
    <w:tmpl w:val="FEC2F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661C0E"/>
    <w:multiLevelType w:val="multilevel"/>
    <w:tmpl w:val="15608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6E34F7"/>
    <w:multiLevelType w:val="multilevel"/>
    <w:tmpl w:val="2E08395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814669C"/>
    <w:multiLevelType w:val="multilevel"/>
    <w:tmpl w:val="58A06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8F9778D"/>
    <w:multiLevelType w:val="multilevel"/>
    <w:tmpl w:val="6AAA7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96471887">
    <w:abstractNumId w:val="3"/>
  </w:num>
  <w:num w:numId="2" w16cid:durableId="1212812862">
    <w:abstractNumId w:val="4"/>
  </w:num>
  <w:num w:numId="3" w16cid:durableId="362562783">
    <w:abstractNumId w:val="1"/>
  </w:num>
  <w:num w:numId="4" w16cid:durableId="1345597089">
    <w:abstractNumId w:val="0"/>
  </w:num>
  <w:num w:numId="5" w16cid:durableId="1643675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66A"/>
    <w:rsid w:val="00002EFF"/>
    <w:rsid w:val="0002634E"/>
    <w:rsid w:val="0003315C"/>
    <w:rsid w:val="00052244"/>
    <w:rsid w:val="0007471A"/>
    <w:rsid w:val="00083C4C"/>
    <w:rsid w:val="00095343"/>
    <w:rsid w:val="000A7888"/>
    <w:rsid w:val="000B6194"/>
    <w:rsid w:val="000C47E2"/>
    <w:rsid w:val="000D17BF"/>
    <w:rsid w:val="00125219"/>
    <w:rsid w:val="00126B29"/>
    <w:rsid w:val="00133DBC"/>
    <w:rsid w:val="00141826"/>
    <w:rsid w:val="00147DAB"/>
    <w:rsid w:val="00157CAF"/>
    <w:rsid w:val="0016477E"/>
    <w:rsid w:val="001656EE"/>
    <w:rsid w:val="0016653D"/>
    <w:rsid w:val="0019074F"/>
    <w:rsid w:val="001A6887"/>
    <w:rsid w:val="001C7874"/>
    <w:rsid w:val="001D56AF"/>
    <w:rsid w:val="001D6AB0"/>
    <w:rsid w:val="001E0E21"/>
    <w:rsid w:val="001E62B1"/>
    <w:rsid w:val="00201FE4"/>
    <w:rsid w:val="00212E0A"/>
    <w:rsid w:val="002153B0"/>
    <w:rsid w:val="0021777F"/>
    <w:rsid w:val="002358D4"/>
    <w:rsid w:val="00241DD0"/>
    <w:rsid w:val="00245ABA"/>
    <w:rsid w:val="00247207"/>
    <w:rsid w:val="002823F8"/>
    <w:rsid w:val="00285593"/>
    <w:rsid w:val="002A0713"/>
    <w:rsid w:val="002A5086"/>
    <w:rsid w:val="002F2E6B"/>
    <w:rsid w:val="00305C3C"/>
    <w:rsid w:val="00320856"/>
    <w:rsid w:val="0035156F"/>
    <w:rsid w:val="003B2769"/>
    <w:rsid w:val="003C21AC"/>
    <w:rsid w:val="003C5218"/>
    <w:rsid w:val="003C7876"/>
    <w:rsid w:val="003E2308"/>
    <w:rsid w:val="003E2BBE"/>
    <w:rsid w:val="003E2F98"/>
    <w:rsid w:val="003E5CCE"/>
    <w:rsid w:val="003F1776"/>
    <w:rsid w:val="00413B00"/>
    <w:rsid w:val="004175E5"/>
    <w:rsid w:val="00423B10"/>
    <w:rsid w:val="0042574B"/>
    <w:rsid w:val="004330ED"/>
    <w:rsid w:val="004343FD"/>
    <w:rsid w:val="0045141D"/>
    <w:rsid w:val="004575A2"/>
    <w:rsid w:val="00481C91"/>
    <w:rsid w:val="004911E3"/>
    <w:rsid w:val="004947F7"/>
    <w:rsid w:val="00497D57"/>
    <w:rsid w:val="004A1E29"/>
    <w:rsid w:val="004A3364"/>
    <w:rsid w:val="004A46E6"/>
    <w:rsid w:val="004A7DD4"/>
    <w:rsid w:val="004B50D8"/>
    <w:rsid w:val="004B5B90"/>
    <w:rsid w:val="004B6658"/>
    <w:rsid w:val="00501109"/>
    <w:rsid w:val="005030FC"/>
    <w:rsid w:val="005036A1"/>
    <w:rsid w:val="00532487"/>
    <w:rsid w:val="00546E9E"/>
    <w:rsid w:val="00564913"/>
    <w:rsid w:val="005703C9"/>
    <w:rsid w:val="0058632B"/>
    <w:rsid w:val="00592922"/>
    <w:rsid w:val="00592C9B"/>
    <w:rsid w:val="00597703"/>
    <w:rsid w:val="005A6097"/>
    <w:rsid w:val="005B1DCC"/>
    <w:rsid w:val="005B7323"/>
    <w:rsid w:val="005C25B9"/>
    <w:rsid w:val="005D3123"/>
    <w:rsid w:val="005D4D76"/>
    <w:rsid w:val="005F43E2"/>
    <w:rsid w:val="00601A72"/>
    <w:rsid w:val="00614771"/>
    <w:rsid w:val="006267E6"/>
    <w:rsid w:val="00636026"/>
    <w:rsid w:val="006558D2"/>
    <w:rsid w:val="00667250"/>
    <w:rsid w:val="00672D25"/>
    <w:rsid w:val="006738BC"/>
    <w:rsid w:val="006B3980"/>
    <w:rsid w:val="006C27A7"/>
    <w:rsid w:val="006D3E69"/>
    <w:rsid w:val="006D5A3C"/>
    <w:rsid w:val="006E0971"/>
    <w:rsid w:val="0070194A"/>
    <w:rsid w:val="00721FF0"/>
    <w:rsid w:val="0073666B"/>
    <w:rsid w:val="0074356A"/>
    <w:rsid w:val="0075113B"/>
    <w:rsid w:val="007545C9"/>
    <w:rsid w:val="007709F6"/>
    <w:rsid w:val="00780C10"/>
    <w:rsid w:val="00783215"/>
    <w:rsid w:val="007965FC"/>
    <w:rsid w:val="007D2608"/>
    <w:rsid w:val="007E47EE"/>
    <w:rsid w:val="007E6BC3"/>
    <w:rsid w:val="008015EA"/>
    <w:rsid w:val="008164E5"/>
    <w:rsid w:val="0082210D"/>
    <w:rsid w:val="00830081"/>
    <w:rsid w:val="00836097"/>
    <w:rsid w:val="008404B1"/>
    <w:rsid w:val="008467D7"/>
    <w:rsid w:val="00852541"/>
    <w:rsid w:val="00855EBC"/>
    <w:rsid w:val="00865D47"/>
    <w:rsid w:val="00867399"/>
    <w:rsid w:val="0088452C"/>
    <w:rsid w:val="00896689"/>
    <w:rsid w:val="008A7A37"/>
    <w:rsid w:val="008D777F"/>
    <w:rsid w:val="008D7DCB"/>
    <w:rsid w:val="009006ED"/>
    <w:rsid w:val="009055DB"/>
    <w:rsid w:val="00905ECB"/>
    <w:rsid w:val="00945800"/>
    <w:rsid w:val="009601DA"/>
    <w:rsid w:val="0096165D"/>
    <w:rsid w:val="00971B68"/>
    <w:rsid w:val="00993E91"/>
    <w:rsid w:val="009A409F"/>
    <w:rsid w:val="009B5845"/>
    <w:rsid w:val="009C0C1F"/>
    <w:rsid w:val="009D34DB"/>
    <w:rsid w:val="00A10505"/>
    <w:rsid w:val="00A1288B"/>
    <w:rsid w:val="00A1485C"/>
    <w:rsid w:val="00A35FB4"/>
    <w:rsid w:val="00A45775"/>
    <w:rsid w:val="00A53203"/>
    <w:rsid w:val="00A53E9D"/>
    <w:rsid w:val="00A733B1"/>
    <w:rsid w:val="00A740AD"/>
    <w:rsid w:val="00A772EB"/>
    <w:rsid w:val="00A80D80"/>
    <w:rsid w:val="00A8204C"/>
    <w:rsid w:val="00A91D40"/>
    <w:rsid w:val="00AB2082"/>
    <w:rsid w:val="00AC4FDC"/>
    <w:rsid w:val="00B01BA6"/>
    <w:rsid w:val="00B20298"/>
    <w:rsid w:val="00B212B0"/>
    <w:rsid w:val="00B3582F"/>
    <w:rsid w:val="00B4572B"/>
    <w:rsid w:val="00B4708A"/>
    <w:rsid w:val="00B5126E"/>
    <w:rsid w:val="00B8382B"/>
    <w:rsid w:val="00B83AD1"/>
    <w:rsid w:val="00BB0655"/>
    <w:rsid w:val="00BC5CBC"/>
    <w:rsid w:val="00BD2312"/>
    <w:rsid w:val="00BE457F"/>
    <w:rsid w:val="00BF623B"/>
    <w:rsid w:val="00C035D4"/>
    <w:rsid w:val="00C33AD8"/>
    <w:rsid w:val="00C562BC"/>
    <w:rsid w:val="00C679BF"/>
    <w:rsid w:val="00C67C64"/>
    <w:rsid w:val="00C81BBD"/>
    <w:rsid w:val="00C94295"/>
    <w:rsid w:val="00CC3590"/>
    <w:rsid w:val="00CD3132"/>
    <w:rsid w:val="00CE27CD"/>
    <w:rsid w:val="00D00F26"/>
    <w:rsid w:val="00D134F3"/>
    <w:rsid w:val="00D15342"/>
    <w:rsid w:val="00D32FA0"/>
    <w:rsid w:val="00D43F07"/>
    <w:rsid w:val="00D47D01"/>
    <w:rsid w:val="00D61A0E"/>
    <w:rsid w:val="00D67BBD"/>
    <w:rsid w:val="00D707E6"/>
    <w:rsid w:val="00D774B3"/>
    <w:rsid w:val="00D80C99"/>
    <w:rsid w:val="00D85A61"/>
    <w:rsid w:val="00D90443"/>
    <w:rsid w:val="00D91389"/>
    <w:rsid w:val="00DC53A5"/>
    <w:rsid w:val="00DD35A5"/>
    <w:rsid w:val="00DE2948"/>
    <w:rsid w:val="00DE6422"/>
    <w:rsid w:val="00DE7E0D"/>
    <w:rsid w:val="00DF68BE"/>
    <w:rsid w:val="00DF712A"/>
    <w:rsid w:val="00E0742C"/>
    <w:rsid w:val="00E25DF4"/>
    <w:rsid w:val="00E3485D"/>
    <w:rsid w:val="00E425CB"/>
    <w:rsid w:val="00E54A70"/>
    <w:rsid w:val="00E57993"/>
    <w:rsid w:val="00E6619B"/>
    <w:rsid w:val="00E74173"/>
    <w:rsid w:val="00E75215"/>
    <w:rsid w:val="00E847F8"/>
    <w:rsid w:val="00E908D7"/>
    <w:rsid w:val="00E9366A"/>
    <w:rsid w:val="00E94B4B"/>
    <w:rsid w:val="00EA1CE4"/>
    <w:rsid w:val="00EA69AC"/>
    <w:rsid w:val="00EB40A1"/>
    <w:rsid w:val="00EC107A"/>
    <w:rsid w:val="00EC3112"/>
    <w:rsid w:val="00ED5E57"/>
    <w:rsid w:val="00EE1BD8"/>
    <w:rsid w:val="00EF0BFD"/>
    <w:rsid w:val="00EF657F"/>
    <w:rsid w:val="00F358F8"/>
    <w:rsid w:val="00F36E2A"/>
    <w:rsid w:val="00F560B1"/>
    <w:rsid w:val="00F850CD"/>
    <w:rsid w:val="00F94A47"/>
    <w:rsid w:val="00FA11B9"/>
    <w:rsid w:val="00FA5BBE"/>
    <w:rsid w:val="00FC586C"/>
    <w:rsid w:val="00FE5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B362F2"/>
  <w15:docId w15:val="{26B1A5C2-3F91-41AA-8BE0-30DECD541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Ballontekst">
    <w:name w:val="Balloon Text"/>
    <w:basedOn w:val="Standaard"/>
    <w:link w:val="BallontekstChar"/>
    <w:rsid w:val="006267E6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rsid w:val="006267E6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nhideWhenUsed/>
    <w:rsid w:val="00E9366A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9366A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E75215"/>
    <w:pPr>
      <w:ind w:left="720"/>
      <w:contextualSpacing/>
    </w:pPr>
  </w:style>
  <w:style w:type="character" w:styleId="GevolgdeHyperlink">
    <w:name w:val="FollowedHyperlink"/>
    <w:basedOn w:val="Standaardalinea-lettertype"/>
    <w:semiHidden/>
    <w:unhideWhenUsed/>
    <w:rsid w:val="00A740AD"/>
    <w:rPr>
      <w:color w:val="800080" w:themeColor="followedHyperlink"/>
      <w:u w:val="single"/>
    </w:rPr>
  </w:style>
  <w:style w:type="paragraph" w:styleId="Revisie">
    <w:name w:val="Revision"/>
    <w:hidden/>
    <w:uiPriority w:val="99"/>
    <w:semiHidden/>
    <w:rsid w:val="004575A2"/>
    <w:rPr>
      <w:sz w:val="24"/>
    </w:rPr>
  </w:style>
  <w:style w:type="character" w:styleId="Verwijzingopmerking">
    <w:name w:val="annotation reference"/>
    <w:basedOn w:val="Standaardalinea-lettertype"/>
    <w:semiHidden/>
    <w:unhideWhenUsed/>
    <w:rsid w:val="004575A2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4575A2"/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rsid w:val="004575A2"/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4575A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4575A2"/>
    <w:rPr>
      <w:b/>
      <w:bCs/>
    </w:rPr>
  </w:style>
  <w:style w:type="table" w:styleId="Rastertabel4-Accent5">
    <w:name w:val="Grid Table 4 Accent 5"/>
    <w:basedOn w:val="Standaardtabel"/>
    <w:uiPriority w:val="49"/>
    <w:rsid w:val="0003315C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804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fontTable" Target="fontTable.xml" Id="rId16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am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247</ap:Words>
  <ap:Characters>1359</ap:Characters>
  <ap:DocSecurity>0</ap:DocSecurity>
  <ap:Lines>11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amt</vt:lpstr>
    </vt:vector>
  </ap:TitlesOfParts>
  <ap:LinksUpToDate>false</ap:LinksUpToDate>
  <ap:CharactersWithSpaces>1603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2005-08-22T11:50:00.0000000Z</lastPrinted>
  <dcterms:created xsi:type="dcterms:W3CDTF">2025-11-24T11:24:00.0000000Z</dcterms:created>
  <dcterms:modified xsi:type="dcterms:W3CDTF">2025-11-24T11:24:00.0000000Z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  <property fmtid="{D5CDD505-2E9C-101B-9397-08002B2CF9AE}" pid="3" name="MSIP_Label_f4b587cc-5349-4506-9b19-2242ab88a0ee_Enabled">
    <vt:lpwstr>true</vt:lpwstr>
  </property>
  <property fmtid="{D5CDD505-2E9C-101B-9397-08002B2CF9AE}" pid="4" name="MSIP_Label_f4b587cc-5349-4506-9b19-2242ab88a0ee_SetDate">
    <vt:lpwstr>2025-11-14T15:20:38Z</vt:lpwstr>
  </property>
  <property fmtid="{D5CDD505-2E9C-101B-9397-08002B2CF9AE}" pid="5" name="MSIP_Label_f4b587cc-5349-4506-9b19-2242ab88a0ee_Method">
    <vt:lpwstr>Privileged</vt:lpwstr>
  </property>
  <property fmtid="{D5CDD505-2E9C-101B-9397-08002B2CF9AE}" pid="6" name="MSIP_Label_f4b587cc-5349-4506-9b19-2242ab88a0ee_Name">
    <vt:lpwstr>FIN-DGFZ-Dep. V.</vt:lpwstr>
  </property>
  <property fmtid="{D5CDD505-2E9C-101B-9397-08002B2CF9AE}" pid="7" name="MSIP_Label_f4b587cc-5349-4506-9b19-2242ab88a0ee_SiteId">
    <vt:lpwstr>84712536-f524-40a0-913b-5d25ba502732</vt:lpwstr>
  </property>
  <property fmtid="{D5CDD505-2E9C-101B-9397-08002B2CF9AE}" pid="8" name="MSIP_Label_f4b587cc-5349-4506-9b19-2242ab88a0ee_ActionId">
    <vt:lpwstr>c57fca9c-a8f6-4fb8-bb5c-ccd320e9e301</vt:lpwstr>
  </property>
  <property fmtid="{D5CDD505-2E9C-101B-9397-08002B2CF9AE}" pid="9" name="MSIP_Label_f4b587cc-5349-4506-9b19-2242ab88a0ee_ContentBits">
    <vt:lpwstr>0</vt:lpwstr>
  </property>
</Properties>
</file>