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554FBA5" w14:textId="77777777">
        <w:tc>
          <w:tcPr>
            <w:tcW w:w="6379" w:type="dxa"/>
            <w:gridSpan w:val="2"/>
            <w:tcBorders>
              <w:top w:val="nil"/>
              <w:left w:val="nil"/>
              <w:bottom w:val="nil"/>
              <w:right w:val="nil"/>
            </w:tcBorders>
            <w:vAlign w:val="center"/>
          </w:tcPr>
          <w:p w:rsidR="004330ED" w:rsidP="00EA1CE4" w:rsidRDefault="004330ED" w14:paraId="60616D5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4ACD43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CD9743" w14:textId="77777777">
        <w:trPr>
          <w:cantSplit/>
        </w:trPr>
        <w:tc>
          <w:tcPr>
            <w:tcW w:w="10348" w:type="dxa"/>
            <w:gridSpan w:val="3"/>
            <w:tcBorders>
              <w:top w:val="single" w:color="auto" w:sz="4" w:space="0"/>
              <w:left w:val="nil"/>
              <w:bottom w:val="nil"/>
              <w:right w:val="nil"/>
            </w:tcBorders>
          </w:tcPr>
          <w:p w:rsidR="004330ED" w:rsidP="004A1E29" w:rsidRDefault="004330ED" w14:paraId="6846CA5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FAEEE22" w14:textId="77777777">
        <w:trPr>
          <w:cantSplit/>
        </w:trPr>
        <w:tc>
          <w:tcPr>
            <w:tcW w:w="10348" w:type="dxa"/>
            <w:gridSpan w:val="3"/>
            <w:tcBorders>
              <w:top w:val="nil"/>
              <w:left w:val="nil"/>
              <w:bottom w:val="nil"/>
              <w:right w:val="nil"/>
            </w:tcBorders>
          </w:tcPr>
          <w:p w:rsidR="004330ED" w:rsidP="00BF623B" w:rsidRDefault="004330ED" w14:paraId="3030EADD" w14:textId="77777777">
            <w:pPr>
              <w:pStyle w:val="Amendement"/>
              <w:tabs>
                <w:tab w:val="clear" w:pos="3310"/>
                <w:tab w:val="clear" w:pos="3600"/>
              </w:tabs>
              <w:rPr>
                <w:rFonts w:ascii="Times New Roman" w:hAnsi="Times New Roman"/>
                <w:b w:val="0"/>
              </w:rPr>
            </w:pPr>
          </w:p>
        </w:tc>
      </w:tr>
      <w:tr w:rsidR="004330ED" w:rsidTr="00EA1CE4" w14:paraId="76BE617D" w14:textId="77777777">
        <w:trPr>
          <w:cantSplit/>
        </w:trPr>
        <w:tc>
          <w:tcPr>
            <w:tcW w:w="10348" w:type="dxa"/>
            <w:gridSpan w:val="3"/>
            <w:tcBorders>
              <w:top w:val="nil"/>
              <w:left w:val="nil"/>
              <w:bottom w:val="single" w:color="auto" w:sz="4" w:space="0"/>
              <w:right w:val="nil"/>
            </w:tcBorders>
          </w:tcPr>
          <w:p w:rsidR="004330ED" w:rsidP="00BF623B" w:rsidRDefault="004330ED" w14:paraId="54F283FD" w14:textId="77777777">
            <w:pPr>
              <w:pStyle w:val="Amendement"/>
              <w:tabs>
                <w:tab w:val="clear" w:pos="3310"/>
                <w:tab w:val="clear" w:pos="3600"/>
              </w:tabs>
              <w:rPr>
                <w:rFonts w:ascii="Times New Roman" w:hAnsi="Times New Roman"/>
              </w:rPr>
            </w:pPr>
          </w:p>
        </w:tc>
      </w:tr>
      <w:tr w:rsidR="004330ED" w:rsidTr="00EA1CE4" w14:paraId="53DF33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AEFDC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44AC7C8" w14:textId="77777777">
            <w:pPr>
              <w:suppressAutoHyphens/>
              <w:ind w:left="-70"/>
              <w:rPr>
                <w:b/>
              </w:rPr>
            </w:pPr>
          </w:p>
        </w:tc>
      </w:tr>
      <w:tr w:rsidR="003C21AC" w:rsidTr="00EA1CE4" w14:paraId="4146BC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60BAE" w14:paraId="34CB681F" w14:textId="212CA066">
            <w:pPr>
              <w:pStyle w:val="Amendement"/>
              <w:tabs>
                <w:tab w:val="clear" w:pos="3310"/>
                <w:tab w:val="clear" w:pos="3600"/>
              </w:tabs>
              <w:rPr>
                <w:rFonts w:ascii="Times New Roman" w:hAnsi="Times New Roman"/>
              </w:rPr>
            </w:pPr>
            <w:r>
              <w:rPr>
                <w:rFonts w:ascii="Times New Roman" w:hAnsi="Times New Roman"/>
              </w:rPr>
              <w:t>36 813</w:t>
            </w:r>
          </w:p>
        </w:tc>
        <w:tc>
          <w:tcPr>
            <w:tcW w:w="7371" w:type="dxa"/>
            <w:gridSpan w:val="2"/>
          </w:tcPr>
          <w:p w:rsidRPr="00A60BAE" w:rsidR="003C21AC" w:rsidP="00A60BAE" w:rsidRDefault="00A60BAE" w14:paraId="7A664A8B" w14:textId="1CA20BE8">
            <w:pPr>
              <w:rPr>
                <w:b/>
                <w:bCs/>
              </w:rPr>
            </w:pPr>
            <w:r w:rsidRPr="00A60BAE">
              <w:rPr>
                <w:b/>
                <w:bCs/>
              </w:rPr>
              <w:t>Wijziging van enkele belastingwetten en enige andere wetten (Overige fiscale maatregelen 2026)</w:t>
            </w:r>
          </w:p>
        </w:tc>
      </w:tr>
      <w:tr w:rsidR="003C21AC" w:rsidTr="00EA1CE4" w14:paraId="45968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AD994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BDD5870" w14:textId="77777777">
            <w:pPr>
              <w:pStyle w:val="Amendement"/>
              <w:tabs>
                <w:tab w:val="clear" w:pos="3310"/>
                <w:tab w:val="clear" w:pos="3600"/>
              </w:tabs>
              <w:ind w:left="-70"/>
              <w:rPr>
                <w:rFonts w:ascii="Times New Roman" w:hAnsi="Times New Roman"/>
              </w:rPr>
            </w:pPr>
          </w:p>
        </w:tc>
      </w:tr>
      <w:tr w:rsidR="003C21AC" w:rsidTr="00EA1CE4" w14:paraId="28161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4EE5C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FD1A0E3" w14:textId="77777777">
            <w:pPr>
              <w:pStyle w:val="Amendement"/>
              <w:tabs>
                <w:tab w:val="clear" w:pos="3310"/>
                <w:tab w:val="clear" w:pos="3600"/>
              </w:tabs>
              <w:ind w:left="-70"/>
              <w:rPr>
                <w:rFonts w:ascii="Times New Roman" w:hAnsi="Times New Roman"/>
              </w:rPr>
            </w:pPr>
          </w:p>
        </w:tc>
      </w:tr>
      <w:tr w:rsidR="003C21AC" w:rsidTr="00EA1CE4" w14:paraId="5B4AF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16B69F" w14:textId="0239C8B6">
            <w:pPr>
              <w:pStyle w:val="Amendement"/>
              <w:tabs>
                <w:tab w:val="clear" w:pos="3310"/>
                <w:tab w:val="clear" w:pos="3600"/>
              </w:tabs>
              <w:rPr>
                <w:rFonts w:ascii="Times New Roman" w:hAnsi="Times New Roman"/>
              </w:rPr>
            </w:pPr>
            <w:r w:rsidRPr="00C035D4">
              <w:rPr>
                <w:rFonts w:ascii="Times New Roman" w:hAnsi="Times New Roman"/>
              </w:rPr>
              <w:t xml:space="preserve">Nr. </w:t>
            </w:r>
            <w:r w:rsidR="00A60BAE">
              <w:rPr>
                <w:rFonts w:ascii="Times New Roman" w:hAnsi="Times New Roman"/>
                <w:caps/>
              </w:rPr>
              <w:t>9</w:t>
            </w:r>
          </w:p>
        </w:tc>
        <w:tc>
          <w:tcPr>
            <w:tcW w:w="7371" w:type="dxa"/>
            <w:gridSpan w:val="2"/>
          </w:tcPr>
          <w:p w:rsidRPr="00C035D4" w:rsidR="003C21AC" w:rsidP="006E0971" w:rsidRDefault="003C21AC" w14:paraId="4968F9FB" w14:textId="2B3AF96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A60BAE">
              <w:rPr>
                <w:rFonts w:ascii="Times New Roman" w:hAnsi="Times New Roman"/>
                <w:caps/>
              </w:rPr>
              <w:t>de leden grinwis en oosterhuis</w:t>
            </w:r>
          </w:p>
        </w:tc>
      </w:tr>
      <w:tr w:rsidR="003C21AC" w:rsidTr="00EA1CE4" w14:paraId="768ED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59AE4D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24A46E8" w14:textId="70C7844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60BAE">
              <w:rPr>
                <w:rFonts w:ascii="Times New Roman" w:hAnsi="Times New Roman"/>
                <w:b w:val="0"/>
              </w:rPr>
              <w:t>24 november 2025</w:t>
            </w:r>
          </w:p>
        </w:tc>
      </w:tr>
      <w:tr w:rsidR="00B01BA6" w:rsidTr="00EA1CE4" w14:paraId="25E07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217006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7746B6" w14:textId="77777777">
            <w:pPr>
              <w:pStyle w:val="Amendement"/>
              <w:tabs>
                <w:tab w:val="clear" w:pos="3310"/>
                <w:tab w:val="clear" w:pos="3600"/>
              </w:tabs>
              <w:ind w:left="-70"/>
              <w:rPr>
                <w:rFonts w:ascii="Times New Roman" w:hAnsi="Times New Roman"/>
                <w:b w:val="0"/>
              </w:rPr>
            </w:pPr>
          </w:p>
        </w:tc>
      </w:tr>
      <w:tr w:rsidRPr="00EA69AC" w:rsidR="00B01BA6" w:rsidTr="00EA1CE4" w14:paraId="560092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76BB6A" w14:textId="6C941335">
            <w:pPr>
              <w:ind w:firstLine="284"/>
            </w:pPr>
            <w:r w:rsidRPr="00EA69AC">
              <w:t xml:space="preserve">De </w:t>
            </w:r>
            <w:r w:rsidR="00A60BAE">
              <w:t>ondergetekenden stellen</w:t>
            </w:r>
            <w:r w:rsidRPr="00EA69AC">
              <w:t xml:space="preserve"> het volgende amendement voor:</w:t>
            </w:r>
          </w:p>
        </w:tc>
      </w:tr>
    </w:tbl>
    <w:p w:rsidR="004330ED" w:rsidP="00D774B3" w:rsidRDefault="004330ED" w14:paraId="6F141108" w14:textId="77777777"/>
    <w:p w:rsidR="00A60BAE" w:rsidP="00D774B3" w:rsidRDefault="00A60BAE" w14:paraId="38651F13" w14:textId="1A65F239">
      <w:r>
        <w:t>I</w:t>
      </w:r>
    </w:p>
    <w:p w:rsidR="00A60BAE" w:rsidP="00D774B3" w:rsidRDefault="00A60BAE" w14:paraId="26245432" w14:textId="77777777"/>
    <w:p w:rsidR="00A60BAE" w:rsidP="00D774B3" w:rsidRDefault="00A60BAE" w14:paraId="62A9D678" w14:textId="17F3AB0F">
      <w:r>
        <w:tab/>
        <w:t xml:space="preserve">Artikel I, onderdeel A, vervalt. </w:t>
      </w:r>
    </w:p>
    <w:p w:rsidR="00A60BAE" w:rsidP="00D774B3" w:rsidRDefault="00A60BAE" w14:paraId="73593D64" w14:textId="77777777"/>
    <w:p w:rsidR="00A60BAE" w:rsidP="00D774B3" w:rsidRDefault="00A60BAE" w14:paraId="117D27C7" w14:textId="046EDB79">
      <w:r>
        <w:t>II</w:t>
      </w:r>
    </w:p>
    <w:p w:rsidR="00A60BAE" w:rsidP="00D774B3" w:rsidRDefault="00A60BAE" w14:paraId="41E119E6" w14:textId="77777777"/>
    <w:p w:rsidR="00A60BAE" w:rsidP="00D774B3" w:rsidRDefault="00A60BAE" w14:paraId="131F0FDF" w14:textId="19C90AF1">
      <w:r>
        <w:tab/>
        <w:t>Artikel I, onderdeel F, wordt als volgt gewijzigd:</w:t>
      </w:r>
    </w:p>
    <w:p w:rsidR="00A60BAE" w:rsidP="00D774B3" w:rsidRDefault="00A60BAE" w14:paraId="607CF200" w14:textId="77777777"/>
    <w:p w:rsidR="00A60BAE" w:rsidP="00D774B3" w:rsidRDefault="00A60BAE" w14:paraId="68670308" w14:textId="12E5C176">
      <w:r>
        <w:tab/>
        <w:t>1. In subonderdeel 1 vervalt “en 1 januari 2026”.</w:t>
      </w:r>
    </w:p>
    <w:p w:rsidR="00A60BAE" w:rsidP="00D774B3" w:rsidRDefault="00A60BAE" w14:paraId="31293172" w14:textId="77777777"/>
    <w:p w:rsidR="00A60BAE" w:rsidP="00D774B3" w:rsidRDefault="00A60BAE" w14:paraId="516052BB" w14:textId="40DE7582">
      <w:r>
        <w:tab/>
        <w:t>2. In subonderdeel 2 wordt “derde” vervangen door “tweede”.</w:t>
      </w:r>
    </w:p>
    <w:p w:rsidR="00A60BAE" w:rsidP="00D774B3" w:rsidRDefault="00A60BAE" w14:paraId="54837F84" w14:textId="77777777"/>
    <w:p w:rsidR="00A60BAE" w:rsidP="00D774B3" w:rsidRDefault="00A60BAE" w14:paraId="00ADDD3F" w14:textId="05AB1DBA">
      <w:r>
        <w:tab/>
        <w:t xml:space="preserve">3. Subonderdeel 3 vervalt. </w:t>
      </w:r>
    </w:p>
    <w:p w:rsidR="00A60BAE" w:rsidP="00D774B3" w:rsidRDefault="00A60BAE" w14:paraId="3BE04ACE" w14:textId="77777777"/>
    <w:p w:rsidR="00A60BAE" w:rsidP="00D774B3" w:rsidRDefault="00A60BAE" w14:paraId="45F25D95" w14:textId="5DFB38BE">
      <w:r>
        <w:t>III</w:t>
      </w:r>
    </w:p>
    <w:p w:rsidR="00A60BAE" w:rsidP="00D774B3" w:rsidRDefault="00A60BAE" w14:paraId="2DD17A69" w14:textId="77777777"/>
    <w:p w:rsidR="00A60BAE" w:rsidP="00D774B3" w:rsidRDefault="00A60BAE" w14:paraId="5851CAD3" w14:textId="6B1FBC18">
      <w:r>
        <w:tab/>
        <w:t xml:space="preserve">Artikel III vervalt. </w:t>
      </w:r>
    </w:p>
    <w:p w:rsidR="00A60BAE" w:rsidP="00D774B3" w:rsidRDefault="00A60BAE" w14:paraId="2F5C5EA9" w14:textId="77777777"/>
    <w:p w:rsidR="00A60BAE" w:rsidP="00D774B3" w:rsidRDefault="00A60BAE" w14:paraId="225ABB54" w14:textId="31FC71FC">
      <w:r>
        <w:t>IV</w:t>
      </w:r>
    </w:p>
    <w:p w:rsidRPr="00EA69AC" w:rsidR="00A60BAE" w:rsidP="00D774B3" w:rsidRDefault="00A60BAE" w14:paraId="6C409737" w14:textId="77777777"/>
    <w:p w:rsidR="00A60BAE" w:rsidP="00A60BAE" w:rsidRDefault="00A60BAE" w14:paraId="2E0DE3D0" w14:textId="54D3E878">
      <w:pPr>
        <w:ind w:firstLine="284"/>
      </w:pPr>
      <w:r>
        <w:t>Artikel IV, onderdeel B, vervalt.</w:t>
      </w:r>
    </w:p>
    <w:p w:rsidR="00A60BAE" w:rsidP="00A60BAE" w:rsidRDefault="00A60BAE" w14:paraId="65E96343" w14:textId="77777777"/>
    <w:p w:rsidR="00A60BAE" w:rsidP="00A60BAE" w:rsidRDefault="00A60BAE" w14:paraId="4591E87B" w14:textId="77777777">
      <w:r>
        <w:t>V</w:t>
      </w:r>
    </w:p>
    <w:p w:rsidR="00A60BAE" w:rsidP="00A60BAE" w:rsidRDefault="00A60BAE" w14:paraId="09907E78" w14:textId="77777777"/>
    <w:p w:rsidR="00A60BAE" w:rsidP="00A60BAE" w:rsidRDefault="00A60BAE" w14:paraId="07507586" w14:textId="77777777">
      <w:pPr>
        <w:ind w:firstLine="284"/>
      </w:pPr>
      <w:r>
        <w:t>Artikel IV, onderdeel D, wordt als volgt gewijzigd:</w:t>
      </w:r>
    </w:p>
    <w:p w:rsidR="00A60BAE" w:rsidP="00A60BAE" w:rsidRDefault="00A60BAE" w14:paraId="6BFB023E" w14:textId="77777777"/>
    <w:p w:rsidR="00A60BAE" w:rsidP="00A60BAE" w:rsidRDefault="00A60BAE" w14:paraId="42833D5A" w14:textId="62DE7F8F">
      <w:pPr>
        <w:ind w:firstLine="284"/>
      </w:pPr>
      <w:r>
        <w:t>1.</w:t>
      </w:r>
      <w:r>
        <w:tab/>
      </w:r>
      <w:r>
        <w:t>“</w:t>
      </w:r>
      <w:r w:rsidRPr="00B8709D">
        <w:t>Artikel 36c wordt als volgt gewijzigd</w:t>
      </w:r>
      <w:r>
        <w:t>” wordt vervangen door “</w:t>
      </w:r>
      <w:r>
        <w:t>Artikel 36c, tweede tot en met vierde lid, vervalt, onder vernummering van het vijfde lid tot tweede lid.</w:t>
      </w:r>
      <w:r>
        <w:t>”</w:t>
      </w:r>
    </w:p>
    <w:p w:rsidR="00A60BAE" w:rsidP="00A60BAE" w:rsidRDefault="00A60BAE" w14:paraId="363E0F49" w14:textId="77777777">
      <w:pPr>
        <w:ind w:firstLine="284"/>
      </w:pPr>
    </w:p>
    <w:p w:rsidR="00A60BAE" w:rsidP="00A60BAE" w:rsidRDefault="00A60BAE" w14:paraId="0334F97D" w14:textId="1AE19691">
      <w:pPr>
        <w:ind w:firstLine="284"/>
      </w:pPr>
      <w:r>
        <w:t>2. Subonderdeel 1 vervalt.</w:t>
      </w:r>
    </w:p>
    <w:p w:rsidR="00A60BAE" w:rsidP="00A60BAE" w:rsidRDefault="00A60BAE" w14:paraId="539BF5A1" w14:textId="77777777"/>
    <w:p w:rsidR="00A60BAE" w:rsidP="00A60BAE" w:rsidRDefault="00A60BAE" w14:paraId="3FD5762B" w14:textId="27C1D7EE">
      <w:pPr>
        <w:ind w:firstLine="284"/>
      </w:pPr>
      <w:r>
        <w:t>3</w:t>
      </w:r>
      <w:r>
        <w:t>.</w:t>
      </w:r>
      <w:r>
        <w:tab/>
        <w:t xml:space="preserve">Subonderdeel 2 vervalt. </w:t>
      </w:r>
    </w:p>
    <w:p w:rsidR="00A60BAE" w:rsidP="00A60BAE" w:rsidRDefault="00A60BAE" w14:paraId="7B232C9B" w14:textId="77777777"/>
    <w:p w:rsidR="00A60BAE" w:rsidP="00A60BAE" w:rsidRDefault="00A60BAE" w14:paraId="0F73201C" w14:textId="77777777">
      <w:r>
        <w:t>VI</w:t>
      </w:r>
    </w:p>
    <w:p w:rsidR="00A60BAE" w:rsidP="00A60BAE" w:rsidRDefault="00A60BAE" w14:paraId="4EA397EE" w14:textId="77777777"/>
    <w:p w:rsidR="00A60BAE" w:rsidP="00A60BAE" w:rsidRDefault="00A60BAE" w14:paraId="3456F965" w14:textId="547361E8">
      <w:pPr>
        <w:ind w:firstLine="284"/>
      </w:pPr>
      <w:r>
        <w:t>Artikel VI vervalt.</w:t>
      </w:r>
    </w:p>
    <w:p w:rsidR="00A60BAE" w:rsidP="00A60BAE" w:rsidRDefault="00A60BAE" w14:paraId="07AA5B21" w14:textId="77777777"/>
    <w:p w:rsidR="00A60BAE" w:rsidP="00A60BAE" w:rsidRDefault="00A60BAE" w14:paraId="2D76C6BF" w14:textId="77777777">
      <w:r>
        <w:lastRenderedPageBreak/>
        <w:t>VII</w:t>
      </w:r>
    </w:p>
    <w:p w:rsidR="00A60BAE" w:rsidP="00A60BAE" w:rsidRDefault="00A60BAE" w14:paraId="40B36B59" w14:textId="77777777"/>
    <w:p w:rsidR="00A60BAE" w:rsidP="00A60BAE" w:rsidRDefault="00A60BAE" w14:paraId="3E2A06A1" w14:textId="77777777">
      <w:pPr>
        <w:ind w:firstLine="284"/>
      </w:pPr>
      <w:r>
        <w:t>Artikel XXIII, eerste lid, wordt als volgt gewijzigd:</w:t>
      </w:r>
    </w:p>
    <w:p w:rsidR="00A60BAE" w:rsidP="00A60BAE" w:rsidRDefault="00A60BAE" w14:paraId="6D4D2B66" w14:textId="77777777"/>
    <w:p w:rsidR="00A60BAE" w:rsidP="00A60BAE" w:rsidRDefault="00A60BAE" w14:paraId="4486CAE3" w14:textId="77777777">
      <w:pPr>
        <w:ind w:firstLine="284"/>
      </w:pPr>
      <w:r>
        <w:t>1. In onderdeel a wordt “onderdelen A en” vervangen door “onderdeel”.</w:t>
      </w:r>
    </w:p>
    <w:p w:rsidR="00A60BAE" w:rsidP="00A60BAE" w:rsidRDefault="00A60BAE" w14:paraId="6BB11FD5" w14:textId="77777777"/>
    <w:p w:rsidR="00EA1CE4" w:rsidP="00A60BAE" w:rsidRDefault="00A60BAE" w14:paraId="1F7DE1AE" w14:textId="60EFD451">
      <w:pPr>
        <w:ind w:firstLine="284"/>
      </w:pPr>
      <w:r>
        <w:t>2. In onderdeel e wordt “onderdelen B en” vervangen door “onderdeel”.</w:t>
      </w:r>
    </w:p>
    <w:p w:rsidR="00A60BAE" w:rsidP="00EA1CE4" w:rsidRDefault="00A60BAE" w14:paraId="17B282CF" w14:textId="77777777">
      <w:pPr>
        <w:rPr>
          <w:b/>
        </w:rPr>
      </w:pPr>
    </w:p>
    <w:p w:rsidRPr="00EA69AC" w:rsidR="003C21AC" w:rsidP="00EA1CE4" w:rsidRDefault="003C21AC" w14:paraId="3B478BA1" w14:textId="051F2A9D">
      <w:pPr>
        <w:rPr>
          <w:b/>
        </w:rPr>
      </w:pPr>
      <w:r w:rsidRPr="00EA69AC">
        <w:rPr>
          <w:b/>
        </w:rPr>
        <w:t>Toelichting</w:t>
      </w:r>
    </w:p>
    <w:p w:rsidRPr="00EA69AC" w:rsidR="003C21AC" w:rsidP="00BF623B" w:rsidRDefault="003C21AC" w14:paraId="42C47AE7" w14:textId="77777777"/>
    <w:p w:rsidR="00A60BAE" w:rsidP="00A60BAE" w:rsidRDefault="00A60BAE" w14:paraId="6A40E641" w14:textId="77777777">
      <w:pPr>
        <w:rPr>
          <w:i/>
          <w:iCs/>
        </w:rPr>
      </w:pPr>
      <w:r w:rsidRPr="00A503B9">
        <w:rPr>
          <w:i/>
          <w:iCs/>
        </w:rPr>
        <w:t xml:space="preserve">NB: </w:t>
      </w:r>
      <w:r>
        <w:rPr>
          <w:i/>
          <w:iCs/>
        </w:rPr>
        <w:t>Dit amendement moet in samenhang worden bezien met het corresponderende amendement op het Belastingplan 2026. Om wetstechnische redenen is voor het beoogde doel zowel een amendement op het BP26 als op OFM26.</w:t>
      </w:r>
    </w:p>
    <w:p w:rsidR="00A60BAE" w:rsidP="00A60BAE" w:rsidRDefault="00A60BAE" w14:paraId="56CE4093" w14:textId="77777777"/>
    <w:p w:rsidR="00A60BAE" w:rsidP="00A60BAE" w:rsidRDefault="00A60BAE" w14:paraId="419035FF" w14:textId="77777777">
      <w:r>
        <w:t>Dit amendement voorkomt dat elektrische auto’s (</w:t>
      </w:r>
      <w:proofErr w:type="spellStart"/>
      <w:r>
        <w:t>EV’s</w:t>
      </w:r>
      <w:proofErr w:type="spellEnd"/>
      <w:r>
        <w:t xml:space="preserve">) in één klap de facto zwaarder worden belast in 2026 in de bijtelling dan benzineauto’s. Vooral kleinere </w:t>
      </w:r>
      <w:proofErr w:type="spellStart"/>
      <w:r>
        <w:t>EV’s</w:t>
      </w:r>
      <w:proofErr w:type="spellEnd"/>
      <w:r>
        <w:t xml:space="preserve"> hebben namelijk nog een hogere aanschafprijs dan hun fossiele evenknie. De huidige bijtelling voor </w:t>
      </w:r>
      <w:proofErr w:type="spellStart"/>
      <w:r>
        <w:t>EV’s</w:t>
      </w:r>
      <w:proofErr w:type="spellEnd"/>
      <w:r>
        <w:t xml:space="preserve"> is 17% voor de eerste €30.000 aan cataloguswaarde en daarboven 22%. In het Belastingplan 2026 dreigt dat over de hele linie in één keer 22% te worden. Indieners stellen voor dit meer geleidelijk te doen: 18% in 2026 voor de eerste €30.000 euro, 20% in 2027 en pas vanaf 2028 22%. Als een EV in 2026 wordt aangeschaft, geldt de voorgestelde bijtelling van 18% gedurende 60 maanden; dat is kortom gelijk aan de huidige gang van zaken. Dit amendement vult daarmee ook het broodnodige flankerende beleid in dat nu ontbreekt bij de door het kabinet voorgestelde pseudo-eindheffing.</w:t>
      </w:r>
    </w:p>
    <w:p w:rsidR="00A60BAE" w:rsidP="00A60BAE" w:rsidRDefault="00A60BAE" w14:paraId="5474555F" w14:textId="77777777"/>
    <w:p w:rsidRPr="00A60BAE" w:rsidR="00A60BAE" w:rsidP="00A60BAE" w:rsidRDefault="00A60BAE" w14:paraId="67286D86" w14:textId="7AE7A39A">
      <w:r>
        <w:t xml:space="preserve">Dekking wordt gevonden in een geleidelijke versobering van de </w:t>
      </w:r>
      <w:proofErr w:type="spellStart"/>
      <w:r>
        <w:t>youngtimerregeling</w:t>
      </w:r>
      <w:proofErr w:type="spellEnd"/>
      <w:r>
        <w:t xml:space="preserve">. Indieners stellen voor de minimumleeftijd voor </w:t>
      </w:r>
      <w:proofErr w:type="spellStart"/>
      <w:r>
        <w:t>youngtimers</w:t>
      </w:r>
      <w:proofErr w:type="spellEnd"/>
      <w:r>
        <w:t xml:space="preserve"> per 2026 met één jaar te verhogen van 15 naar 16 jaar en vanaf 2027 met nog eens negen jaar naar 25 jaar. Deze geleidelijke versobering biedt eigenaren van </w:t>
      </w:r>
      <w:proofErr w:type="spellStart"/>
      <w:r>
        <w:t>youngtimers</w:t>
      </w:r>
      <w:proofErr w:type="spellEnd"/>
      <w:r>
        <w:t xml:space="preserve"> het komende jaar de ruimte om hierop desgewenst te anticiperen. Beide maatregelen - de lagere bijtelling voor </w:t>
      </w:r>
      <w:proofErr w:type="spellStart"/>
      <w:r>
        <w:t>EV’s</w:t>
      </w:r>
      <w:proofErr w:type="spellEnd"/>
      <w:r>
        <w:t xml:space="preserve"> en de versobering van de </w:t>
      </w:r>
      <w:proofErr w:type="spellStart"/>
      <w:r>
        <w:t>youngtimerregeling</w:t>
      </w:r>
      <w:proofErr w:type="spellEnd"/>
      <w:r>
        <w:t xml:space="preserve"> - dragen bij aan de gewenste vergroening van het wagenpark in Nederland.</w:t>
      </w:r>
    </w:p>
    <w:p w:rsidR="00A60BAE" w:rsidP="00A60BAE" w:rsidRDefault="00A60BAE" w14:paraId="14FEA87D" w14:textId="77777777"/>
    <w:p w:rsidRPr="00A60BAE" w:rsidR="00A60BAE" w:rsidP="00A60BAE" w:rsidRDefault="00A60BAE" w14:paraId="08929217" w14:textId="77777777">
      <w:pPr>
        <w:rPr>
          <w:u w:val="single"/>
        </w:rPr>
      </w:pPr>
      <w:r w:rsidRPr="00A60BAE">
        <w:rPr>
          <w:u w:val="single"/>
        </w:rPr>
        <w:t>Toelichting technisch</w:t>
      </w:r>
    </w:p>
    <w:p w:rsidR="00A60BAE" w:rsidP="00A60BAE" w:rsidRDefault="00A60BAE" w14:paraId="79FB2530" w14:textId="77777777">
      <w:pPr>
        <w:rPr>
          <w:b/>
          <w:bCs/>
        </w:rPr>
      </w:pPr>
    </w:p>
    <w:p w:rsidR="00A60BAE" w:rsidP="00A60BAE" w:rsidRDefault="00A60BAE" w14:paraId="32CEA26B" w14:textId="77777777">
      <w:pPr>
        <w:rPr>
          <w:rFonts w:eastAsia="Calibri" w:cs="Calibri"/>
          <w:szCs w:val="18"/>
        </w:rPr>
      </w:pPr>
      <w:r>
        <w:rPr>
          <w:rFonts w:eastAsia="Calibri" w:cs="Calibri"/>
          <w:szCs w:val="18"/>
        </w:rPr>
        <w:t>Dit amendement hangt samen met het amendement op het wetsvoorstel Belastingplan 2026 dat regelt dat de looptijd van de voor het gebruik van een auto van de zaak zonder CO</w:t>
      </w:r>
      <w:r w:rsidRPr="002351B9">
        <w:rPr>
          <w:rFonts w:eastAsia="Calibri" w:cs="Calibri"/>
          <w:szCs w:val="18"/>
          <w:vertAlign w:val="subscript"/>
        </w:rPr>
        <w:t>2</w:t>
      </w:r>
      <w:r>
        <w:rPr>
          <w:rFonts w:eastAsia="Calibri" w:cs="Calibri"/>
          <w:szCs w:val="18"/>
        </w:rPr>
        <w:t xml:space="preserve">-uitstoot geldende korting op het bijtellingspercentage tot 1 januari 2028 wordt verlengd, zij het in gewijzigde vorm. In het onderhavige wetsvoorstel worden momenteel enkele technische wijzigingen voorgesteld die samenhangen met de omstandigheid dat de korting op de bijtelling per 2026 helemaal zou worden afgeschaft (behoudens overgangstermijnen). Als echter de looptijd van de korting op de bijtelling wordt verlengd, is het ook nodig dat een aantal van de in dit wetsvoorstel opgenomen technische wijzigingen niet worden doorgevoerd. Dat wordt geregeld via dit amendement. </w:t>
      </w:r>
    </w:p>
    <w:p w:rsidR="00A60BAE" w:rsidP="00A60BAE" w:rsidRDefault="00A60BAE" w14:paraId="3C399FA3" w14:textId="77777777">
      <w:pPr>
        <w:rPr>
          <w:rFonts w:eastAsia="Calibri" w:cs="Calibri"/>
          <w:szCs w:val="18"/>
        </w:rPr>
      </w:pPr>
      <w:r>
        <w:rPr>
          <w:rFonts w:eastAsia="Calibri" w:cs="Calibri"/>
          <w:szCs w:val="18"/>
        </w:rPr>
        <w:t>Volledigheidshalve wordt opgenomen dat de wijzigingen die samenhangen met het einde van de looptijd van de korting op de bijtelling per 1 januari 2028 niet in dit amendement zijn opgenomen, omdat deze nog in een volgend wetsvoorstel kunnen worden opgenomen en het relatief veel wijzigingen zijn.</w:t>
      </w:r>
    </w:p>
    <w:p w:rsidR="00A60BAE" w:rsidP="00A60BAE" w:rsidRDefault="00A60BAE" w14:paraId="09AE15F9" w14:textId="77777777">
      <w:r>
        <w:rPr>
          <w:rFonts w:eastAsia="Calibri" w:cs="Calibri"/>
          <w:szCs w:val="18"/>
        </w:rPr>
        <w:t xml:space="preserve"> </w:t>
      </w:r>
    </w:p>
    <w:p w:rsidR="00A60BAE" w:rsidP="00A60BAE" w:rsidRDefault="00A60BAE" w14:paraId="768D9831" w14:textId="77777777">
      <w:r>
        <w:t>Grinwis</w:t>
      </w:r>
    </w:p>
    <w:p w:rsidRPr="00EA69AC" w:rsidR="00A60BAE" w:rsidP="00A60BAE" w:rsidRDefault="00A60BAE" w14:paraId="31148C7C" w14:textId="77777777">
      <w:r>
        <w:t>Oosterhuis</w:t>
      </w:r>
    </w:p>
    <w:p w:rsidRPr="00EA69AC" w:rsidR="00B4708A" w:rsidP="00A60BAE" w:rsidRDefault="00B4708A" w14:paraId="584BCE7F" w14:textId="34DBAB2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88E1" w14:textId="77777777" w:rsidR="00A60BAE" w:rsidRDefault="00A60BAE">
      <w:pPr>
        <w:spacing w:line="20" w:lineRule="exact"/>
      </w:pPr>
    </w:p>
  </w:endnote>
  <w:endnote w:type="continuationSeparator" w:id="0">
    <w:p w14:paraId="2E478710" w14:textId="77777777" w:rsidR="00A60BAE" w:rsidRDefault="00A60BAE">
      <w:pPr>
        <w:pStyle w:val="Amendement"/>
      </w:pPr>
      <w:r>
        <w:rPr>
          <w:b w:val="0"/>
        </w:rPr>
        <w:t xml:space="preserve"> </w:t>
      </w:r>
    </w:p>
  </w:endnote>
  <w:endnote w:type="continuationNotice" w:id="1">
    <w:p w14:paraId="0DBE9E4C" w14:textId="77777777" w:rsidR="00A60BAE" w:rsidRDefault="00A60B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74CF" w14:textId="77777777" w:rsidR="00A60BAE" w:rsidRDefault="00A60BAE">
      <w:pPr>
        <w:pStyle w:val="Amendement"/>
      </w:pPr>
      <w:r>
        <w:rPr>
          <w:b w:val="0"/>
        </w:rPr>
        <w:separator/>
      </w:r>
    </w:p>
  </w:footnote>
  <w:footnote w:type="continuationSeparator" w:id="0">
    <w:p w14:paraId="3BCB1C8E" w14:textId="77777777" w:rsidR="00A60BAE" w:rsidRDefault="00A60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AE"/>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60BAE"/>
    <w:rsid w:val="00A772EB"/>
    <w:rsid w:val="00B01BA6"/>
    <w:rsid w:val="00B4708A"/>
    <w:rsid w:val="00BF623B"/>
    <w:rsid w:val="00C035D4"/>
    <w:rsid w:val="00C679BF"/>
    <w:rsid w:val="00C81BBD"/>
    <w:rsid w:val="00CD3132"/>
    <w:rsid w:val="00CD5654"/>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A0DB1"/>
  <w15:docId w15:val="{9BDD152A-4056-4FF8-91CD-85C0B78C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A60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591</ap:Words>
  <ap:Characters>3254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2025-11-24T12:15:00.0000000Z</dcterms:created>
  <dcterms:modified xsi:type="dcterms:W3CDTF">2025-11-24T12:23:00.0000000Z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