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95F" w:rsidP="00F37CF4" w:rsidRDefault="004843BC" w14:paraId="39E5CD96" w14:textId="2011BA04">
      <w:pPr>
        <w:spacing w:line="276" w:lineRule="auto"/>
      </w:pPr>
      <w:r>
        <w:t>Geachte voorzitter,</w:t>
      </w:r>
    </w:p>
    <w:p w:rsidR="005E095F" w:rsidP="00F37CF4" w:rsidRDefault="005E095F" w14:paraId="39E5CD97" w14:textId="77777777">
      <w:pPr>
        <w:spacing w:line="276" w:lineRule="auto"/>
      </w:pPr>
    </w:p>
    <w:p w:rsidR="005E095F" w:rsidP="00F37CF4" w:rsidRDefault="00BF38C8" w14:paraId="39E5CD98" w14:textId="0EE060D3">
      <w:pPr>
        <w:spacing w:line="276" w:lineRule="auto"/>
      </w:pPr>
      <w:r>
        <w:t xml:space="preserve">Hierbij bieden wij u de </w:t>
      </w:r>
      <w:r w:rsidR="00F37CF4">
        <w:t>K</w:t>
      </w:r>
      <w:r>
        <w:t xml:space="preserve">amerbrief </w:t>
      </w:r>
      <w:r w:rsidR="00E33FC3">
        <w:t xml:space="preserve">betreft de ontwikkelingen en humanitaire situatie </w:t>
      </w:r>
      <w:r w:rsidR="00123400">
        <w:t xml:space="preserve">in </w:t>
      </w:r>
      <w:r w:rsidR="00E33FC3">
        <w:t>El Fasher na de inname door de RSF</w:t>
      </w:r>
      <w:r w:rsidR="00123400">
        <w:t xml:space="preserve"> (Rapid Support Forces)</w:t>
      </w:r>
      <w:r w:rsidR="00E33FC3">
        <w:t xml:space="preserve"> en de Nederlandse reactie hierop, zoals toegezegd in het antwoord op de door het lid Teunissen (PvdD) schriftelijk gestelde vraag over de laatste stand van zaken aangaande de Nederlandse inzet op de humanitaire crisis in Soedan.</w:t>
      </w:r>
    </w:p>
    <w:p w:rsidR="005E095F" w:rsidP="00F37CF4" w:rsidRDefault="005E095F" w14:paraId="39E5CD99" w14:textId="77777777">
      <w:pPr>
        <w:spacing w:line="276" w:lineRule="auto"/>
      </w:pPr>
    </w:p>
    <w:p w:rsidR="00F37CF4" w:rsidP="00F37CF4" w:rsidRDefault="00F37CF4" w14:paraId="544CB16D"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5E095F" w14:paraId="39E5CD9C" w14:textId="77777777">
        <w:tc>
          <w:tcPr>
            <w:tcW w:w="3620" w:type="dxa"/>
          </w:tcPr>
          <w:p w:rsidR="00F37CF4" w:rsidP="00F37CF4" w:rsidRDefault="004843BC" w14:paraId="69686CB4" w14:textId="77777777">
            <w:pPr>
              <w:spacing w:line="276" w:lineRule="auto"/>
            </w:pPr>
            <w:r>
              <w:t xml:space="preserve">De </w:t>
            </w:r>
            <w:r w:rsidR="00F37CF4">
              <w:t>m</w:t>
            </w:r>
            <w:r>
              <w:t>inister van Buitenlandse Zaken</w:t>
            </w:r>
            <w:r w:rsidR="00F37CF4">
              <w:t>,</w:t>
            </w:r>
            <w:r>
              <w:br/>
            </w:r>
            <w:r>
              <w:br/>
            </w:r>
            <w:r>
              <w:br/>
            </w:r>
            <w:r>
              <w:br/>
            </w:r>
          </w:p>
          <w:p w:rsidR="005E095F" w:rsidP="00F37CF4" w:rsidRDefault="004843BC" w14:paraId="39E5CD9A" w14:textId="706B8F61">
            <w:pPr>
              <w:spacing w:line="276" w:lineRule="auto"/>
            </w:pPr>
            <w:r>
              <w:br/>
            </w:r>
            <w:r>
              <w:br/>
              <w:t>D.M. van Weel</w:t>
            </w:r>
          </w:p>
        </w:tc>
        <w:tc>
          <w:tcPr>
            <w:tcW w:w="3921" w:type="dxa"/>
          </w:tcPr>
          <w:p w:rsidR="00F37CF4" w:rsidP="00F37CF4" w:rsidRDefault="004843BC" w14:paraId="36FBAEBE" w14:textId="77777777">
            <w:pPr>
              <w:spacing w:line="276" w:lineRule="auto"/>
            </w:pPr>
            <w:r>
              <w:t xml:space="preserve">Staatssecretaris Buitenlandse Handel </w:t>
            </w:r>
          </w:p>
          <w:p w:rsidR="005E095F" w:rsidP="00F37CF4" w:rsidRDefault="004843BC" w14:paraId="39E5CD9B" w14:textId="5980A30A">
            <w:pPr>
              <w:spacing w:line="276" w:lineRule="auto"/>
            </w:pPr>
            <w:r>
              <w:t>en Ontwikkelingshulp</w:t>
            </w:r>
            <w:r w:rsidR="00F37CF4">
              <w:t>,</w:t>
            </w:r>
            <w:r>
              <w:br/>
            </w:r>
            <w:r>
              <w:br/>
            </w:r>
            <w:r>
              <w:br/>
            </w:r>
            <w:r>
              <w:br/>
            </w:r>
            <w:r>
              <w:br/>
            </w:r>
            <w:r>
              <w:br/>
              <w:t>Aukje de Vries</w:t>
            </w:r>
          </w:p>
        </w:tc>
      </w:tr>
    </w:tbl>
    <w:p w:rsidR="005E095F" w:rsidP="00F37CF4" w:rsidRDefault="005E095F" w14:paraId="39E5CD9D" w14:textId="77777777">
      <w:pPr>
        <w:spacing w:line="276" w:lineRule="auto"/>
      </w:pPr>
    </w:p>
    <w:p w:rsidR="00E33FC3" w:rsidP="00F37CF4" w:rsidRDefault="00E33FC3" w14:paraId="3B07A1FD" w14:textId="77777777">
      <w:pPr>
        <w:spacing w:line="276" w:lineRule="auto"/>
      </w:pPr>
    </w:p>
    <w:p w:rsidR="00E33FC3" w:rsidP="00F37CF4" w:rsidRDefault="00E33FC3" w14:paraId="1B9B4323" w14:textId="77777777">
      <w:pPr>
        <w:spacing w:line="276" w:lineRule="auto"/>
      </w:pPr>
    </w:p>
    <w:p w:rsidR="00E33FC3" w:rsidP="00F37CF4" w:rsidRDefault="00E33FC3" w14:paraId="66989AD0" w14:textId="77777777">
      <w:pPr>
        <w:spacing w:line="276" w:lineRule="auto"/>
      </w:pPr>
    </w:p>
    <w:p w:rsidR="00E33FC3" w:rsidP="00F37CF4" w:rsidRDefault="00E33FC3" w14:paraId="24269061" w14:textId="77777777">
      <w:pPr>
        <w:spacing w:line="276" w:lineRule="auto"/>
      </w:pPr>
    </w:p>
    <w:p w:rsidR="00E33FC3" w:rsidP="00F37CF4" w:rsidRDefault="00E33FC3" w14:paraId="4D746D25" w14:textId="77777777">
      <w:pPr>
        <w:spacing w:line="276" w:lineRule="auto"/>
      </w:pPr>
    </w:p>
    <w:p w:rsidR="00E33FC3" w:rsidP="00F37CF4" w:rsidRDefault="00E33FC3" w14:paraId="4727B97A" w14:textId="77777777">
      <w:pPr>
        <w:spacing w:line="276" w:lineRule="auto"/>
      </w:pPr>
    </w:p>
    <w:p w:rsidR="00E33FC3" w:rsidP="00F37CF4" w:rsidRDefault="00E33FC3" w14:paraId="4FEB3245" w14:textId="77777777">
      <w:pPr>
        <w:spacing w:line="276" w:lineRule="auto"/>
      </w:pPr>
    </w:p>
    <w:p w:rsidR="00E33FC3" w:rsidP="00F37CF4" w:rsidRDefault="00E33FC3" w14:paraId="1544C879" w14:textId="77777777">
      <w:pPr>
        <w:spacing w:line="276" w:lineRule="auto"/>
      </w:pPr>
    </w:p>
    <w:p w:rsidR="00E33FC3" w:rsidP="00F37CF4" w:rsidRDefault="00E33FC3" w14:paraId="3DFF0152" w14:textId="77777777">
      <w:pPr>
        <w:spacing w:line="276" w:lineRule="auto"/>
      </w:pPr>
    </w:p>
    <w:p w:rsidR="00E33FC3" w:rsidP="00F37CF4" w:rsidRDefault="00E33FC3" w14:paraId="5E6D7229" w14:textId="77777777">
      <w:pPr>
        <w:spacing w:line="276" w:lineRule="auto"/>
      </w:pPr>
    </w:p>
    <w:p w:rsidR="00E33FC3" w:rsidP="00F37CF4" w:rsidRDefault="00E33FC3" w14:paraId="41D0467C" w14:textId="77777777">
      <w:pPr>
        <w:spacing w:line="276" w:lineRule="auto"/>
      </w:pPr>
    </w:p>
    <w:p w:rsidR="00E33FC3" w:rsidP="00F37CF4" w:rsidRDefault="00E33FC3" w14:paraId="4C89E676" w14:textId="77777777">
      <w:pPr>
        <w:spacing w:line="276" w:lineRule="auto"/>
      </w:pPr>
    </w:p>
    <w:p w:rsidR="00E33FC3" w:rsidP="00F37CF4" w:rsidRDefault="00E33FC3" w14:paraId="7E82EF6C" w14:textId="77777777">
      <w:pPr>
        <w:spacing w:line="276" w:lineRule="auto"/>
      </w:pPr>
    </w:p>
    <w:p w:rsidR="00E33FC3" w:rsidP="00F37CF4" w:rsidRDefault="00E33FC3" w14:paraId="19E11536" w14:textId="77777777">
      <w:pPr>
        <w:spacing w:line="276" w:lineRule="auto"/>
      </w:pPr>
    </w:p>
    <w:p w:rsidR="00E33FC3" w:rsidP="00F37CF4" w:rsidRDefault="00E33FC3" w14:paraId="35A95ED5" w14:textId="77777777">
      <w:pPr>
        <w:spacing w:line="276" w:lineRule="auto"/>
      </w:pPr>
    </w:p>
    <w:p w:rsidR="00E33FC3" w:rsidP="00F37CF4" w:rsidRDefault="00E33FC3" w14:paraId="69CA451F" w14:textId="77777777">
      <w:pPr>
        <w:spacing w:line="276" w:lineRule="auto"/>
      </w:pPr>
    </w:p>
    <w:p w:rsidRPr="001613C8" w:rsidR="00AF332E" w:rsidP="00F37CF4" w:rsidRDefault="00AF332E" w14:paraId="1F970896" w14:textId="5A6379C4">
      <w:pPr>
        <w:spacing w:line="276" w:lineRule="auto"/>
        <w:rPr>
          <w:b/>
        </w:rPr>
      </w:pPr>
      <w:r w:rsidRPr="002F23A6">
        <w:rPr>
          <w:b/>
        </w:rPr>
        <w:lastRenderedPageBreak/>
        <w:t xml:space="preserve">Inname El Fasher </w:t>
      </w:r>
    </w:p>
    <w:p w:rsidRPr="001613C8" w:rsidR="00AF332E" w:rsidP="00F37CF4" w:rsidRDefault="00AF332E" w14:paraId="00312BED" w14:textId="2046E32E">
      <w:pPr>
        <w:spacing w:line="276" w:lineRule="auto"/>
      </w:pPr>
      <w:r w:rsidRPr="001613C8">
        <w:t xml:space="preserve">Op 27 oktober jl. viel de stad El Fasher in </w:t>
      </w:r>
      <w:r>
        <w:t xml:space="preserve">het westen van Soedan in de provincie Noord Darfoer </w:t>
      </w:r>
      <w:r w:rsidRPr="001613C8">
        <w:t xml:space="preserve">in de handen van </w:t>
      </w:r>
      <w:r w:rsidRPr="0090142A">
        <w:t>de Rapid Support Forces (RSF) nadat de stad gedurende meer dan 500 dagen was belegerd. Dit was het laatste bastion van de S</w:t>
      </w:r>
      <w:r w:rsidR="00AF4881">
        <w:t>oe</w:t>
      </w:r>
      <w:r w:rsidRPr="0090142A">
        <w:t>danese Armed Forces (SAF) in Darfoer die sinds april 2023 in oorlog zijn met de RSF. De inname van d</w:t>
      </w:r>
      <w:r w:rsidRPr="001613C8">
        <w:t>e stad is van grote militaire en symbolische betekenis. Ten tijde van de inname door de RSF zaten honderdduizenden burgers nog altijd vast in de stad.</w:t>
      </w:r>
    </w:p>
    <w:p w:rsidRPr="001613C8" w:rsidR="00AF332E" w:rsidP="00F37CF4" w:rsidRDefault="00AF332E" w14:paraId="796ED6DF" w14:textId="77777777">
      <w:pPr>
        <w:spacing w:line="276" w:lineRule="auto"/>
        <w:rPr>
          <w:b/>
          <w:bCs/>
        </w:rPr>
      </w:pPr>
    </w:p>
    <w:p w:rsidRPr="00F37CF4" w:rsidR="00AF332E" w:rsidP="00F37CF4" w:rsidRDefault="00AF332E" w14:paraId="320C433E" w14:textId="55B3B7BF">
      <w:pPr>
        <w:spacing w:line="276" w:lineRule="auto"/>
        <w:rPr>
          <w:b/>
          <w:bCs/>
        </w:rPr>
      </w:pPr>
      <w:r w:rsidRPr="001613C8">
        <w:rPr>
          <w:b/>
          <w:bCs/>
        </w:rPr>
        <w:t xml:space="preserve">Etnisch geweld </w:t>
      </w:r>
    </w:p>
    <w:p w:rsidRPr="001613C8" w:rsidR="00AF332E" w:rsidP="00F37CF4" w:rsidRDefault="00F96B07" w14:paraId="1B7C6C74" w14:textId="5AD3FDE4">
      <w:pPr>
        <w:spacing w:line="276" w:lineRule="auto"/>
      </w:pPr>
      <w:r>
        <w:t>Bij de inname van El Fasher zijn waarschijnlijk duizenden mensen het slachtoffer geworden van etnisch geweld. Analyse van satellietbeelden door het Yale Humanitarian Research Lab (HRL) laat zien dat RSF mogelijk deur-tot-deur executies uitvoerde</w:t>
      </w:r>
      <w:r w:rsidR="00770708">
        <w:t>.</w:t>
      </w:r>
      <w:r>
        <w:rPr>
          <w:rStyle w:val="FootnoteReference"/>
        </w:rPr>
        <w:footnoteReference w:id="2"/>
      </w:r>
      <w:r>
        <w:t xml:space="preserve"> </w:t>
      </w:r>
      <w:r w:rsidRPr="001613C8" w:rsidR="00AF332E">
        <w:t>De</w:t>
      </w:r>
      <w:r>
        <w:t xml:space="preserve">ze vermoedelijke </w:t>
      </w:r>
      <w:r w:rsidRPr="001613C8" w:rsidR="00AF332E">
        <w:t xml:space="preserve">schendingen van </w:t>
      </w:r>
      <w:r w:rsidR="00AF332E">
        <w:t xml:space="preserve">het </w:t>
      </w:r>
      <w:r w:rsidRPr="001613C8" w:rsidR="00AF332E">
        <w:t xml:space="preserve">humanitair </w:t>
      </w:r>
      <w:r w:rsidR="00AF332E">
        <w:t>oorlogsrecht</w:t>
      </w:r>
      <w:r w:rsidRPr="001613C8" w:rsidR="00AF332E">
        <w:t xml:space="preserve"> en mensenrechten zijn onderdeel van een breder patroon van etnisch geweld in Darfoer, dat sinds het uitbreken van het conflict in 2023 weer is opgelaaid. Zo vermeldde het </w:t>
      </w:r>
      <w:r w:rsidR="00AF332E">
        <w:t>VN-</w:t>
      </w:r>
      <w:r w:rsidRPr="001613C8" w:rsidR="00AF332E">
        <w:t xml:space="preserve">panel </w:t>
      </w:r>
      <w:r w:rsidR="00AF332E">
        <w:t xml:space="preserve">van deskundigen voor Soedan (opgericht met het wapenembargo dat in 2005 door de VN-Veiligheidsraad werd ingevoerd) in januari 2024 </w:t>
      </w:r>
      <w:r w:rsidRPr="001613C8" w:rsidR="00AF332E">
        <w:t>dat tussen 10.000 en 15.000 mensen in El Geneina (West Darfoer) vermoord zijn als gevolg van etnisch geweld</w:t>
      </w:r>
      <w:r w:rsidR="00770708">
        <w:t>.</w:t>
      </w:r>
      <w:r w:rsidR="00AF332E">
        <w:rPr>
          <w:rStyle w:val="FootnoteReference"/>
        </w:rPr>
        <w:footnoteReference w:id="3"/>
      </w:r>
      <w:r w:rsidRPr="001613C8" w:rsidR="00AF332E">
        <w:t xml:space="preserve"> </w:t>
      </w:r>
    </w:p>
    <w:p w:rsidR="00AF332E" w:rsidP="00F37CF4" w:rsidRDefault="00AF332E" w14:paraId="744BC1A6" w14:textId="77777777">
      <w:pPr>
        <w:spacing w:line="276" w:lineRule="auto"/>
        <w:rPr>
          <w:b/>
          <w:bCs/>
        </w:rPr>
      </w:pPr>
    </w:p>
    <w:p w:rsidR="00AF332E" w:rsidP="00F37CF4" w:rsidRDefault="00AF332E" w14:paraId="1950F412" w14:textId="77777777">
      <w:pPr>
        <w:spacing w:line="276" w:lineRule="auto"/>
      </w:pPr>
      <w:r>
        <w:t xml:space="preserve">Om straffeloosheid bij mensenrechtenschendingen en schendingen van het humanitair oorlogsrecht tegen te gaan, steunt Nederland het verzamelen van bewijsmateriaal. Voorbeelden hiervan zijn de werkzaamheden van het Internationaal Strafhof en de </w:t>
      </w:r>
      <w:r w:rsidRPr="0090142A">
        <w:t>onafhankelijke</w:t>
      </w:r>
      <w:r>
        <w:t xml:space="preserve"> VN</w:t>
      </w:r>
      <w:r w:rsidRPr="0090142A">
        <w:t xml:space="preserve"> Fact Finding Mission</w:t>
      </w:r>
      <w:r>
        <w:t xml:space="preserve"> in Soedan. Nederland heeft zich in de Mensenrechtenraad ingezet voor de verlenging van het mandaat van deze missie, zodat het onderzoek kan worden voortgezet. </w:t>
      </w:r>
    </w:p>
    <w:p w:rsidR="007F0D58" w:rsidP="00F37CF4" w:rsidRDefault="007F0D58" w14:paraId="7D96025E" w14:textId="77777777">
      <w:pPr>
        <w:spacing w:line="276" w:lineRule="auto"/>
      </w:pPr>
    </w:p>
    <w:p w:rsidRPr="00330853" w:rsidR="007F0D58" w:rsidP="00F37CF4" w:rsidRDefault="00B36616" w14:paraId="50F86422" w14:textId="038B2EB5">
      <w:pPr>
        <w:spacing w:line="276" w:lineRule="auto"/>
      </w:pPr>
      <w:r w:rsidRPr="000C7845">
        <w:t>Daarnaast</w:t>
      </w:r>
      <w:r w:rsidRPr="000C7845" w:rsidR="007F0D58">
        <w:t xml:space="preserve"> heeft </w:t>
      </w:r>
      <w:r w:rsidRPr="000C7845">
        <w:t xml:space="preserve">Nederland </w:t>
      </w:r>
      <w:r w:rsidRPr="000C7845" w:rsidR="007F0D58">
        <w:t xml:space="preserve">op 14 november in de VN-Mensenrechtenraad het belang van waarheidsvinding voor genoemde gruwelijkheden benadrukt en tevens opgeroepen tot een einde aan de mensenrechtenschendingen, naleving van het VN wapenembargo, en het beschikbaar maken van voldoende humanitaire hulp. Tijdens de bijeenkomst is een nieuwe resolutie aangenomen die het mandaat van de </w:t>
      </w:r>
      <w:r w:rsidRPr="000C7845" w:rsidR="00FC3695">
        <w:rPr>
          <w:i/>
          <w:iCs/>
        </w:rPr>
        <w:t>VN Fact Finding Mission</w:t>
      </w:r>
      <w:r w:rsidRPr="000C7845" w:rsidR="00FC3695">
        <w:t xml:space="preserve"> </w:t>
      </w:r>
      <w:r w:rsidRPr="000C7845" w:rsidR="007F0D58">
        <w:t xml:space="preserve">uitbreidt, zodat ook specifiek onderzoek kan worden gedaan naar de </w:t>
      </w:r>
      <w:r w:rsidRPr="000C7845" w:rsidR="00FC3695">
        <w:t xml:space="preserve">recente </w:t>
      </w:r>
      <w:r w:rsidRPr="000C7845" w:rsidR="007F0D58">
        <w:t>gebeurtenissen in El Fasher.</w:t>
      </w:r>
    </w:p>
    <w:p w:rsidRPr="004843BC" w:rsidR="00AF332E" w:rsidP="00F37CF4" w:rsidRDefault="00AF332E" w14:paraId="51B00645" w14:textId="77777777">
      <w:pPr>
        <w:spacing w:line="276" w:lineRule="auto"/>
        <w:rPr>
          <w:b/>
          <w:bCs/>
        </w:rPr>
      </w:pPr>
    </w:p>
    <w:p w:rsidRPr="004843BC" w:rsidR="00AF332E" w:rsidP="00F37CF4" w:rsidRDefault="00AF332E" w14:paraId="73ACAF7A" w14:textId="13A37D89">
      <w:pPr>
        <w:spacing w:line="276" w:lineRule="auto"/>
        <w:rPr>
          <w:b/>
          <w:bCs/>
        </w:rPr>
      </w:pPr>
      <w:r>
        <w:rPr>
          <w:b/>
          <w:bCs/>
        </w:rPr>
        <w:t>Humanitaire situatie en ontheemding</w:t>
      </w:r>
    </w:p>
    <w:p w:rsidRPr="00993E18" w:rsidR="00AF332E" w:rsidP="00F37CF4" w:rsidRDefault="00AF332E" w14:paraId="42D4E38A" w14:textId="4C98058C">
      <w:pPr>
        <w:spacing w:line="276" w:lineRule="auto"/>
        <w:rPr>
          <w:rFonts w:eastAsia="Times New Roman" w:cs="Times New Roman"/>
          <w:color w:val="auto"/>
          <w:lang w:eastAsia="en-GB"/>
        </w:rPr>
      </w:pPr>
      <w:r w:rsidRPr="00993E18">
        <w:rPr>
          <w:rFonts w:eastAsia="Times New Roman" w:cs="Times New Roman"/>
          <w:color w:val="auto"/>
          <w:lang w:eastAsia="en-GB"/>
        </w:rPr>
        <w:t xml:space="preserve">Het conflict in Soedan heeft </w:t>
      </w:r>
      <w:r>
        <w:rPr>
          <w:rFonts w:eastAsia="Times New Roman" w:cs="Times New Roman"/>
          <w:color w:val="auto"/>
          <w:lang w:eastAsia="en-GB"/>
        </w:rPr>
        <w:t xml:space="preserve">sinds april 2023 </w:t>
      </w:r>
      <w:r w:rsidRPr="00993E18">
        <w:rPr>
          <w:rFonts w:eastAsia="Times New Roman" w:cs="Times New Roman"/>
          <w:color w:val="auto"/>
          <w:lang w:eastAsia="en-GB"/>
        </w:rPr>
        <w:t xml:space="preserve">geleid tot de ontheemding van naar schatting </w:t>
      </w:r>
      <w:r w:rsidRPr="000C7845" w:rsidR="00FC3695">
        <w:rPr>
          <w:rFonts w:eastAsia="Times New Roman" w:cs="Times New Roman"/>
          <w:color w:val="auto"/>
          <w:lang w:eastAsia="en-GB"/>
        </w:rPr>
        <w:t>9,5</w:t>
      </w:r>
      <w:r w:rsidRPr="000C7845">
        <w:rPr>
          <w:rFonts w:eastAsia="Times New Roman" w:cs="Times New Roman"/>
          <w:color w:val="auto"/>
          <w:lang w:eastAsia="en-GB"/>
        </w:rPr>
        <w:t xml:space="preserve"> miljoen mensen. Daaronder bevinden zich ruim 4</w:t>
      </w:r>
      <w:r w:rsidRPr="000C7845" w:rsidR="00FC3695">
        <w:rPr>
          <w:rFonts w:eastAsia="Times New Roman" w:cs="Times New Roman"/>
          <w:color w:val="auto"/>
          <w:lang w:eastAsia="en-GB"/>
        </w:rPr>
        <w:t>,5</w:t>
      </w:r>
      <w:r w:rsidRPr="000C7845">
        <w:rPr>
          <w:rFonts w:eastAsia="Times New Roman" w:cs="Times New Roman"/>
          <w:color w:val="auto"/>
          <w:lang w:eastAsia="en-GB"/>
        </w:rPr>
        <w:t xml:space="preserve"> miljoen</w:t>
      </w:r>
      <w:r w:rsidRPr="00993E18">
        <w:rPr>
          <w:rFonts w:eastAsia="Times New Roman" w:cs="Times New Roman"/>
          <w:color w:val="auto"/>
          <w:lang w:eastAsia="en-GB"/>
        </w:rPr>
        <w:t xml:space="preserve"> Soedanese burgers die hun toevlucht hebben gezocht in buurlanden, met name Egypte en Tsjaad, en daarnaast Oeganda, Zuid-Soedan en Ethiopië.</w:t>
      </w:r>
    </w:p>
    <w:p w:rsidRPr="00993E18" w:rsidR="00AF332E" w:rsidP="00F37CF4" w:rsidRDefault="00AF332E" w14:paraId="7C2A07A9" w14:textId="77777777">
      <w:pPr>
        <w:spacing w:line="276" w:lineRule="auto"/>
        <w:rPr>
          <w:rFonts w:eastAsia="Times New Roman" w:cs="Times New Roman"/>
          <w:color w:val="auto"/>
          <w:lang w:eastAsia="en-GB"/>
        </w:rPr>
      </w:pPr>
    </w:p>
    <w:p w:rsidRPr="00993E18" w:rsidR="00AF332E" w:rsidP="00F37CF4" w:rsidRDefault="00AF332E" w14:paraId="7374D920" w14:textId="09C932BA">
      <w:pPr>
        <w:spacing w:line="276" w:lineRule="auto"/>
        <w:rPr>
          <w:rFonts w:eastAsia="Times New Roman" w:cs="Times New Roman"/>
          <w:color w:val="auto"/>
          <w:lang w:eastAsia="en-GB"/>
        </w:rPr>
      </w:pPr>
      <w:r w:rsidRPr="37C1E7E6">
        <w:rPr>
          <w:rFonts w:eastAsia="Times New Roman" w:cs="Times New Roman"/>
          <w:color w:val="auto"/>
          <w:lang w:eastAsia="en-GB"/>
        </w:rPr>
        <w:t xml:space="preserve">Als gevolg van de gevechten in en rond El Fasher en de inname </w:t>
      </w:r>
      <w:r>
        <w:rPr>
          <w:rFonts w:eastAsia="Times New Roman" w:cs="Times New Roman"/>
          <w:color w:val="auto"/>
          <w:lang w:eastAsia="en-GB"/>
        </w:rPr>
        <w:t xml:space="preserve">van het Zamzam-kamp aan de rand </w:t>
      </w:r>
      <w:r w:rsidRPr="37C1E7E6">
        <w:rPr>
          <w:rFonts w:eastAsia="Times New Roman" w:cs="Times New Roman"/>
          <w:color w:val="auto"/>
          <w:lang w:eastAsia="en-GB"/>
        </w:rPr>
        <w:t xml:space="preserve">van de stad door de Rapid Support Forces (RSF) zijn </w:t>
      </w:r>
      <w:r>
        <w:rPr>
          <w:rFonts w:eastAsia="Times New Roman" w:cs="Times New Roman"/>
          <w:color w:val="auto"/>
          <w:lang w:eastAsia="en-GB"/>
        </w:rPr>
        <w:t>tussen april en september dit jaar bijna 500</w:t>
      </w:r>
      <w:r w:rsidRPr="37C1E7E6">
        <w:rPr>
          <w:rFonts w:eastAsia="Times New Roman" w:cs="Times New Roman"/>
          <w:color w:val="auto"/>
          <w:lang w:eastAsia="en-GB"/>
        </w:rPr>
        <w:t xml:space="preserve">.000 mensen gedwongen hun woonplaats te </w:t>
      </w:r>
      <w:r w:rsidRPr="37C1E7E6">
        <w:rPr>
          <w:rFonts w:eastAsia="Times New Roman" w:cs="Times New Roman"/>
          <w:color w:val="auto"/>
          <w:lang w:eastAsia="en-GB"/>
        </w:rPr>
        <w:lastRenderedPageBreak/>
        <w:t xml:space="preserve">ontvluchten. </w:t>
      </w:r>
      <w:r>
        <w:rPr>
          <w:rFonts w:eastAsia="Times New Roman" w:cs="Times New Roman"/>
          <w:color w:val="auto"/>
          <w:lang w:eastAsia="en-GB"/>
        </w:rPr>
        <w:t>Daarna is de stad van de buitenwereld afgesloten en werd het steeds moeilijker om de stad te verlaten. Voedsel</w:t>
      </w:r>
      <w:r w:rsidRPr="37C1E7E6">
        <w:rPr>
          <w:rFonts w:eastAsia="Times New Roman" w:cs="Times New Roman"/>
          <w:color w:val="auto"/>
          <w:lang w:eastAsia="en-GB"/>
        </w:rPr>
        <w:t xml:space="preserve">, medicijnen en andere vormen van noodhulp </w:t>
      </w:r>
      <w:r>
        <w:rPr>
          <w:rFonts w:eastAsia="Times New Roman" w:cs="Times New Roman"/>
          <w:color w:val="auto"/>
          <w:lang w:eastAsia="en-GB"/>
        </w:rPr>
        <w:t xml:space="preserve">konden en kunnen op moment van schrijven nog steeds </w:t>
      </w:r>
      <w:r w:rsidRPr="37C1E7E6">
        <w:rPr>
          <w:rFonts w:eastAsia="Times New Roman" w:cs="Times New Roman"/>
          <w:color w:val="auto"/>
          <w:lang w:eastAsia="en-GB"/>
        </w:rPr>
        <w:t>de stad niet bereiken. Volgens de Internationale Organisatie voor Migratie (International Organization for Migration, IOM) bev</w:t>
      </w:r>
      <w:r>
        <w:rPr>
          <w:rFonts w:eastAsia="Times New Roman" w:cs="Times New Roman"/>
          <w:color w:val="auto"/>
          <w:lang w:eastAsia="en-GB"/>
        </w:rPr>
        <w:t>o</w:t>
      </w:r>
      <w:r w:rsidRPr="37C1E7E6">
        <w:rPr>
          <w:rFonts w:eastAsia="Times New Roman" w:cs="Times New Roman"/>
          <w:color w:val="auto"/>
          <w:lang w:eastAsia="en-GB"/>
        </w:rPr>
        <w:t xml:space="preserve">nden zich </w:t>
      </w:r>
      <w:r>
        <w:rPr>
          <w:rFonts w:eastAsia="Times New Roman" w:cs="Times New Roman"/>
          <w:color w:val="auto"/>
          <w:lang w:eastAsia="en-GB"/>
        </w:rPr>
        <w:t>op 11 november nog ongeveer 100.000 mensen in de stad.</w:t>
      </w:r>
      <w:r>
        <w:rPr>
          <w:rStyle w:val="FootnoteReference"/>
          <w:rFonts w:eastAsia="Times New Roman" w:cs="Times New Roman"/>
          <w:color w:val="auto"/>
          <w:lang w:eastAsia="en-GB"/>
        </w:rPr>
        <w:footnoteReference w:id="4"/>
      </w:r>
      <w:r>
        <w:rPr>
          <w:rFonts w:eastAsia="Times New Roman" w:cs="Times New Roman"/>
          <w:color w:val="auto"/>
          <w:lang w:eastAsia="en-GB"/>
        </w:rPr>
        <w:t xml:space="preserve"> </w:t>
      </w:r>
    </w:p>
    <w:p w:rsidRPr="00993E18" w:rsidR="00AF332E" w:rsidP="00F37CF4" w:rsidRDefault="00AF332E" w14:paraId="64BA8ED8" w14:textId="77777777">
      <w:pPr>
        <w:spacing w:line="276" w:lineRule="auto"/>
        <w:rPr>
          <w:rFonts w:eastAsia="Times New Roman" w:cs="Times New Roman"/>
          <w:color w:val="auto"/>
          <w:lang w:eastAsia="en-GB"/>
        </w:rPr>
      </w:pPr>
    </w:p>
    <w:p w:rsidRPr="00993E18" w:rsidR="00AF332E" w:rsidP="00F37CF4" w:rsidRDefault="00AF332E" w14:paraId="6406D5CC" w14:textId="0FE59D46">
      <w:pPr>
        <w:spacing w:line="276" w:lineRule="auto"/>
        <w:rPr>
          <w:rFonts w:eastAsia="Times New Roman" w:cs="Times New Roman"/>
          <w:color w:val="auto"/>
          <w:lang w:eastAsia="en-GB"/>
        </w:rPr>
      </w:pPr>
      <w:r w:rsidRPr="00993E18">
        <w:rPr>
          <w:rFonts w:eastAsia="Times New Roman" w:cs="Times New Roman"/>
          <w:color w:val="auto"/>
          <w:lang w:eastAsia="en-GB"/>
        </w:rPr>
        <w:t xml:space="preserve">Een groot deel van </w:t>
      </w:r>
      <w:r>
        <w:rPr>
          <w:rFonts w:eastAsia="Times New Roman" w:cs="Times New Roman"/>
          <w:color w:val="auto"/>
          <w:lang w:eastAsia="en-GB"/>
        </w:rPr>
        <w:t xml:space="preserve">mensen die El Fasher en omgeving dit jaar ontvlucht zijn, </w:t>
      </w:r>
      <w:r w:rsidRPr="00993E18">
        <w:rPr>
          <w:rFonts w:eastAsia="Times New Roman" w:cs="Times New Roman"/>
          <w:color w:val="auto"/>
          <w:lang w:eastAsia="en-GB"/>
        </w:rPr>
        <w:t>heeft het meer westelijk gelegen Tawila bereikt.</w:t>
      </w:r>
      <w:r>
        <w:rPr>
          <w:rFonts w:eastAsia="Times New Roman" w:cs="Times New Roman"/>
          <w:color w:val="auto"/>
          <w:lang w:eastAsia="en-GB"/>
        </w:rPr>
        <w:t xml:space="preserve"> </w:t>
      </w:r>
      <w:r w:rsidRPr="00993E18">
        <w:rPr>
          <w:rFonts w:eastAsia="Times New Roman" w:cs="Times New Roman"/>
          <w:color w:val="auto"/>
          <w:lang w:eastAsia="en-GB"/>
        </w:rPr>
        <w:t xml:space="preserve">Daar bevinden zich inmiddels naar schatting 650.000 </w:t>
      </w:r>
      <w:r>
        <w:rPr>
          <w:rFonts w:eastAsia="Times New Roman" w:cs="Times New Roman"/>
          <w:color w:val="auto"/>
          <w:lang w:eastAsia="en-GB"/>
        </w:rPr>
        <w:t>ontheemden</w:t>
      </w:r>
      <w:r w:rsidRPr="00993E18">
        <w:rPr>
          <w:rFonts w:eastAsia="Times New Roman" w:cs="Times New Roman"/>
          <w:color w:val="auto"/>
          <w:lang w:eastAsia="en-GB"/>
        </w:rPr>
        <w:t xml:space="preserve">, terwijl de hulpvoorzieningen er uiterst beperkt zijn. Ook in de </w:t>
      </w:r>
      <w:r>
        <w:rPr>
          <w:rFonts w:eastAsia="Times New Roman" w:cs="Times New Roman"/>
          <w:color w:val="auto"/>
          <w:lang w:eastAsia="en-GB"/>
        </w:rPr>
        <w:t xml:space="preserve">eveneens in Darfoer gelegen </w:t>
      </w:r>
      <w:r w:rsidRPr="00993E18">
        <w:rPr>
          <w:rFonts w:eastAsia="Times New Roman" w:cs="Times New Roman"/>
          <w:color w:val="auto"/>
          <w:lang w:eastAsia="en-GB"/>
        </w:rPr>
        <w:t>Jebel Ma</w:t>
      </w:r>
      <w:r>
        <w:rPr>
          <w:rFonts w:eastAsia="Times New Roman" w:cs="Times New Roman"/>
          <w:color w:val="auto"/>
          <w:lang w:eastAsia="en-GB"/>
        </w:rPr>
        <w:t>r</w:t>
      </w:r>
      <w:r w:rsidRPr="00993E18">
        <w:rPr>
          <w:rFonts w:eastAsia="Times New Roman" w:cs="Times New Roman"/>
          <w:color w:val="auto"/>
          <w:lang w:eastAsia="en-GB"/>
        </w:rPr>
        <w:t>ra</w:t>
      </w:r>
      <w:r>
        <w:rPr>
          <w:rFonts w:eastAsia="Times New Roman" w:cs="Times New Roman"/>
          <w:color w:val="auto"/>
          <w:lang w:eastAsia="en-GB"/>
        </w:rPr>
        <w:t>-</w:t>
      </w:r>
      <w:r w:rsidRPr="00993E18">
        <w:rPr>
          <w:rFonts w:eastAsia="Times New Roman" w:cs="Times New Roman"/>
          <w:color w:val="auto"/>
          <w:lang w:eastAsia="en-GB"/>
        </w:rPr>
        <w:t>regio zoeken ontheemden onder moeilijke omstandigheden hun toevlucht. Omdat veel mannelijke inwoners van El Fasher zijn gedood of gedetineerd, bestaat het merendeel van de vluchtelingen uit vrouwen en kinderen, onder wie onbegeleide minderjarigen.</w:t>
      </w:r>
      <w:r>
        <w:rPr>
          <w:rFonts w:eastAsia="Times New Roman" w:cs="Times New Roman"/>
          <w:color w:val="auto"/>
          <w:lang w:eastAsia="en-GB"/>
        </w:rPr>
        <w:t xml:space="preserve"> </w:t>
      </w:r>
      <w:r w:rsidRPr="005F50BA">
        <w:rPr>
          <w:rFonts w:eastAsia="Times New Roman" w:cs="Times New Roman"/>
          <w:color w:val="auto"/>
          <w:lang w:eastAsia="en-GB"/>
        </w:rPr>
        <w:t>Van de bijna 90.000 mensen</w:t>
      </w:r>
      <w:r>
        <w:rPr>
          <w:rFonts w:eastAsia="Times New Roman" w:cs="Times New Roman"/>
          <w:color w:val="auto"/>
          <w:lang w:eastAsia="en-GB"/>
        </w:rPr>
        <w:t xml:space="preserve"> (schatting IOM)</w:t>
      </w:r>
      <w:r w:rsidRPr="005F50BA">
        <w:rPr>
          <w:rFonts w:eastAsia="Times New Roman" w:cs="Times New Roman"/>
          <w:color w:val="auto"/>
          <w:lang w:eastAsia="en-GB"/>
        </w:rPr>
        <w:t xml:space="preserve"> die sinds de inname </w:t>
      </w:r>
      <w:r>
        <w:rPr>
          <w:rFonts w:eastAsia="Times New Roman" w:cs="Times New Roman"/>
          <w:color w:val="auto"/>
          <w:lang w:eastAsia="en-GB"/>
        </w:rPr>
        <w:t>van de stad El Fasher</w:t>
      </w:r>
      <w:r w:rsidRPr="005F50BA">
        <w:rPr>
          <w:rFonts w:eastAsia="Times New Roman" w:cs="Times New Roman"/>
          <w:color w:val="auto"/>
          <w:lang w:eastAsia="en-GB"/>
        </w:rPr>
        <w:t xml:space="preserve"> hebben verlaten</w:t>
      </w:r>
      <w:r>
        <w:rPr>
          <w:rFonts w:eastAsia="Times New Roman" w:cs="Times New Roman"/>
          <w:color w:val="auto"/>
          <w:lang w:eastAsia="en-GB"/>
        </w:rPr>
        <w:t>,</w:t>
      </w:r>
      <w:r w:rsidRPr="005F50BA">
        <w:rPr>
          <w:rFonts w:eastAsia="Times New Roman" w:cs="Times New Roman"/>
          <w:color w:val="auto"/>
          <w:lang w:eastAsia="en-GB"/>
        </w:rPr>
        <w:t xml:space="preserve"> is maar een klein deel elders aangekomen. </w:t>
      </w:r>
      <w:r w:rsidR="00BF1FFB">
        <w:rPr>
          <w:rFonts w:eastAsia="Times New Roman" w:cs="Times New Roman"/>
          <w:color w:val="auto"/>
          <w:lang w:eastAsia="en-GB"/>
        </w:rPr>
        <w:t xml:space="preserve">Er zijn aanwijzingen dat de RSF een aanzienlijk deel </w:t>
      </w:r>
      <w:r>
        <w:rPr>
          <w:rFonts w:eastAsia="Times New Roman" w:cs="Times New Roman"/>
          <w:color w:val="auto"/>
          <w:lang w:eastAsia="en-GB"/>
        </w:rPr>
        <w:t xml:space="preserve">van deze mensen </w:t>
      </w:r>
      <w:r w:rsidR="00BF1FFB">
        <w:rPr>
          <w:rFonts w:eastAsia="Times New Roman" w:cs="Times New Roman"/>
          <w:color w:val="auto"/>
          <w:lang w:eastAsia="en-GB"/>
        </w:rPr>
        <w:t xml:space="preserve">vasthoudt </w:t>
      </w:r>
      <w:r w:rsidRPr="005F50BA">
        <w:rPr>
          <w:rFonts w:eastAsia="Times New Roman" w:cs="Times New Roman"/>
          <w:color w:val="auto"/>
          <w:lang w:eastAsia="en-GB"/>
        </w:rPr>
        <w:t xml:space="preserve">in dorpen vlak buiten de stad. </w:t>
      </w:r>
    </w:p>
    <w:p w:rsidRPr="00993E18" w:rsidR="00AF332E" w:rsidP="00F37CF4" w:rsidRDefault="00AF332E" w14:paraId="7544F16F" w14:textId="77777777">
      <w:pPr>
        <w:spacing w:line="276" w:lineRule="auto"/>
        <w:rPr>
          <w:rFonts w:eastAsia="Times New Roman" w:cs="Times New Roman"/>
          <w:color w:val="auto"/>
          <w:lang w:eastAsia="en-GB"/>
        </w:rPr>
      </w:pPr>
    </w:p>
    <w:p w:rsidRPr="00993E18" w:rsidR="00AF332E" w:rsidP="00F37CF4" w:rsidRDefault="00AF332E" w14:paraId="70EF38F7" w14:textId="77777777">
      <w:pPr>
        <w:spacing w:line="276" w:lineRule="auto"/>
        <w:rPr>
          <w:rFonts w:eastAsia="Times New Roman" w:cs="Times New Roman"/>
          <w:color w:val="auto"/>
          <w:lang w:eastAsia="en-GB"/>
        </w:rPr>
      </w:pPr>
      <w:r w:rsidRPr="00993E18">
        <w:rPr>
          <w:rFonts w:eastAsia="Times New Roman" w:cs="Times New Roman"/>
          <w:color w:val="auto"/>
          <w:lang w:eastAsia="en-GB"/>
        </w:rPr>
        <w:t xml:space="preserve">Sommige </w:t>
      </w:r>
      <w:r>
        <w:rPr>
          <w:rFonts w:eastAsia="Times New Roman" w:cs="Times New Roman"/>
          <w:color w:val="auto"/>
          <w:lang w:eastAsia="en-GB"/>
        </w:rPr>
        <w:t>ontheemden</w:t>
      </w:r>
      <w:r w:rsidRPr="00993E18">
        <w:rPr>
          <w:rFonts w:eastAsia="Times New Roman" w:cs="Times New Roman"/>
          <w:color w:val="auto"/>
          <w:lang w:eastAsia="en-GB"/>
        </w:rPr>
        <w:t xml:space="preserve"> weten</w:t>
      </w:r>
      <w:r>
        <w:rPr>
          <w:rFonts w:eastAsia="Times New Roman" w:cs="Times New Roman"/>
          <w:color w:val="auto"/>
          <w:lang w:eastAsia="en-GB"/>
        </w:rPr>
        <w:t xml:space="preserve"> het</w:t>
      </w:r>
      <w:r w:rsidRPr="00993E18">
        <w:rPr>
          <w:rFonts w:eastAsia="Times New Roman" w:cs="Times New Roman"/>
          <w:color w:val="auto"/>
          <w:lang w:eastAsia="en-GB"/>
        </w:rPr>
        <w:t xml:space="preserve"> RSF-gebied te verlaten en worden opgevangen op andere locaties, onder meer in de </w:t>
      </w:r>
      <w:r>
        <w:rPr>
          <w:rFonts w:eastAsia="Times New Roman" w:cs="Times New Roman"/>
          <w:color w:val="auto"/>
          <w:lang w:eastAsia="en-GB"/>
        </w:rPr>
        <w:t>n</w:t>
      </w:r>
      <w:r w:rsidRPr="00993E18">
        <w:rPr>
          <w:rFonts w:eastAsia="Times New Roman" w:cs="Times New Roman"/>
          <w:color w:val="auto"/>
          <w:lang w:eastAsia="en-GB"/>
        </w:rPr>
        <w:t xml:space="preserve">oordelijke </w:t>
      </w:r>
      <w:r>
        <w:rPr>
          <w:rFonts w:eastAsia="Times New Roman" w:cs="Times New Roman"/>
          <w:color w:val="auto"/>
          <w:lang w:eastAsia="en-GB"/>
        </w:rPr>
        <w:t>s</w:t>
      </w:r>
      <w:r w:rsidRPr="00993E18">
        <w:rPr>
          <w:rFonts w:eastAsia="Times New Roman" w:cs="Times New Roman"/>
          <w:color w:val="auto"/>
          <w:lang w:eastAsia="en-GB"/>
        </w:rPr>
        <w:t>taat Dabah, ten noordwesten van Khartoem. Tegelijkertijd intensiveert de strijd in Kordofan, ten oosten van Darfoer, waardoor ook daar de humanitaire noden toenemen.</w:t>
      </w:r>
      <w:r>
        <w:rPr>
          <w:rFonts w:eastAsia="Times New Roman" w:cs="Times New Roman"/>
          <w:color w:val="auto"/>
          <w:lang w:eastAsia="en-GB"/>
        </w:rPr>
        <w:t xml:space="preserve"> Deze gevechten brengen ook een risico op nieuwe grootschalige ontheemding met zich mee.</w:t>
      </w:r>
    </w:p>
    <w:p w:rsidRPr="00993E18" w:rsidR="00AF332E" w:rsidP="00F37CF4" w:rsidRDefault="00AF332E" w14:paraId="24694F7F" w14:textId="77777777">
      <w:pPr>
        <w:spacing w:line="276" w:lineRule="auto"/>
        <w:rPr>
          <w:rFonts w:eastAsia="Times New Roman" w:cs="Times New Roman"/>
          <w:color w:val="auto"/>
          <w:lang w:eastAsia="en-GB"/>
        </w:rPr>
      </w:pPr>
    </w:p>
    <w:p w:rsidRPr="00993E18" w:rsidR="00AF332E" w:rsidP="00F37CF4" w:rsidRDefault="00AF332E" w14:paraId="771B8709" w14:textId="41642491">
      <w:pPr>
        <w:spacing w:line="276" w:lineRule="auto"/>
        <w:rPr>
          <w:rFonts w:eastAsia="Times New Roman" w:cs="Times New Roman"/>
          <w:color w:val="auto"/>
          <w:lang w:eastAsia="en-GB"/>
        </w:rPr>
      </w:pPr>
      <w:r w:rsidRPr="00993E18">
        <w:rPr>
          <w:rFonts w:eastAsia="Times New Roman" w:cs="Times New Roman"/>
          <w:color w:val="auto"/>
          <w:lang w:eastAsia="en-GB"/>
        </w:rPr>
        <w:t xml:space="preserve">De voedselsituatie in Soedan is bijzonder zorgwekkend. Volgens een rapport van het </w:t>
      </w:r>
      <w:r w:rsidRPr="00770708">
        <w:rPr>
          <w:rFonts w:eastAsia="Times New Roman" w:cs="Times New Roman"/>
          <w:i/>
          <w:iCs/>
          <w:color w:val="auto"/>
          <w:lang w:eastAsia="en-GB"/>
        </w:rPr>
        <w:t>Integrated Food Security Phase Classification-</w:t>
      </w:r>
      <w:r w:rsidRPr="00993E18">
        <w:rPr>
          <w:rFonts w:eastAsia="Times New Roman" w:cs="Times New Roman"/>
          <w:color w:val="auto"/>
          <w:lang w:eastAsia="en-GB"/>
        </w:rPr>
        <w:t xml:space="preserve">systeem (IPC), </w:t>
      </w:r>
      <w:r w:rsidR="00BF1FFB">
        <w:rPr>
          <w:rFonts w:eastAsia="Times New Roman" w:cs="Times New Roman"/>
          <w:color w:val="auto"/>
          <w:lang w:eastAsia="en-GB"/>
        </w:rPr>
        <w:t>het</w:t>
      </w:r>
      <w:r w:rsidRPr="00993E18">
        <w:rPr>
          <w:rFonts w:eastAsia="Times New Roman" w:cs="Times New Roman"/>
          <w:color w:val="auto"/>
          <w:lang w:eastAsia="en-GB"/>
        </w:rPr>
        <w:t xml:space="preserve"> internationale </w:t>
      </w:r>
      <w:r w:rsidR="00BF1FFB">
        <w:rPr>
          <w:rFonts w:eastAsia="Times New Roman" w:cs="Times New Roman"/>
          <w:color w:val="auto"/>
          <w:lang w:eastAsia="en-GB"/>
        </w:rPr>
        <w:t xml:space="preserve">systeem </w:t>
      </w:r>
      <w:r w:rsidRPr="00993E18">
        <w:rPr>
          <w:rFonts w:eastAsia="Times New Roman" w:cs="Times New Roman"/>
          <w:color w:val="auto"/>
          <w:lang w:eastAsia="en-GB"/>
        </w:rPr>
        <w:t xml:space="preserve">voor voedselzekerheid, </w:t>
      </w:r>
      <w:r>
        <w:rPr>
          <w:rFonts w:eastAsia="Times New Roman" w:cs="Times New Roman"/>
          <w:color w:val="auto"/>
          <w:lang w:eastAsia="en-GB"/>
        </w:rPr>
        <w:t>wordt aan</w:t>
      </w:r>
      <w:r w:rsidRPr="00993E18">
        <w:rPr>
          <w:rFonts w:eastAsia="Times New Roman" w:cs="Times New Roman"/>
          <w:color w:val="auto"/>
          <w:lang w:eastAsia="en-GB"/>
        </w:rPr>
        <w:t xml:space="preserve"> alle criteria v</w:t>
      </w:r>
      <w:r>
        <w:rPr>
          <w:rFonts w:eastAsia="Times New Roman" w:cs="Times New Roman"/>
          <w:color w:val="auto"/>
          <w:lang w:eastAsia="en-GB"/>
        </w:rPr>
        <w:t>oldaan</w:t>
      </w:r>
      <w:r w:rsidRPr="00993E18">
        <w:rPr>
          <w:rFonts w:eastAsia="Times New Roman" w:cs="Times New Roman"/>
          <w:color w:val="auto"/>
          <w:lang w:eastAsia="en-GB"/>
        </w:rPr>
        <w:t xml:space="preserve"> om officieel hongersnood vast te stellen in El Fasher en Kaduqli (Zuid-Kordofan). Dit is de tweede keer in minder dan een jaar dat het IPC een hongersnood </w:t>
      </w:r>
      <w:r w:rsidR="00BF1FFB">
        <w:rPr>
          <w:rFonts w:eastAsia="Times New Roman" w:cs="Times New Roman"/>
          <w:color w:val="auto"/>
          <w:lang w:eastAsia="en-GB"/>
        </w:rPr>
        <w:t xml:space="preserve">vaststelt </w:t>
      </w:r>
      <w:r w:rsidRPr="00993E18">
        <w:rPr>
          <w:rFonts w:eastAsia="Times New Roman" w:cs="Times New Roman"/>
          <w:color w:val="auto"/>
          <w:lang w:eastAsia="en-GB"/>
        </w:rPr>
        <w:t>in Soedan; eind vorig jaar werden vijf andere gebieden, voornamelijk in Noord-Darfoer, al officieel getroffen verklaard.</w:t>
      </w:r>
    </w:p>
    <w:p w:rsidRPr="00993E18" w:rsidR="00AF332E" w:rsidP="00F37CF4" w:rsidRDefault="00AF332E" w14:paraId="7618648B" w14:textId="77777777">
      <w:pPr>
        <w:spacing w:line="276" w:lineRule="auto"/>
        <w:rPr>
          <w:rFonts w:eastAsia="Times New Roman" w:cs="Times New Roman"/>
          <w:color w:val="auto"/>
          <w:lang w:eastAsia="en-GB"/>
        </w:rPr>
      </w:pPr>
    </w:p>
    <w:p w:rsidR="00AF332E" w:rsidP="00F37CF4" w:rsidRDefault="00AF332E" w14:paraId="20D62780" w14:textId="59283ECD">
      <w:pPr>
        <w:spacing w:line="276" w:lineRule="auto"/>
        <w:rPr>
          <w:rFonts w:eastAsia="Times New Roman" w:cs="Times New Roman"/>
          <w:color w:val="auto"/>
          <w:lang w:eastAsia="en-GB"/>
        </w:rPr>
      </w:pPr>
      <w:r>
        <w:rPr>
          <w:rFonts w:eastAsia="Times New Roman" w:cs="Times New Roman"/>
          <w:color w:val="auto"/>
          <w:lang w:eastAsia="en-GB"/>
        </w:rPr>
        <w:t xml:space="preserve">De </w:t>
      </w:r>
      <w:r w:rsidRPr="00993E18">
        <w:rPr>
          <w:rFonts w:eastAsia="Times New Roman" w:cs="Times New Roman"/>
          <w:color w:val="auto"/>
          <w:lang w:eastAsia="en-GB"/>
        </w:rPr>
        <w:t xml:space="preserve">migratiecijfers </w:t>
      </w:r>
      <w:r>
        <w:rPr>
          <w:rFonts w:eastAsia="Times New Roman" w:cs="Times New Roman"/>
          <w:color w:val="auto"/>
          <w:lang w:eastAsia="en-GB"/>
        </w:rPr>
        <w:t xml:space="preserve">tonen de </w:t>
      </w:r>
      <w:r w:rsidRPr="00993E18">
        <w:rPr>
          <w:rFonts w:eastAsia="Times New Roman" w:cs="Times New Roman"/>
          <w:color w:val="auto"/>
          <w:lang w:eastAsia="en-GB"/>
        </w:rPr>
        <w:t>afgelopen maanden een gestage toename van het aantal Soedanese vluchtelingen – tot dusver circa 13.500 in 2025 – die veelal via Libië Europa bereiken en daar asiel aanvragen, met name in Griekenland en Frankrijk. De overgrote meerderheid van de vluchtelingen blijft echter in de buurlanden</w:t>
      </w:r>
      <w:r>
        <w:rPr>
          <w:rFonts w:eastAsia="Times New Roman" w:cs="Times New Roman"/>
          <w:color w:val="auto"/>
          <w:lang w:eastAsia="en-GB"/>
        </w:rPr>
        <w:t xml:space="preserve"> van Soedan</w:t>
      </w:r>
      <w:r w:rsidRPr="00993E18">
        <w:rPr>
          <w:rFonts w:eastAsia="Times New Roman" w:cs="Times New Roman"/>
          <w:color w:val="auto"/>
          <w:lang w:eastAsia="en-GB"/>
        </w:rPr>
        <w:t>, omdat zij niet over de middelen beschikken om verder te reizen.</w:t>
      </w:r>
    </w:p>
    <w:p w:rsidR="00AF332E" w:rsidP="00F37CF4" w:rsidRDefault="00AF332E" w14:paraId="52B62ED8" w14:textId="77777777">
      <w:pPr>
        <w:spacing w:line="276" w:lineRule="auto"/>
        <w:rPr>
          <w:rFonts w:eastAsia="Times New Roman" w:cs="Times New Roman"/>
          <w:color w:val="auto"/>
          <w:lang w:eastAsia="en-GB"/>
        </w:rPr>
      </w:pPr>
    </w:p>
    <w:p w:rsidRPr="00F37CF4" w:rsidR="00AF332E" w:rsidP="00F37CF4" w:rsidRDefault="00AF332E" w14:paraId="733245BD" w14:textId="1D8149EF">
      <w:pPr>
        <w:spacing w:line="276" w:lineRule="auto"/>
        <w:rPr>
          <w:rFonts w:eastAsia="Times New Roman" w:cs="Times New Roman"/>
          <w:b/>
          <w:bCs/>
          <w:color w:val="auto"/>
          <w:lang w:eastAsia="en-GB"/>
        </w:rPr>
      </w:pPr>
      <w:r>
        <w:rPr>
          <w:rFonts w:eastAsia="Times New Roman" w:cs="Times New Roman"/>
          <w:b/>
          <w:bCs/>
          <w:color w:val="auto"/>
          <w:lang w:eastAsia="en-GB"/>
        </w:rPr>
        <w:t>Diplomatieke inzet en vredesproces</w:t>
      </w:r>
    </w:p>
    <w:p w:rsidRPr="00C62C9B" w:rsidR="00093FD0" w:rsidP="00093FD0" w:rsidRDefault="00AF332E" w14:paraId="01213DA9" w14:textId="29E0F155">
      <w:pPr>
        <w:spacing w:line="276" w:lineRule="auto"/>
      </w:pPr>
      <w:r w:rsidRPr="000F7F0F">
        <w:rPr>
          <w:rFonts w:eastAsia="Times New Roman" w:cs="Times New Roman"/>
          <w:color w:val="auto"/>
          <w:lang w:eastAsia="en-GB"/>
        </w:rPr>
        <w:t>Nederland blijft zich, zowel bilateraal als binnen de Europese Unie, inzetten om deze crisis niet alleen hoog op de internationale agenda te houden, maar ook om tot concrete actie te komen.</w:t>
      </w:r>
      <w:r>
        <w:rPr>
          <w:rFonts w:eastAsia="Times New Roman" w:cs="Times New Roman"/>
          <w:color w:val="auto"/>
          <w:lang w:eastAsia="en-GB"/>
        </w:rPr>
        <w:t xml:space="preserve"> Als initiatiefnemer van de EU-Kerngroep voor Soedan vervult Nederland binnen de EU een aanjagende rol, bijvoorbeeld in voorbereiding van het afkondigen van sancties en door </w:t>
      </w:r>
      <w:r w:rsidRPr="000F7F0F">
        <w:rPr>
          <w:rFonts w:eastAsia="Times New Roman" w:cs="Times New Roman"/>
          <w:color w:val="auto"/>
          <w:lang w:eastAsia="en-GB"/>
        </w:rPr>
        <w:t xml:space="preserve">op te roepen tot </w:t>
      </w:r>
      <w:r w:rsidRPr="00FE2834">
        <w:t xml:space="preserve">versterkte diplomatieke </w:t>
      </w:r>
      <w:r w:rsidRPr="000C7845">
        <w:t xml:space="preserve">EU-inzet richting in het conflict relevante regionale actoren. </w:t>
      </w:r>
      <w:bookmarkStart w:name="_Hlk214878242" w:id="0"/>
      <w:r w:rsidRPr="000C7845" w:rsidR="00093FD0">
        <w:t xml:space="preserve">Tijdens de Raad </w:t>
      </w:r>
      <w:r w:rsidRPr="000C7845" w:rsidR="00093FD0">
        <w:lastRenderedPageBreak/>
        <w:t xml:space="preserve">Buitenlandse Zaken in november zijn sancties aangenomen tegen Abdelrahim Hamdan Dagalo, </w:t>
      </w:r>
      <w:r w:rsidRPr="000C7845" w:rsidR="004D789D">
        <w:rPr>
          <w:bCs/>
        </w:rPr>
        <w:t>de tweede man binnen de RSF en broer van Hemedti, leider van de RSF</w:t>
      </w:r>
      <w:r w:rsidRPr="000C7845" w:rsidR="00093FD0">
        <w:t xml:space="preserve">. Conform de </w:t>
      </w:r>
      <w:r w:rsidRPr="000C7845" w:rsidR="00B86C21">
        <w:t xml:space="preserve">motie-Piri </w:t>
      </w:r>
      <w:r w:rsidRPr="000C7845" w:rsidR="000C7845">
        <w:t>c.s.</w:t>
      </w:r>
      <w:r w:rsidRPr="000C7845" w:rsidR="00B86C21">
        <w:t>. (</w:t>
      </w:r>
      <w:r w:rsidRPr="000C7845" w:rsidR="00F83DC9">
        <w:t xml:space="preserve">Kamerstuk </w:t>
      </w:r>
      <w:r w:rsidRPr="000C7845" w:rsidR="00B86C21">
        <w:t xml:space="preserve">21501-02 Nr. 3278) en </w:t>
      </w:r>
      <w:r w:rsidRPr="000C7845" w:rsidR="00093FD0">
        <w:t>motie</w:t>
      </w:r>
      <w:r w:rsidRPr="000C7845" w:rsidR="00FC3695">
        <w:t>-</w:t>
      </w:r>
      <w:r w:rsidRPr="000C7845" w:rsidR="00093FD0">
        <w:t>Piri (</w:t>
      </w:r>
      <w:r w:rsidRPr="000C7845" w:rsidR="00F83DC9">
        <w:t xml:space="preserve">Kamerstuk </w:t>
      </w:r>
      <w:r w:rsidRPr="000C7845" w:rsidR="00093FD0">
        <w:t>21501-02 Nr. 3279) heeft Nederland tijdens de Raad gepleit voor aanvullende sancties tegen verantwoordelijken voor de oorlog</w:t>
      </w:r>
      <w:r w:rsidRPr="000C7845" w:rsidR="00C77C99">
        <w:t>,</w:t>
      </w:r>
      <w:r w:rsidRPr="000C7845" w:rsidR="00223143">
        <w:t xml:space="preserve"> zowel binnen als buiten Soedan</w:t>
      </w:r>
      <w:r w:rsidRPr="000C7845" w:rsidR="00093FD0">
        <w:t xml:space="preserve">, </w:t>
      </w:r>
      <w:r w:rsidRPr="000C7845" w:rsidR="00C77C99">
        <w:t xml:space="preserve">en </w:t>
      </w:r>
      <w:r w:rsidRPr="000C7845" w:rsidR="00093FD0">
        <w:t xml:space="preserve">inclusief </w:t>
      </w:r>
      <w:r w:rsidRPr="000C7845" w:rsidR="00C77C99">
        <w:t xml:space="preserve">de strijdende partijen </w:t>
      </w:r>
      <w:r w:rsidRPr="000C7845" w:rsidR="00093FD0">
        <w:t>op het hoogste niveau.</w:t>
      </w:r>
      <w:r w:rsidR="00093FD0">
        <w:t xml:space="preserve"> </w:t>
      </w:r>
      <w:bookmarkEnd w:id="0"/>
    </w:p>
    <w:p w:rsidR="00093FD0" w:rsidP="00F37CF4" w:rsidRDefault="00093FD0" w14:paraId="6E139AA9" w14:textId="73471E09">
      <w:pPr>
        <w:spacing w:line="276" w:lineRule="auto"/>
      </w:pPr>
    </w:p>
    <w:p w:rsidR="007D1A8A" w:rsidP="007D1A8A" w:rsidRDefault="003F453E" w14:paraId="015AD319" w14:textId="664BC2FD">
      <w:pPr>
        <w:spacing w:line="276" w:lineRule="auto"/>
      </w:pPr>
      <w:r w:rsidRPr="000C7845">
        <w:t>Daarnaast heeft Nederland conform motie</w:t>
      </w:r>
      <w:r w:rsidRPr="000C7845" w:rsidR="00FC3695">
        <w:t>-</w:t>
      </w:r>
      <w:r w:rsidRPr="000C7845">
        <w:t xml:space="preserve">Ceder </w:t>
      </w:r>
      <w:r w:rsidRPr="000C7845" w:rsidR="000C7845">
        <w:t>c.s.</w:t>
      </w:r>
      <w:r w:rsidRPr="000C7845" w:rsidR="00B86C21">
        <w:t xml:space="preserve"> </w:t>
      </w:r>
      <w:r w:rsidRPr="000C7845">
        <w:t>(</w:t>
      </w:r>
      <w:r w:rsidRPr="000C7845" w:rsidR="00F83DC9">
        <w:t xml:space="preserve">Kamerstuk </w:t>
      </w:r>
      <w:r w:rsidRPr="000C7845">
        <w:t>21501-02 Nr. 3276)</w:t>
      </w:r>
      <w:r w:rsidRPr="000C7845" w:rsidR="00AF332E">
        <w:t xml:space="preserve"> </w:t>
      </w:r>
      <w:r w:rsidRPr="000C7845">
        <w:t xml:space="preserve">tijdens de Raad gepleit </w:t>
      </w:r>
      <w:r w:rsidRPr="000C7845" w:rsidR="00AF332E">
        <w:t>voor</w:t>
      </w:r>
      <w:r w:rsidRPr="000C7845" w:rsidR="00B86C21">
        <w:t xml:space="preserve"> engagement vanuit de EU met externe actoren, inclusief in de context van EU-GCC relaties. De EU en lidstaten blijven eensgezind over de ernst van de situatie in Soedan en zullen blijven samenwerken met het samenwerkingsverband van de VS, Verenigde Arabische Emiraten, Saoedi-Arabië en Egypte (Q</w:t>
      </w:r>
      <w:r w:rsidRPr="000C7845" w:rsidR="00C77C99">
        <w:t>uad initiatief</w:t>
      </w:r>
      <w:r w:rsidRPr="000C7845" w:rsidR="00B86C21">
        <w:t>), de Afrikaanse Unie, en andere internationale partners om het conflict en het lijden in Soedan te stoppen.</w:t>
      </w:r>
    </w:p>
    <w:p w:rsidR="007D1A8A" w:rsidP="007D1A8A" w:rsidRDefault="007D1A8A" w14:paraId="2337575E" w14:textId="77777777">
      <w:pPr>
        <w:spacing w:line="276" w:lineRule="auto"/>
      </w:pPr>
    </w:p>
    <w:p w:rsidR="00AF332E" w:rsidP="007D1A8A" w:rsidRDefault="00AF332E" w14:paraId="41E7B229" w14:textId="587108C4">
      <w:pPr>
        <w:spacing w:line="276" w:lineRule="auto"/>
        <w:rPr>
          <w:b/>
        </w:rPr>
      </w:pPr>
      <w:r w:rsidRPr="000C7845">
        <w:t xml:space="preserve">Nederland </w:t>
      </w:r>
      <w:r w:rsidRPr="000C7845" w:rsidR="00100E3B">
        <w:t xml:space="preserve">bespreekt </w:t>
      </w:r>
      <w:r w:rsidRPr="000C7845">
        <w:t xml:space="preserve">de situatie </w:t>
      </w:r>
      <w:r w:rsidRPr="000C7845" w:rsidR="007D1A8A">
        <w:t>ook</w:t>
      </w:r>
      <w:r w:rsidRPr="000C7845">
        <w:t xml:space="preserve"> met relevante bilaterale partners en roept op tot nauwere samenwerking tussen verschillende vredesinitiatieven. </w:t>
      </w:r>
      <w:r w:rsidRPr="000C7845" w:rsidR="003F453E">
        <w:t xml:space="preserve">Zo </w:t>
      </w:r>
      <w:r w:rsidRPr="000C7845" w:rsidR="00100E3B">
        <w:t xml:space="preserve">heeft de </w:t>
      </w:r>
      <w:r w:rsidRPr="000C7845" w:rsidR="00F83DC9">
        <w:t>m</w:t>
      </w:r>
      <w:r w:rsidRPr="000C7845" w:rsidR="00100E3B">
        <w:t>inister van Buitenlandse Zaken</w:t>
      </w:r>
      <w:r w:rsidRPr="000C7845" w:rsidR="003F453E">
        <w:t xml:space="preserve"> op 19 november jl. gesproken met de </w:t>
      </w:r>
      <w:r w:rsidRPr="000C7845" w:rsidR="00F83DC9">
        <w:t>m</w:t>
      </w:r>
      <w:r w:rsidRPr="000C7845" w:rsidR="003F453E">
        <w:t>inister van Buitenlandse Zaken</w:t>
      </w:r>
      <w:r w:rsidRPr="000C7845" w:rsidR="00100E3B">
        <w:t xml:space="preserve"> van de Verenigde Arabische Emiraten</w:t>
      </w:r>
      <w:r w:rsidRPr="000C7845" w:rsidR="003F453E">
        <w:t>, Sheikh Abdullah bin Zayed Al Nahyan.</w:t>
      </w:r>
    </w:p>
    <w:p w:rsidR="003F453E" w:rsidP="003F453E" w:rsidRDefault="003F453E" w14:paraId="255EC632" w14:textId="77777777">
      <w:pPr>
        <w:spacing w:line="276" w:lineRule="auto"/>
      </w:pPr>
    </w:p>
    <w:p w:rsidR="003F453E" w:rsidP="003F453E" w:rsidRDefault="003F453E" w14:paraId="2437A508" w14:textId="5D5A9CAC">
      <w:pPr>
        <w:spacing w:line="276" w:lineRule="auto"/>
      </w:pPr>
      <w:r>
        <w:t xml:space="preserve">Tijdens de </w:t>
      </w:r>
      <w:r w:rsidRPr="00D00C4E">
        <w:t xml:space="preserve">EU-AU top op </w:t>
      </w:r>
      <w:bookmarkStart w:name="_Hlk213850778" w:id="1"/>
      <w:r w:rsidRPr="00D00C4E">
        <w:t>24 en 25 november 2025</w:t>
      </w:r>
      <w:bookmarkEnd w:id="1"/>
      <w:r>
        <w:t xml:space="preserve"> in Luanda</w:t>
      </w:r>
      <w:r w:rsidRPr="21DAC3C6">
        <w:t xml:space="preserve"> </w:t>
      </w:r>
      <w:r>
        <w:t>zal Nederland zich inzetten</w:t>
      </w:r>
      <w:r w:rsidRPr="000F7F0F">
        <w:t xml:space="preserve"> voor nauwere EU-AU samenwerking ten behoeve van de bescherming van burgers in Soedan.</w:t>
      </w:r>
    </w:p>
    <w:p w:rsidRPr="00921E93" w:rsidR="00AF332E" w:rsidP="00F37CF4" w:rsidRDefault="00AF332E" w14:paraId="70AAB279" w14:textId="77777777">
      <w:pPr>
        <w:spacing w:line="276" w:lineRule="auto"/>
        <w:rPr>
          <w:b/>
        </w:rPr>
      </w:pPr>
    </w:p>
    <w:p w:rsidR="00F37CF4" w:rsidP="00FC3695" w:rsidRDefault="00AF332E" w14:paraId="199680D5" w14:textId="1777E4F8">
      <w:r>
        <w:t xml:space="preserve">Ten slotte steunt </w:t>
      </w:r>
      <w:r w:rsidRPr="00897D90">
        <w:t xml:space="preserve">Nederland in Soedan gespecialiseerde bemiddelingsorganisaties die 1) </w:t>
      </w:r>
      <w:r>
        <w:t xml:space="preserve">inzetten op het mitigeren van het risico op </w:t>
      </w:r>
      <w:r w:rsidR="009A268A">
        <w:t>gewelddadigheden</w:t>
      </w:r>
      <w:r>
        <w:t xml:space="preserve"> </w:t>
      </w:r>
      <w:r w:rsidRPr="00897D90">
        <w:t>en bijdragen aan (lokale) vredesonderhandelingen en 2) Nederland</w:t>
      </w:r>
      <w:r>
        <w:t xml:space="preserve"> </w:t>
      </w:r>
      <w:r w:rsidRPr="00897D90">
        <w:t>kunnen adviseren over</w:t>
      </w:r>
      <w:r>
        <w:t xml:space="preserve"> </w:t>
      </w:r>
      <w:r w:rsidRPr="00897D90">
        <w:t>de Nederlandse toegevoegde waarde en kennis</w:t>
      </w:r>
      <w:r>
        <w:t xml:space="preserve"> die </w:t>
      </w:r>
      <w:r w:rsidRPr="00897D90">
        <w:t xml:space="preserve">het </w:t>
      </w:r>
      <w:r>
        <w:t xml:space="preserve">huidige </w:t>
      </w:r>
      <w:r w:rsidRPr="00897D90">
        <w:t xml:space="preserve">vredesproces efficiënt </w:t>
      </w:r>
      <w:r>
        <w:t xml:space="preserve">kunnen </w:t>
      </w:r>
      <w:r w:rsidRPr="00897D90">
        <w:t>ondersteun</w:t>
      </w:r>
      <w:r>
        <w:t xml:space="preserve">en. </w:t>
      </w:r>
      <w:r w:rsidRPr="00897D90">
        <w:t>Dit is in lijn met de versterkte inzet op conflictbemiddeling</w:t>
      </w:r>
      <w:r>
        <w:t>, hetgeen</w:t>
      </w:r>
      <w:r w:rsidRPr="00897D90">
        <w:t xml:space="preserve"> op 17 juli jl. </w:t>
      </w:r>
      <w:r>
        <w:t>is</w:t>
      </w:r>
      <w:r w:rsidRPr="00897D90">
        <w:t xml:space="preserve"> toegezegd in de </w:t>
      </w:r>
      <w:r w:rsidRPr="00B121BB">
        <w:t>Kamerbrief ‘De Nederlandse rol bij conflictbemiddeling, voortbouwen op het bestaande profiel en aanpassen aan de nieuwe uitdagingen in de huidige tijd</w:t>
      </w:r>
      <w:r>
        <w:t>’.</w:t>
      </w:r>
      <w:r w:rsidR="00B121BB">
        <w:rPr>
          <w:rStyle w:val="FootnoteReference"/>
        </w:rPr>
        <w:footnoteReference w:id="5"/>
      </w:r>
    </w:p>
    <w:p w:rsidR="00FC3695" w:rsidP="00FC3695" w:rsidRDefault="00FC3695" w14:paraId="43D96A5A" w14:textId="77777777">
      <w:pPr>
        <w:rPr>
          <w:b/>
          <w:bCs/>
        </w:rPr>
      </w:pPr>
    </w:p>
    <w:p w:rsidRPr="00F37CF4" w:rsidR="00AF332E" w:rsidP="00FC3695" w:rsidRDefault="00AF332E" w14:paraId="38B91227" w14:textId="7233AF4F">
      <w:pPr>
        <w:rPr>
          <w:b/>
          <w:bCs/>
        </w:rPr>
      </w:pPr>
      <w:r w:rsidRPr="00F37CF4">
        <w:rPr>
          <w:b/>
          <w:bCs/>
        </w:rPr>
        <w:t>Humanitaire inzet</w:t>
      </w:r>
    </w:p>
    <w:p w:rsidR="00AF332E" w:rsidP="00FC3695" w:rsidRDefault="00AF332E" w14:paraId="2EFA34F7" w14:textId="0C9972F4">
      <w:r w:rsidRPr="002632E5">
        <w:t xml:space="preserve">Nederland blijft, samen met de lidstaten van de Europese Unie en andere partners, </w:t>
      </w:r>
      <w:r>
        <w:t xml:space="preserve">oproepen tot </w:t>
      </w:r>
      <w:r w:rsidRPr="002632E5">
        <w:t xml:space="preserve">naleving van het humanitair </w:t>
      </w:r>
      <w:r>
        <w:t>oorlogs</w:t>
      </w:r>
      <w:r w:rsidRPr="002632E5">
        <w:t xml:space="preserve">recht in Soedan, waaronder ongehinderde humanitaire toegang en de veiligheid van burgers en </w:t>
      </w:r>
      <w:r w:rsidRPr="000C7845">
        <w:t xml:space="preserve">hulpverleners. </w:t>
      </w:r>
      <w:r w:rsidRPr="000C7845" w:rsidR="005312D7">
        <w:t>Conform motie</w:t>
      </w:r>
      <w:r w:rsidRPr="000C7845" w:rsidR="00FC3695">
        <w:t>-</w:t>
      </w:r>
      <w:r w:rsidRPr="000C7845" w:rsidR="00C70D30">
        <w:t xml:space="preserve">van </w:t>
      </w:r>
      <w:r w:rsidRPr="000C7845" w:rsidR="005312D7">
        <w:t>Baarle (</w:t>
      </w:r>
      <w:r w:rsidRPr="000C7845" w:rsidR="00F83DC9">
        <w:t xml:space="preserve">Kamerstuk </w:t>
      </w:r>
      <w:r w:rsidRPr="000C7845" w:rsidR="005312D7">
        <w:t>21501-02 Nr. 3279) heeft Nederland tijdens de Raad Buitenlandse Zaken gepleit voor het verder verhogen van de humanitaire hulp vanuit de EU voor Soedan. Ook</w:t>
      </w:r>
      <w:r w:rsidR="005312D7">
        <w:t xml:space="preserve"> heeft het</w:t>
      </w:r>
      <w:r w:rsidRPr="002D6621">
        <w:t xml:space="preserve"> kabinet het recente geweld in en rond El Fasher veroordeeld, onder meer via de gezamenlijke verklaring “</w:t>
      </w:r>
      <w:r w:rsidRPr="00770708">
        <w:rPr>
          <w:i/>
          <w:iCs/>
        </w:rPr>
        <w:t>Joint Statement Condemning Atrocities and Violations of IHL in Sudan</w:t>
      </w:r>
      <w:r w:rsidRPr="002D6621">
        <w:t xml:space="preserve">” van 10 november jl. die door 20 </w:t>
      </w:r>
      <w:r>
        <w:t>staten</w:t>
      </w:r>
      <w:r w:rsidRPr="002D6621">
        <w:t xml:space="preserve"> en de Europese Commissie is getekend en nog eens door vele </w:t>
      </w:r>
      <w:r>
        <w:t xml:space="preserve">andere staten </w:t>
      </w:r>
      <w:r w:rsidRPr="002D6621">
        <w:t>is gesteund.</w:t>
      </w:r>
      <w:r>
        <w:t xml:space="preserve"> </w:t>
      </w:r>
      <w:r w:rsidRPr="002632E5">
        <w:t xml:space="preserve">Deze verklaring veroordeelt de wreedheden in en rondom El Fasher, roept op tot ongehinderde humanitaire toegang en naleving van het humanitair </w:t>
      </w:r>
      <w:r>
        <w:t>oorlogs</w:t>
      </w:r>
      <w:r w:rsidRPr="002632E5">
        <w:t xml:space="preserve">recht, en pleit voor een staakt-het-vuren of, indien dat </w:t>
      </w:r>
      <w:r>
        <w:t xml:space="preserve">nog </w:t>
      </w:r>
      <w:r w:rsidRPr="002632E5">
        <w:t xml:space="preserve">niet haalbaar is, een humanitaire pauze. Tevens spreekt de verklaring steun uit voor het diplomatieke proces van de zogenaamde </w:t>
      </w:r>
      <w:r w:rsidRPr="002632E5">
        <w:lastRenderedPageBreak/>
        <w:t>Q</w:t>
      </w:r>
      <w:r w:rsidR="00C77C99">
        <w:t>uad</w:t>
      </w:r>
      <w:r w:rsidRPr="002632E5">
        <w:t xml:space="preserve"> (Verenigde Staten, Saoedi-Arabië, Verenigde Arabische Emiraten en Egypte).</w:t>
      </w:r>
    </w:p>
    <w:p w:rsidR="00AF332E" w:rsidP="00F37CF4" w:rsidRDefault="00AF332E" w14:paraId="4FCEB68E" w14:textId="77777777">
      <w:pPr>
        <w:spacing w:line="276" w:lineRule="auto"/>
      </w:pPr>
    </w:p>
    <w:p w:rsidR="00AF332E" w:rsidP="00F37CF4" w:rsidRDefault="00AF332E" w14:paraId="483E42B9" w14:textId="05E88319">
      <w:pPr>
        <w:spacing w:line="276" w:lineRule="auto"/>
      </w:pPr>
      <w:r>
        <w:t xml:space="preserve">Over de brede humanitaire inzet </w:t>
      </w:r>
      <w:r w:rsidR="006E4AA1">
        <w:t>is</w:t>
      </w:r>
      <w:r>
        <w:t xml:space="preserve"> uw </w:t>
      </w:r>
      <w:r w:rsidR="00BF1FFB">
        <w:t>K</w:t>
      </w:r>
      <w:r>
        <w:t xml:space="preserve">amer geïnformeerd via de Kamerbrief </w:t>
      </w:r>
      <w:r w:rsidRPr="008F6201">
        <w:t>Humanitaire situatie Soedan en specifiek El Fasher</w:t>
      </w:r>
      <w:r>
        <w:t>.</w:t>
      </w:r>
      <w:r>
        <w:rPr>
          <w:rStyle w:val="FootnoteReference"/>
        </w:rPr>
        <w:footnoteReference w:id="6"/>
      </w:r>
      <w:r>
        <w:t xml:space="preserve"> </w:t>
      </w:r>
      <w:r w:rsidRPr="001261F5">
        <w:t xml:space="preserve">In reactie op de inname van El Fasher heeft het Central Emergency Response Fund (CERF) van de </w:t>
      </w:r>
      <w:r>
        <w:t>Verenigde Naties</w:t>
      </w:r>
      <w:r w:rsidRPr="001261F5">
        <w:t xml:space="preserve"> USD 20 miljoen beschikbaar gesteld voor humanitaire hulp aan de getroffen bevolking en de vluchtelingen. </w:t>
      </w:r>
      <w:r>
        <w:t xml:space="preserve">Het </w:t>
      </w:r>
      <w:r w:rsidRPr="00F0606B">
        <w:rPr>
          <w:i/>
          <w:iCs/>
        </w:rPr>
        <w:t>Sudan Humanitarian Fund</w:t>
      </w:r>
      <w:r w:rsidRPr="001261F5">
        <w:t xml:space="preserve"> </w:t>
      </w:r>
      <w:r>
        <w:t xml:space="preserve">(SHF) </w:t>
      </w:r>
      <w:r w:rsidRPr="001261F5">
        <w:t xml:space="preserve">heeft </w:t>
      </w:r>
      <w:r>
        <w:t>in 2025 al USD 48 miljoen toegewezen</w:t>
      </w:r>
      <w:r w:rsidRPr="001261F5">
        <w:t xml:space="preserve"> voor humanitaire hulp in Darfoer en Kordofan. </w:t>
      </w:r>
      <w:r>
        <w:t>Deze middelen worden nadrukkelijk ook ingezet voor lokale organisaties zoals de Emergency Response Rooms die in moeilijk bereikbare gebieden kunnen blijven opereren. Ook i</w:t>
      </w:r>
      <w:r w:rsidRPr="00A13CBA">
        <w:t>n Tawila worden door dit type organisaties onder meer gaarkeukens opgezet. Nederland behoort tot de belangrijkste donoren van zowel het CERF als het SHF.</w:t>
      </w:r>
    </w:p>
    <w:p w:rsidR="00AF332E" w:rsidP="00F37CF4" w:rsidRDefault="00AF332E" w14:paraId="17928495" w14:textId="77777777">
      <w:pPr>
        <w:spacing w:line="276" w:lineRule="auto"/>
      </w:pPr>
    </w:p>
    <w:p w:rsidR="006E7920" w:rsidP="00F37CF4" w:rsidRDefault="00AF332E" w14:paraId="7897C4D3" w14:textId="0524092B">
      <w:pPr>
        <w:spacing w:line="276" w:lineRule="auto"/>
        <w:rPr>
          <w:b/>
          <w:bCs/>
        </w:rPr>
      </w:pPr>
      <w:r w:rsidRPr="00A13CBA">
        <w:t>Daarnaast</w:t>
      </w:r>
      <w:r w:rsidRPr="001613C8">
        <w:t xml:space="preserve"> vindt </w:t>
      </w:r>
      <w:r w:rsidRPr="00A13CBA">
        <w:t>humanitaire</w:t>
      </w:r>
      <w:r w:rsidRPr="001613C8">
        <w:t xml:space="preserve"> hulp plaats in Darfoer en Kordofan via partners</w:t>
      </w:r>
      <w:r w:rsidRPr="00A13CBA">
        <w:t xml:space="preserve">, waaronder het </w:t>
      </w:r>
      <w:r w:rsidRPr="001613C8">
        <w:t xml:space="preserve">Rode Kruis, </w:t>
      </w:r>
      <w:r w:rsidRPr="00A13CBA">
        <w:t xml:space="preserve">de </w:t>
      </w:r>
      <w:r w:rsidRPr="001613C8">
        <w:t>Dutch Relief Alliance en afzonderlijke VN</w:t>
      </w:r>
      <w:r w:rsidRPr="00A13CBA">
        <w:t xml:space="preserve">-organisaties </w:t>
      </w:r>
      <w:r w:rsidRPr="001613C8">
        <w:t xml:space="preserve">zoals UNICEF en het Wereldvoedselprogramma </w:t>
      </w:r>
      <w:r w:rsidRPr="00A13CBA">
        <w:t xml:space="preserve">(World Food Programme, WFP). Deze organisaties ontvangen </w:t>
      </w:r>
      <w:r w:rsidRPr="001613C8">
        <w:t>vanuit Nederland reguliere</w:t>
      </w:r>
      <w:r w:rsidRPr="00A13CBA">
        <w:t>,</w:t>
      </w:r>
      <w:r w:rsidRPr="001613C8">
        <w:t xml:space="preserve"> flexibele financiering </w:t>
      </w:r>
      <w:r w:rsidRPr="00A13CBA">
        <w:t>ter ondersteuning van hun werkzaamheden.</w:t>
      </w:r>
    </w:p>
    <w:p w:rsidR="00F37CF4" w:rsidP="00F37CF4" w:rsidRDefault="00F37CF4" w14:paraId="22A41C11" w14:textId="77777777">
      <w:pPr>
        <w:spacing w:line="276" w:lineRule="auto"/>
        <w:rPr>
          <w:b/>
          <w:bCs/>
        </w:rPr>
      </w:pPr>
    </w:p>
    <w:p w:rsidRPr="00F37CF4" w:rsidR="00AF332E" w:rsidP="00F37CF4" w:rsidRDefault="00AF332E" w14:paraId="266FF5EC" w14:textId="366C6CD4">
      <w:pPr>
        <w:rPr>
          <w:b/>
          <w:bCs/>
        </w:rPr>
      </w:pPr>
      <w:r w:rsidRPr="00F37CF4">
        <w:rPr>
          <w:b/>
          <w:bCs/>
        </w:rPr>
        <w:t>Burgerbescherming en vredesopbouw</w:t>
      </w:r>
    </w:p>
    <w:p w:rsidR="00AF332E" w:rsidP="00F37CF4" w:rsidRDefault="00AF332E" w14:paraId="303A38CD" w14:textId="3E371FCC">
      <w:r w:rsidRPr="00897D90">
        <w:t>Al voor de inname van El Fasher waren de omstandigheden voor burgers en gemeenschappen onveilig en onvoorspelbaar</w:t>
      </w:r>
      <w:r>
        <w:t xml:space="preserve">. </w:t>
      </w:r>
      <w:r w:rsidRPr="00897D90">
        <w:t>Burgers</w:t>
      </w:r>
      <w:r>
        <w:t xml:space="preserve"> in Soedan, en in El Fasher in het bijzonder,</w:t>
      </w:r>
      <w:r w:rsidRPr="00897D90">
        <w:t xml:space="preserve"> </w:t>
      </w:r>
      <w:r>
        <w:t xml:space="preserve">zijn </w:t>
      </w:r>
      <w:r w:rsidRPr="00897D90">
        <w:t>langdurig blootgesteld aan fysiek gewe</w:t>
      </w:r>
      <w:r>
        <w:t xml:space="preserve">ld, </w:t>
      </w:r>
      <w:r w:rsidRPr="00897D90">
        <w:t xml:space="preserve">martelingen en psychologische vernedering. </w:t>
      </w:r>
      <w:r>
        <w:t xml:space="preserve">De </w:t>
      </w:r>
      <w:r w:rsidRPr="0090142A">
        <w:t>onafhankelijke</w:t>
      </w:r>
      <w:r>
        <w:t xml:space="preserve"> VN</w:t>
      </w:r>
      <w:r w:rsidRPr="0090142A">
        <w:t xml:space="preserve"> Fact Finding Mission</w:t>
      </w:r>
      <w:r>
        <w:t xml:space="preserve"> in Soedan concludeert i</w:t>
      </w:r>
      <w:r w:rsidRPr="00897D90">
        <w:t xml:space="preserve">n het </w:t>
      </w:r>
      <w:r w:rsidRPr="00040577">
        <w:t>“</w:t>
      </w:r>
      <w:r w:rsidRPr="00770708">
        <w:rPr>
          <w:i/>
          <w:iCs/>
        </w:rPr>
        <w:t>A war of atrocities</w:t>
      </w:r>
      <w:r w:rsidRPr="00040577">
        <w:t>"</w:t>
      </w:r>
      <w:r w:rsidRPr="00897D90">
        <w:t xml:space="preserve"> rapport </w:t>
      </w:r>
      <w:r>
        <w:t>van 5 september jl. dat in Soedan en gedurende de belegering van El Fasher, misdrijven tegen de menselijkheid zijn begaan door de RSF. VN deskundigen hebben 257 interviews afgenomen, 43 video’s bestudeerd en de locaties van 8 aanvallen geïdentificeerd in de periode van oktober 2024 tot juli 2025 ter ondersteuning van de bevindingen.</w:t>
      </w:r>
      <w:r>
        <w:rPr>
          <w:rStyle w:val="FootnoteReference"/>
        </w:rPr>
        <w:footnoteReference w:id="7"/>
      </w:r>
    </w:p>
    <w:p w:rsidR="00AF332E" w:rsidP="00F37CF4" w:rsidRDefault="00AF332E" w14:paraId="44A1D0B0" w14:textId="77777777">
      <w:pPr>
        <w:spacing w:line="276" w:lineRule="auto"/>
      </w:pPr>
    </w:p>
    <w:p w:rsidR="00AF332E" w:rsidP="00F37CF4" w:rsidRDefault="00AF332E" w14:paraId="0ECFBCF8" w14:textId="6DB0F756">
      <w:pPr>
        <w:spacing w:line="276" w:lineRule="auto"/>
      </w:pPr>
      <w:r w:rsidRPr="00897D90">
        <w:t>Uit berichten</w:t>
      </w:r>
      <w:r>
        <w:t xml:space="preserve"> van verscheidene organisaties</w:t>
      </w:r>
      <w:r w:rsidRPr="00897D90">
        <w:t xml:space="preserve"> blijkt dat </w:t>
      </w:r>
      <w:r>
        <w:t>seksueel en gender-gerelateerd en seksueel geweld</w:t>
      </w:r>
      <w:r w:rsidRPr="00897D90">
        <w:rPr>
          <w:i/>
          <w:iCs/>
        </w:rPr>
        <w:t xml:space="preserve"> </w:t>
      </w:r>
      <w:r w:rsidRPr="00897D90">
        <w:t>op systematische wijze in El Fasher is ingezet</w:t>
      </w:r>
      <w:r>
        <w:t xml:space="preserve"> door de RSF</w:t>
      </w:r>
      <w:r w:rsidRPr="00897D90">
        <w:t>.</w:t>
      </w:r>
      <w:r>
        <w:t xml:space="preserve"> Op 7 november jl. brachten verscheidene VN deskundigen, waaronder Reem Alsalem, Speciaal Rapporteur inzake geweld tegen vrouwen en meisjes, en Alice Jill Edwards, de Speciaal Rapporteur inzake marteling en inhumane behandeling, een </w:t>
      </w:r>
      <w:r w:rsidRPr="00040577">
        <w:t>verklaring</w:t>
      </w:r>
      <w:r>
        <w:t xml:space="preserve"> uit </w:t>
      </w:r>
      <w:r w:rsidR="002B4B4D">
        <w:t>hier</w:t>
      </w:r>
      <w:r>
        <w:t>over</w:t>
      </w:r>
      <w:r w:rsidR="00770708">
        <w:t>.</w:t>
      </w:r>
      <w:r>
        <w:rPr>
          <w:rStyle w:val="FootnoteReference"/>
        </w:rPr>
        <w:footnoteReference w:id="8"/>
      </w:r>
      <w:r>
        <w:t xml:space="preserve"> De wijdverspreide inzet van seksueel geweld wordt bevestigd door NGO’s die actief zijn in Soedan en waar Nederland mee samenwerkt. </w:t>
      </w:r>
    </w:p>
    <w:p w:rsidR="00AF332E" w:rsidP="00F37CF4" w:rsidRDefault="00AF332E" w14:paraId="52911F14" w14:textId="77777777">
      <w:pPr>
        <w:spacing w:line="276" w:lineRule="auto"/>
      </w:pPr>
    </w:p>
    <w:p w:rsidRPr="006E7920" w:rsidR="00AF332E" w:rsidP="00F37CF4" w:rsidRDefault="00AF332E" w14:paraId="246229D2" w14:textId="50FBD941">
      <w:pPr>
        <w:spacing w:after="160" w:line="276" w:lineRule="auto"/>
      </w:pPr>
      <w:r>
        <w:t xml:space="preserve">Voor de val van El Fasher werden </w:t>
      </w:r>
      <w:r w:rsidRPr="00897D90">
        <w:t>jonge mannen steeds vaker doelwit van geweld, arbitraire detentie en</w:t>
      </w:r>
      <w:r>
        <w:t>/of</w:t>
      </w:r>
      <w:r w:rsidRPr="00897D90">
        <w:t xml:space="preserve"> executies op basis van onder meer etnische kenmerken, vermeende politieke affiliatie </w:t>
      </w:r>
      <w:r>
        <w:t>en/</w:t>
      </w:r>
      <w:r w:rsidRPr="00897D90">
        <w:t>of als gevolg van ge</w:t>
      </w:r>
      <w:r>
        <w:t>dwongen</w:t>
      </w:r>
      <w:r w:rsidRPr="00897D90">
        <w:t xml:space="preserve"> rekrutering.</w:t>
      </w:r>
      <w:r>
        <w:t xml:space="preserve"> Jonge mannen maken dan ook een miniem deel uit van de ontheemden die na de val van El Fasher gevlucht zijn naar Tawila of andere locaties. </w:t>
      </w:r>
      <w:r w:rsidR="002B4B4D">
        <w:t>Ook d</w:t>
      </w:r>
      <w:r>
        <w:t xml:space="preserve">e Speciaal </w:t>
      </w:r>
      <w:r>
        <w:lastRenderedPageBreak/>
        <w:t>Adviseur voor de Secretaris-Generaal van de VN voor de Preventie van Genocide, Chaloka Beyani gaf op 6 november jl. aan zich zorgen te maken over de situatie in El Fasher</w:t>
      </w:r>
      <w:r w:rsidR="002B4B4D">
        <w:t>.</w:t>
      </w:r>
      <w:r>
        <w:rPr>
          <w:rStyle w:val="FootnoteReference"/>
          <w:lang w:val="en-US"/>
        </w:rPr>
        <w:footnoteReference w:id="9"/>
      </w:r>
    </w:p>
    <w:p w:rsidRPr="002D6621" w:rsidR="00AF332E" w:rsidP="00F37CF4" w:rsidRDefault="00AF332E" w14:paraId="64EB11D0" w14:textId="77777777">
      <w:pPr>
        <w:spacing w:after="160" w:line="276" w:lineRule="auto"/>
      </w:pPr>
      <w:r w:rsidRPr="00897D90">
        <w:t xml:space="preserve">Nederland </w:t>
      </w:r>
      <w:r>
        <w:t xml:space="preserve">zet zich na het uitbreken van gewapend conflict tussen RSF en SAF in april 2023 vooral in op activiteit gericht op vredesopbouw, burgerbescherming en veiligheid. In deze aanpak staan de </w:t>
      </w:r>
      <w:r w:rsidRPr="00897D90">
        <w:t>noden</w:t>
      </w:r>
      <w:r>
        <w:t xml:space="preserve"> en</w:t>
      </w:r>
      <w:r w:rsidRPr="00897D90">
        <w:t xml:space="preserve"> behoeften </w:t>
      </w:r>
      <w:r>
        <w:t xml:space="preserve">van lokale gemeenschappen </w:t>
      </w:r>
      <w:r w:rsidRPr="00897D90">
        <w:t>centraal. In Soedan steunt Nederland partijen die op lokaal niveau beschermingsteams opzetten om de veiligheid van gemeenschappen, waaronder</w:t>
      </w:r>
      <w:r>
        <w:t xml:space="preserve"> </w:t>
      </w:r>
      <w:r w:rsidRPr="00897D90">
        <w:t xml:space="preserve">ontheemden, te waarborgen en </w:t>
      </w:r>
      <w:r>
        <w:t xml:space="preserve">om vroegtijdig te reageren op </w:t>
      </w:r>
      <w:r w:rsidRPr="00897D90">
        <w:t>signalen van spanningen en potentieel geweld. Daarnaast steunt Nederland organisaties die werken aan lokaal-geleide vredesopbouw initiatieven</w:t>
      </w:r>
      <w:r>
        <w:t xml:space="preserve"> die het risico op geweld mitigeren en inclusie bevorderen door bijvoorbeeld de </w:t>
      </w:r>
      <w:r w:rsidRPr="00897D90">
        <w:t xml:space="preserve">stem van vrouwen in vredesprocessen </w:t>
      </w:r>
      <w:r>
        <w:t xml:space="preserve">te versterken </w:t>
      </w:r>
      <w:r w:rsidRPr="00897D90">
        <w:t xml:space="preserve">op verscheidene niveaus. </w:t>
      </w:r>
      <w:r>
        <w:t>Via</w:t>
      </w:r>
      <w:r w:rsidRPr="00897D90">
        <w:t xml:space="preserve"> Nederlandse bijdragen steunt een van deze </w:t>
      </w:r>
      <w:r>
        <w:t>NGO’s</w:t>
      </w:r>
      <w:r w:rsidRPr="00897D90">
        <w:t xml:space="preserve"> direct lokale, Soedanese organisaties </w:t>
      </w:r>
      <w:r>
        <w:t>die met</w:t>
      </w:r>
      <w:r w:rsidRPr="00897D90">
        <w:t xml:space="preserve"> kleine fondsen</w:t>
      </w:r>
      <w:r>
        <w:t xml:space="preserve"> te werk gaan</w:t>
      </w:r>
      <w:r w:rsidRPr="00897D90">
        <w:t xml:space="preserve">. </w:t>
      </w:r>
      <w:r>
        <w:t>D</w:t>
      </w:r>
      <w:r w:rsidRPr="00897D90">
        <w:t>eze organisaties</w:t>
      </w:r>
      <w:r>
        <w:t xml:space="preserve"> konden daardoor in het afgelopen jaar</w:t>
      </w:r>
      <w:r w:rsidRPr="00897D90">
        <w:t xml:space="preserve"> flexibeler samenwerken met </w:t>
      </w:r>
      <w:r w:rsidRPr="00770708">
        <w:rPr>
          <w:i/>
          <w:iCs/>
        </w:rPr>
        <w:t>Emergency Response Rooms en Localization Coordination Councils</w:t>
      </w:r>
      <w:r>
        <w:t xml:space="preserve"> in El Fasher, Kadugli en Dilling om daar aan de humanitaire noden te voorzien</w:t>
      </w:r>
      <w:r w:rsidRPr="00897D90">
        <w:t>. Dit toont het belang van flexibele financiering</w:t>
      </w:r>
      <w:r>
        <w:t xml:space="preserve"> in Soedan en andere crisis-contexten, waar lokale organisaties geïntegreerd werken. </w:t>
      </w:r>
    </w:p>
    <w:p w:rsidRPr="00897D90" w:rsidR="00AF332E" w:rsidP="00F37CF4" w:rsidRDefault="00AF332E" w14:paraId="29173F11" w14:textId="77777777">
      <w:pPr>
        <w:spacing w:after="160" w:line="276" w:lineRule="auto"/>
      </w:pPr>
      <w:r w:rsidRPr="00897D90">
        <w:t> </w:t>
      </w:r>
    </w:p>
    <w:p w:rsidRPr="001613C8" w:rsidR="00AF332E" w:rsidP="00F37CF4" w:rsidRDefault="00AF332E" w14:paraId="7BDB353B" w14:textId="77777777">
      <w:pPr>
        <w:spacing w:line="276" w:lineRule="auto"/>
      </w:pPr>
    </w:p>
    <w:p w:rsidRPr="001613C8" w:rsidR="007070B7" w:rsidP="00F37CF4" w:rsidRDefault="007070B7" w14:paraId="56ECDB85" w14:textId="63C18FB9">
      <w:pPr>
        <w:spacing w:line="276" w:lineRule="auto"/>
      </w:pPr>
    </w:p>
    <w:sectPr w:rsidRPr="001613C8" w:rsidR="007070B7" w:rsidSect="002F23A6">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D607" w14:textId="77777777" w:rsidR="00C2483B" w:rsidRDefault="00C2483B">
      <w:pPr>
        <w:spacing w:line="240" w:lineRule="auto"/>
      </w:pPr>
      <w:r>
        <w:separator/>
      </w:r>
    </w:p>
  </w:endnote>
  <w:endnote w:type="continuationSeparator" w:id="0">
    <w:p w14:paraId="3E33A218" w14:textId="77777777" w:rsidR="00C2483B" w:rsidRDefault="00C2483B">
      <w:pPr>
        <w:spacing w:line="240" w:lineRule="auto"/>
      </w:pPr>
      <w:r>
        <w:continuationSeparator/>
      </w:r>
    </w:p>
  </w:endnote>
  <w:endnote w:type="continuationNotice" w:id="1">
    <w:p w14:paraId="3300E912" w14:textId="77777777" w:rsidR="00C2483B" w:rsidRDefault="00C248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E623" w14:textId="77777777" w:rsidR="000C7845" w:rsidRDefault="000C7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14362"/>
      <w:docPartObj>
        <w:docPartGallery w:val="Page Numbers (Bottom of Page)"/>
        <w:docPartUnique/>
      </w:docPartObj>
    </w:sdtPr>
    <w:sdtContent>
      <w:p w14:paraId="33EBBBA3" w14:textId="62F814C2" w:rsidR="00F37CF4" w:rsidRDefault="00F37CF4">
        <w:pPr>
          <w:pStyle w:val="Footer"/>
          <w:jc w:val="center"/>
        </w:pPr>
        <w:r>
          <w:fldChar w:fldCharType="begin"/>
        </w:r>
        <w:r>
          <w:instrText>PAGE   \* MERGEFORMAT</w:instrText>
        </w:r>
        <w:r>
          <w:fldChar w:fldCharType="separate"/>
        </w:r>
        <w:r>
          <w:t>2</w:t>
        </w:r>
        <w:r>
          <w:fldChar w:fldCharType="end"/>
        </w:r>
      </w:p>
    </w:sdtContent>
  </w:sdt>
  <w:p w14:paraId="3281AD8D" w14:textId="77777777" w:rsidR="00F37CF4" w:rsidRDefault="00F37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69847"/>
      <w:docPartObj>
        <w:docPartGallery w:val="Page Numbers (Bottom of Page)"/>
        <w:docPartUnique/>
      </w:docPartObj>
    </w:sdtPr>
    <w:sdtContent>
      <w:p w14:paraId="48C0F7E9" w14:textId="38A06C6E" w:rsidR="00F37CF4" w:rsidRDefault="00F37CF4">
        <w:pPr>
          <w:pStyle w:val="Footer"/>
          <w:jc w:val="center"/>
        </w:pPr>
        <w:r>
          <w:fldChar w:fldCharType="begin"/>
        </w:r>
        <w:r>
          <w:instrText>PAGE   \* MERGEFORMAT</w:instrText>
        </w:r>
        <w:r>
          <w:fldChar w:fldCharType="separate"/>
        </w:r>
        <w:r>
          <w:t>2</w:t>
        </w:r>
        <w:r>
          <w:fldChar w:fldCharType="end"/>
        </w:r>
      </w:p>
    </w:sdtContent>
  </w:sdt>
  <w:p w14:paraId="78041875" w14:textId="77777777" w:rsidR="00F37CF4" w:rsidRDefault="00F3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5235" w14:textId="77777777" w:rsidR="00C2483B" w:rsidRDefault="00C2483B">
      <w:pPr>
        <w:spacing w:line="240" w:lineRule="auto"/>
      </w:pPr>
      <w:r>
        <w:separator/>
      </w:r>
    </w:p>
  </w:footnote>
  <w:footnote w:type="continuationSeparator" w:id="0">
    <w:p w14:paraId="7657F516" w14:textId="77777777" w:rsidR="00C2483B" w:rsidRDefault="00C2483B">
      <w:pPr>
        <w:spacing w:line="240" w:lineRule="auto"/>
      </w:pPr>
      <w:r>
        <w:continuationSeparator/>
      </w:r>
    </w:p>
  </w:footnote>
  <w:footnote w:type="continuationNotice" w:id="1">
    <w:p w14:paraId="017A6604" w14:textId="77777777" w:rsidR="00C2483B" w:rsidRDefault="00C2483B">
      <w:pPr>
        <w:spacing w:line="240" w:lineRule="auto"/>
      </w:pPr>
    </w:p>
  </w:footnote>
  <w:footnote w:id="2">
    <w:p w14:paraId="4133939A" w14:textId="77777777" w:rsidR="00F96B07" w:rsidRPr="00B121BB" w:rsidRDefault="00F96B07" w:rsidP="00F96B07">
      <w:pPr>
        <w:pStyle w:val="FootnoteText"/>
        <w:rPr>
          <w:sz w:val="16"/>
          <w:szCs w:val="16"/>
          <w:lang w:val="en-US"/>
        </w:rPr>
      </w:pPr>
      <w:r w:rsidRPr="00B121BB">
        <w:rPr>
          <w:rStyle w:val="FootnoteReference"/>
          <w:sz w:val="16"/>
          <w:szCs w:val="16"/>
        </w:rPr>
        <w:footnoteRef/>
      </w:r>
      <w:r w:rsidRPr="00B121BB">
        <w:rPr>
          <w:sz w:val="16"/>
          <w:szCs w:val="16"/>
          <w:lang w:val="en-US"/>
        </w:rPr>
        <w:t xml:space="preserve"> Raymond, Nathaniel A., Caitlin Howarth, et al. “HUMAN SECURITY </w:t>
      </w:r>
    </w:p>
    <w:p w14:paraId="72B251C9" w14:textId="77777777" w:rsidR="00F96B07" w:rsidRPr="00B121BB" w:rsidRDefault="00F96B07" w:rsidP="00F96B07">
      <w:pPr>
        <w:pStyle w:val="FootnoteText"/>
        <w:rPr>
          <w:sz w:val="16"/>
          <w:szCs w:val="16"/>
          <w:lang w:val="en-US"/>
        </w:rPr>
      </w:pPr>
      <w:r w:rsidRPr="00B121BB">
        <w:rPr>
          <w:sz w:val="16"/>
          <w:szCs w:val="16"/>
          <w:lang w:val="en-US"/>
        </w:rPr>
        <w:t>EMERGENCY El-Fasher Falls to RSF: Evidence of Mass Killing,” 27 October 2025. Humanitarian Research Lab at Yale School of Public Health: New Haven.</w:t>
      </w:r>
    </w:p>
  </w:footnote>
  <w:footnote w:id="3">
    <w:p w14:paraId="23961245" w14:textId="77777777" w:rsidR="00AF332E" w:rsidRPr="00B121BB" w:rsidRDefault="00AF332E" w:rsidP="00AF332E">
      <w:pPr>
        <w:pStyle w:val="FootnoteText"/>
        <w:rPr>
          <w:sz w:val="16"/>
          <w:szCs w:val="16"/>
          <w:lang w:val="en-US"/>
        </w:rPr>
      </w:pPr>
      <w:r w:rsidRPr="00B121BB">
        <w:rPr>
          <w:rStyle w:val="FootnoteReference"/>
          <w:sz w:val="16"/>
          <w:szCs w:val="16"/>
        </w:rPr>
        <w:footnoteRef/>
      </w:r>
      <w:r w:rsidRPr="00B121BB">
        <w:rPr>
          <w:sz w:val="16"/>
          <w:szCs w:val="16"/>
          <w:lang w:val="en-US"/>
        </w:rPr>
        <w:t xml:space="preserve"> Final report of the UN Panel of Experts submitted in accordance with paragraph 2 of resolution 2676 (2023).</w:t>
      </w:r>
    </w:p>
  </w:footnote>
  <w:footnote w:id="4">
    <w:p w14:paraId="01EA4156" w14:textId="468F6BFB" w:rsidR="00AF332E" w:rsidRPr="00B121BB" w:rsidRDefault="00AF332E" w:rsidP="00AF332E">
      <w:pPr>
        <w:pStyle w:val="FootnoteText"/>
        <w:rPr>
          <w:sz w:val="16"/>
          <w:szCs w:val="16"/>
          <w:lang w:val="en-US"/>
        </w:rPr>
      </w:pPr>
      <w:r w:rsidRPr="00B121BB">
        <w:rPr>
          <w:rStyle w:val="FootnoteReference"/>
          <w:sz w:val="16"/>
          <w:szCs w:val="16"/>
        </w:rPr>
        <w:footnoteRef/>
      </w:r>
      <w:r w:rsidRPr="00B121BB">
        <w:rPr>
          <w:sz w:val="16"/>
          <w:szCs w:val="16"/>
          <w:lang w:val="en-US"/>
        </w:rPr>
        <w:t xml:space="preserve"> International Organization for Migration (IOM), Nov 11 2025. DTM Sudan Focused Flash Alert: Al Fasher, North Darfur (Update 011). IOM, Sudan.</w:t>
      </w:r>
    </w:p>
  </w:footnote>
  <w:footnote w:id="5">
    <w:p w14:paraId="6D97B83C" w14:textId="3906D216" w:rsidR="00B121BB" w:rsidRPr="00B121BB" w:rsidRDefault="00B121BB">
      <w:pPr>
        <w:pStyle w:val="FootnoteText"/>
        <w:rPr>
          <w:lang w:val="en-US"/>
        </w:rPr>
      </w:pPr>
      <w:r w:rsidRPr="00B121BB">
        <w:rPr>
          <w:rStyle w:val="FootnoteReference"/>
          <w:sz w:val="16"/>
          <w:szCs w:val="16"/>
        </w:rPr>
        <w:footnoteRef/>
      </w:r>
      <w:r w:rsidRPr="00AF4881">
        <w:rPr>
          <w:sz w:val="16"/>
          <w:szCs w:val="16"/>
          <w:lang w:val="en-US"/>
        </w:rPr>
        <w:t xml:space="preserve"> </w:t>
      </w:r>
      <w:r w:rsidRPr="00B121BB">
        <w:rPr>
          <w:sz w:val="16"/>
          <w:szCs w:val="16"/>
          <w:lang w:val="en-US"/>
        </w:rPr>
        <w:t>Kamerstuk 36180</w:t>
      </w:r>
      <w:r>
        <w:rPr>
          <w:sz w:val="16"/>
          <w:szCs w:val="16"/>
          <w:lang w:val="en-US"/>
        </w:rPr>
        <w:t xml:space="preserve">, nr. </w:t>
      </w:r>
      <w:r w:rsidRPr="00B121BB">
        <w:rPr>
          <w:sz w:val="16"/>
          <w:szCs w:val="16"/>
          <w:lang w:val="en-US"/>
        </w:rPr>
        <w:t>171</w:t>
      </w:r>
      <w:r w:rsidR="00C373B5">
        <w:rPr>
          <w:sz w:val="16"/>
          <w:szCs w:val="16"/>
          <w:lang w:val="en-US"/>
        </w:rPr>
        <w:t>.</w:t>
      </w:r>
    </w:p>
  </w:footnote>
  <w:footnote w:id="6">
    <w:p w14:paraId="12D91ED1" w14:textId="3D8CF021" w:rsidR="00AF332E" w:rsidRPr="00DB47A9" w:rsidRDefault="00AF332E" w:rsidP="00AF332E">
      <w:pPr>
        <w:pStyle w:val="FootnoteText"/>
        <w:rPr>
          <w:lang w:val="en-US"/>
        </w:rPr>
      </w:pPr>
      <w:r w:rsidRPr="00B121BB">
        <w:rPr>
          <w:rStyle w:val="FootnoteReference"/>
          <w:sz w:val="16"/>
          <w:szCs w:val="16"/>
        </w:rPr>
        <w:footnoteRef/>
      </w:r>
      <w:r w:rsidRPr="00AF4881">
        <w:rPr>
          <w:lang w:val="en-US"/>
        </w:rPr>
        <w:t xml:space="preserve"> </w:t>
      </w:r>
      <w:r w:rsidR="00F37CF4">
        <w:rPr>
          <w:sz w:val="16"/>
          <w:szCs w:val="16"/>
          <w:lang w:val="en-US"/>
        </w:rPr>
        <w:t>K</w:t>
      </w:r>
      <w:r>
        <w:rPr>
          <w:sz w:val="16"/>
          <w:szCs w:val="16"/>
          <w:lang w:val="en-US"/>
        </w:rPr>
        <w:t xml:space="preserve">amerstuk </w:t>
      </w:r>
      <w:r w:rsidRPr="00DB47A9">
        <w:rPr>
          <w:sz w:val="16"/>
          <w:szCs w:val="16"/>
          <w:lang w:val="en-US"/>
        </w:rPr>
        <w:t>29237</w:t>
      </w:r>
      <w:r w:rsidR="00B121BB">
        <w:rPr>
          <w:sz w:val="16"/>
          <w:szCs w:val="16"/>
          <w:lang w:val="en-US"/>
        </w:rPr>
        <w:t xml:space="preserve">, nr. </w:t>
      </w:r>
      <w:r w:rsidRPr="00DB47A9">
        <w:rPr>
          <w:sz w:val="16"/>
          <w:szCs w:val="16"/>
          <w:lang w:val="en-US"/>
        </w:rPr>
        <w:t>234</w:t>
      </w:r>
      <w:r w:rsidR="00C373B5">
        <w:rPr>
          <w:sz w:val="16"/>
          <w:szCs w:val="16"/>
          <w:lang w:val="en-US"/>
        </w:rPr>
        <w:t>.</w:t>
      </w:r>
    </w:p>
  </w:footnote>
  <w:footnote w:id="7">
    <w:p w14:paraId="2E7FEF9A" w14:textId="77777777" w:rsidR="00AF332E" w:rsidRPr="00652CEB" w:rsidRDefault="00AF332E" w:rsidP="00AF332E">
      <w:pPr>
        <w:pStyle w:val="FootnoteText"/>
        <w:rPr>
          <w:lang w:val="en-US"/>
        </w:rPr>
      </w:pPr>
      <w:r w:rsidRPr="00652CEB">
        <w:rPr>
          <w:rStyle w:val="FootnoteReference"/>
          <w:sz w:val="16"/>
          <w:szCs w:val="16"/>
        </w:rPr>
        <w:footnoteRef/>
      </w:r>
      <w:r w:rsidRPr="00652CEB">
        <w:rPr>
          <w:sz w:val="16"/>
          <w:szCs w:val="16"/>
          <w:lang w:val="en-US"/>
        </w:rPr>
        <w:t xml:space="preserve"> Report of the Independent International Fact-Finding Mission for the Sudan</w:t>
      </w:r>
      <w:r>
        <w:rPr>
          <w:sz w:val="16"/>
          <w:szCs w:val="16"/>
          <w:lang w:val="en-US"/>
        </w:rPr>
        <w:t xml:space="preserve"> 2025.</w:t>
      </w:r>
    </w:p>
  </w:footnote>
  <w:footnote w:id="8">
    <w:p w14:paraId="7D17AFD9" w14:textId="77777777" w:rsidR="00AF332E" w:rsidRPr="00E64AC8" w:rsidRDefault="00AF332E" w:rsidP="00AF332E">
      <w:pPr>
        <w:pStyle w:val="FootnoteText"/>
        <w:rPr>
          <w:sz w:val="16"/>
          <w:szCs w:val="16"/>
          <w:lang w:val="en-US"/>
        </w:rPr>
      </w:pPr>
      <w:r w:rsidRPr="00E64AC8">
        <w:rPr>
          <w:rStyle w:val="FootnoteReference"/>
          <w:sz w:val="16"/>
          <w:szCs w:val="16"/>
        </w:rPr>
        <w:footnoteRef/>
      </w:r>
      <w:r w:rsidRPr="00E64AC8">
        <w:rPr>
          <w:sz w:val="16"/>
          <w:szCs w:val="16"/>
          <w:lang w:val="en-US"/>
        </w:rPr>
        <w:t xml:space="preserve"> United Nations Office of the High Commissioner for Human Rights (OHCHR), Nov 7 2025. Sudan: UN experts appalled by reports of mass atrocities, unlawful killings and sexual violence in El Fasher. OHCHR, Sudan.</w:t>
      </w:r>
    </w:p>
  </w:footnote>
  <w:footnote w:id="9">
    <w:p w14:paraId="10C20DEC" w14:textId="77777777" w:rsidR="00AF332E" w:rsidRPr="002D6621" w:rsidRDefault="00AF332E" w:rsidP="00AF332E">
      <w:pPr>
        <w:pStyle w:val="FootnoteText"/>
        <w:rPr>
          <w:lang w:val="en-US"/>
        </w:rPr>
      </w:pPr>
      <w:r w:rsidRPr="00E64AC8">
        <w:rPr>
          <w:rStyle w:val="FootnoteReference"/>
          <w:sz w:val="16"/>
          <w:szCs w:val="16"/>
        </w:rPr>
        <w:footnoteRef/>
      </w:r>
      <w:r w:rsidRPr="00E64AC8">
        <w:rPr>
          <w:sz w:val="16"/>
          <w:szCs w:val="16"/>
          <w:lang w:val="en-US"/>
        </w:rPr>
        <w:t xml:space="preserve"> UN News, Nov 6 2025. Genocide prevention expert raises alarm over alleged Sudan atrocity crimes.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9C28" w14:textId="77777777" w:rsidR="000C7845" w:rsidRDefault="000C7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CD9E" w14:textId="1AF66BAD" w:rsidR="005E095F" w:rsidRDefault="004843BC">
    <w:r>
      <w:rPr>
        <w:noProof/>
      </w:rPr>
      <mc:AlternateContent>
        <mc:Choice Requires="wps">
          <w:drawing>
            <wp:anchor distT="0" distB="0" distL="0" distR="0" simplePos="0" relativeHeight="251658240" behindDoc="0" locked="1" layoutInCell="1" allowOverlap="1" wp14:anchorId="39E5CDA2" wp14:editId="2188D1EB">
              <wp:simplePos x="0" y="0"/>
              <wp:positionH relativeFrom="page">
                <wp:posOffset>5920105</wp:posOffset>
              </wp:positionH>
              <wp:positionV relativeFrom="page">
                <wp:posOffset>1967230</wp:posOffset>
              </wp:positionV>
              <wp:extent cx="13366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6675" cy="8009890"/>
                      </a:xfrm>
                      <a:prstGeom prst="rect">
                        <a:avLst/>
                      </a:prstGeom>
                      <a:noFill/>
                    </wps:spPr>
                    <wps:txbx>
                      <w:txbxContent>
                        <w:p w14:paraId="39E5CDCF" w14:textId="77777777" w:rsidR="005E095F" w:rsidRDefault="004843BC">
                          <w:pPr>
                            <w:pStyle w:val="Referentiegegevensbold"/>
                          </w:pPr>
                          <w:r>
                            <w:t>Ministerie van Buitenlandse Zaken</w:t>
                          </w:r>
                        </w:p>
                        <w:p w14:paraId="39E5CDD0" w14:textId="77777777" w:rsidR="005E095F" w:rsidRDefault="005E095F">
                          <w:pPr>
                            <w:pStyle w:val="WitregelW2"/>
                          </w:pPr>
                        </w:p>
                        <w:p w14:paraId="39E5CDD1" w14:textId="77777777" w:rsidR="005E095F" w:rsidRDefault="004843BC">
                          <w:pPr>
                            <w:pStyle w:val="Referentiegegevensbold"/>
                          </w:pPr>
                          <w:r>
                            <w:t>Onze referentie</w:t>
                          </w:r>
                        </w:p>
                        <w:p w14:paraId="39E5CDD2" w14:textId="77777777" w:rsidR="005E095F" w:rsidRDefault="004843BC">
                          <w:pPr>
                            <w:pStyle w:val="Referentiegegevens"/>
                          </w:pPr>
                          <w:r>
                            <w:t>BZ2521949</w:t>
                          </w:r>
                        </w:p>
                      </w:txbxContent>
                    </wps:txbx>
                    <wps:bodyPr vert="horz" wrap="square" lIns="0" tIns="0" rIns="0" bIns="0" anchor="t" anchorCtr="0"/>
                  </wps:wsp>
                </a:graphicData>
              </a:graphic>
              <wp14:sizeRelH relativeFrom="margin">
                <wp14:pctWidth>0</wp14:pctWidth>
              </wp14:sizeRelH>
            </wp:anchor>
          </w:drawing>
        </mc:Choice>
        <mc:Fallback>
          <w:pict>
            <v:shapetype w14:anchorId="39E5CDA2" id="_x0000_t202" coordsize="21600,21600" o:spt="202" path="m,l,21600r21600,l21600,xe">
              <v:stroke joinstyle="miter"/>
              <v:path gradientshapeok="t" o:connecttype="rect"/>
            </v:shapetype>
            <v:shape id="41b1110a-80a4-11ea-b356-6230a4311406" o:spid="_x0000_s1026" type="#_x0000_t202" style="position:absolute;margin-left:466.15pt;margin-top:154.9pt;width:105.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" filled="f" stroked="f">
              <v:textbox inset="0,0,0,0">
                <w:txbxContent>
                  <w:p w14:paraId="39E5CDCF" w14:textId="77777777" w:rsidR="005E095F" w:rsidRDefault="004843BC">
                    <w:pPr>
                      <w:pStyle w:val="Referentiegegevensbold"/>
                    </w:pPr>
                    <w:r>
                      <w:t>Ministerie van Buitenlandse Zaken</w:t>
                    </w:r>
                  </w:p>
                  <w:p w14:paraId="39E5CDD0" w14:textId="77777777" w:rsidR="005E095F" w:rsidRDefault="005E095F">
                    <w:pPr>
                      <w:pStyle w:val="WitregelW2"/>
                    </w:pPr>
                  </w:p>
                  <w:p w14:paraId="39E5CDD1" w14:textId="77777777" w:rsidR="005E095F" w:rsidRDefault="004843BC">
                    <w:pPr>
                      <w:pStyle w:val="Referentiegegevensbold"/>
                    </w:pPr>
                    <w:r>
                      <w:t>Onze referentie</w:t>
                    </w:r>
                  </w:p>
                  <w:p w14:paraId="39E5CDD2" w14:textId="77777777" w:rsidR="005E095F" w:rsidRDefault="004843BC">
                    <w:pPr>
                      <w:pStyle w:val="Referentiegegevens"/>
                    </w:pPr>
                    <w:r>
                      <w:t>BZ2521949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9E5CDA6" wp14:editId="7A8D7E7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E5CDE1" w14:textId="77777777" w:rsidR="004843BC" w:rsidRDefault="004843BC"/>
                      </w:txbxContent>
                    </wps:txbx>
                    <wps:bodyPr vert="horz" wrap="square" lIns="0" tIns="0" rIns="0" bIns="0" anchor="t" anchorCtr="0"/>
                  </wps:wsp>
                </a:graphicData>
              </a:graphic>
            </wp:anchor>
          </w:drawing>
        </mc:Choice>
        <mc:Fallback>
          <w:pict>
            <v:shape w14:anchorId="39E5CDA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9E5CDE1" w14:textId="77777777" w:rsidR="004843BC" w:rsidRDefault="004843B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CDA0" w14:textId="777183F7" w:rsidR="005E095F" w:rsidRDefault="004843BC">
    <w:pPr>
      <w:spacing w:after="7131" w:line="14" w:lineRule="exact"/>
    </w:pPr>
    <w:r>
      <w:rPr>
        <w:noProof/>
      </w:rPr>
      <mc:AlternateContent>
        <mc:Choice Requires="wps">
          <w:drawing>
            <wp:anchor distT="0" distB="0" distL="0" distR="0" simplePos="0" relativeHeight="251658243" behindDoc="0" locked="1" layoutInCell="1" allowOverlap="1" wp14:anchorId="39E5CDA8" wp14:editId="39E5CDA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9E5CDD4" w14:textId="77777777" w:rsidR="004843BC" w:rsidRDefault="004843BC"/>
                      </w:txbxContent>
                    </wps:txbx>
                    <wps:bodyPr vert="horz" wrap="square" lIns="0" tIns="0" rIns="0" bIns="0" anchor="t" anchorCtr="0"/>
                  </wps:wsp>
                </a:graphicData>
              </a:graphic>
            </wp:anchor>
          </w:drawing>
        </mc:Choice>
        <mc:Fallback>
          <w:pict>
            <v:shapetype w14:anchorId="39E5CDA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9E5CDD4" w14:textId="77777777" w:rsidR="004843BC" w:rsidRDefault="004843B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9E5CDAA" wp14:editId="39E5CDA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22D5C4" w14:textId="77777777" w:rsidR="00F37CF4" w:rsidRPr="00CF7C5C" w:rsidRDefault="00F37CF4" w:rsidP="00F37CF4">
                          <w:r>
                            <w:t>Aan de Voorzitter van de</w:t>
                          </w:r>
                          <w:r>
                            <w:br/>
                            <w:t>Tweede Kamer der Staten-Generaal</w:t>
                          </w:r>
                          <w:r>
                            <w:br/>
                            <w:t>Prinses Irenestraat 6</w:t>
                          </w:r>
                          <w:r>
                            <w:br/>
                            <w:t>Den Haag</w:t>
                          </w:r>
                        </w:p>
                        <w:p w14:paraId="39E5CDB8" w14:textId="2618C3F8" w:rsidR="005E095F" w:rsidRDefault="005E095F">
                          <w:pPr>
                            <w:pStyle w:val="Rubricering"/>
                          </w:pPr>
                        </w:p>
                      </w:txbxContent>
                    </wps:txbx>
                    <wps:bodyPr vert="horz" wrap="square" lIns="0" tIns="0" rIns="0" bIns="0" anchor="t" anchorCtr="0"/>
                  </wps:wsp>
                </a:graphicData>
              </a:graphic>
            </wp:anchor>
          </w:drawing>
        </mc:Choice>
        <mc:Fallback>
          <w:pict>
            <v:shape w14:anchorId="39E5CDA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F22D5C4" w14:textId="77777777" w:rsidR="00F37CF4" w:rsidRPr="00CF7C5C" w:rsidRDefault="00F37CF4" w:rsidP="00F37CF4">
                    <w:r>
                      <w:t>Aan de Voorzitter van de</w:t>
                    </w:r>
                    <w:r>
                      <w:br/>
                      <w:t>Tweede Kamer der Staten-Generaal</w:t>
                    </w:r>
                    <w:r>
                      <w:br/>
                      <w:t>Prinses Irenestraat 6</w:t>
                    </w:r>
                    <w:r>
                      <w:br/>
                      <w:t>Den Haag</w:t>
                    </w:r>
                  </w:p>
                  <w:p w14:paraId="39E5CDB8" w14:textId="2618C3F8" w:rsidR="005E095F" w:rsidRDefault="005E095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9E5CDAC" wp14:editId="39E5CDA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E095F" w14:paraId="39E5CDBB" w14:textId="77777777">
                            <w:tc>
                              <w:tcPr>
                                <w:tcW w:w="678" w:type="dxa"/>
                              </w:tcPr>
                              <w:p w14:paraId="39E5CDB9" w14:textId="77777777" w:rsidR="005E095F" w:rsidRDefault="004843BC">
                                <w:r>
                                  <w:t>Datum</w:t>
                                </w:r>
                              </w:p>
                            </w:tc>
                            <w:tc>
                              <w:tcPr>
                                <w:tcW w:w="6851" w:type="dxa"/>
                              </w:tcPr>
                              <w:p w14:paraId="39E5CDBA" w14:textId="4D573D49" w:rsidR="005E095F" w:rsidRDefault="000C7845">
                                <w:r>
                                  <w:t xml:space="preserve">24 </w:t>
                                </w:r>
                                <w:r w:rsidR="004843BC">
                                  <w:t>november 2025</w:t>
                                </w:r>
                              </w:p>
                            </w:tc>
                          </w:tr>
                          <w:tr w:rsidR="005E095F" w14:paraId="39E5CDC0" w14:textId="77777777">
                            <w:tc>
                              <w:tcPr>
                                <w:tcW w:w="678" w:type="dxa"/>
                              </w:tcPr>
                              <w:p w14:paraId="39E5CDBC" w14:textId="77777777" w:rsidR="005E095F" w:rsidRDefault="004843BC">
                                <w:r>
                                  <w:t>Betreft</w:t>
                                </w:r>
                              </w:p>
                              <w:p w14:paraId="39E5CDBD" w14:textId="77777777" w:rsidR="005E095F" w:rsidRDefault="005E095F"/>
                            </w:tc>
                            <w:tc>
                              <w:tcPr>
                                <w:tcW w:w="6851" w:type="dxa"/>
                              </w:tcPr>
                              <w:p w14:paraId="39E5CDBE" w14:textId="77777777" w:rsidR="005E095F" w:rsidRDefault="004843BC">
                                <w:r>
                                  <w:t>Ontwikkelingen El Fasher Soedan</w:t>
                                </w:r>
                              </w:p>
                              <w:p w14:paraId="39E5CDBF" w14:textId="77777777" w:rsidR="005E095F" w:rsidRDefault="005E095F"/>
                            </w:tc>
                          </w:tr>
                        </w:tbl>
                        <w:p w14:paraId="39E5CDC1" w14:textId="77777777" w:rsidR="005E095F" w:rsidRDefault="005E095F"/>
                        <w:p w14:paraId="39E5CDC2" w14:textId="77777777" w:rsidR="005E095F" w:rsidRDefault="005E095F"/>
                      </w:txbxContent>
                    </wps:txbx>
                    <wps:bodyPr vert="horz" wrap="square" lIns="0" tIns="0" rIns="0" bIns="0" anchor="t" anchorCtr="0"/>
                  </wps:wsp>
                </a:graphicData>
              </a:graphic>
            </wp:anchor>
          </w:drawing>
        </mc:Choice>
        <mc:Fallback>
          <w:pict>
            <v:shape w14:anchorId="39E5CDA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E095F" w14:paraId="39E5CDBB" w14:textId="77777777">
                      <w:tc>
                        <w:tcPr>
                          <w:tcW w:w="678" w:type="dxa"/>
                        </w:tcPr>
                        <w:p w14:paraId="39E5CDB9" w14:textId="77777777" w:rsidR="005E095F" w:rsidRDefault="004843BC">
                          <w:r>
                            <w:t>Datum</w:t>
                          </w:r>
                        </w:p>
                      </w:tc>
                      <w:tc>
                        <w:tcPr>
                          <w:tcW w:w="6851" w:type="dxa"/>
                        </w:tcPr>
                        <w:p w14:paraId="39E5CDBA" w14:textId="4D573D49" w:rsidR="005E095F" w:rsidRDefault="000C7845">
                          <w:r>
                            <w:t xml:space="preserve">24 </w:t>
                          </w:r>
                          <w:r w:rsidR="004843BC">
                            <w:t>november 2025</w:t>
                          </w:r>
                        </w:p>
                      </w:tc>
                    </w:tr>
                    <w:tr w:rsidR="005E095F" w14:paraId="39E5CDC0" w14:textId="77777777">
                      <w:tc>
                        <w:tcPr>
                          <w:tcW w:w="678" w:type="dxa"/>
                        </w:tcPr>
                        <w:p w14:paraId="39E5CDBC" w14:textId="77777777" w:rsidR="005E095F" w:rsidRDefault="004843BC">
                          <w:r>
                            <w:t>Betreft</w:t>
                          </w:r>
                        </w:p>
                        <w:p w14:paraId="39E5CDBD" w14:textId="77777777" w:rsidR="005E095F" w:rsidRDefault="005E095F"/>
                      </w:tc>
                      <w:tc>
                        <w:tcPr>
                          <w:tcW w:w="6851" w:type="dxa"/>
                        </w:tcPr>
                        <w:p w14:paraId="39E5CDBE" w14:textId="77777777" w:rsidR="005E095F" w:rsidRDefault="004843BC">
                          <w:r>
                            <w:t>Ontwikkelingen El Fasher Soedan</w:t>
                          </w:r>
                        </w:p>
                        <w:p w14:paraId="39E5CDBF" w14:textId="77777777" w:rsidR="005E095F" w:rsidRDefault="005E095F"/>
                      </w:tc>
                    </w:tr>
                  </w:tbl>
                  <w:p w14:paraId="39E5CDC1" w14:textId="77777777" w:rsidR="005E095F" w:rsidRDefault="005E095F"/>
                  <w:p w14:paraId="39E5CDC2" w14:textId="77777777" w:rsidR="005E095F" w:rsidRDefault="005E095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9E5CDAE" wp14:editId="7E95CE31">
              <wp:simplePos x="0" y="0"/>
              <wp:positionH relativeFrom="page">
                <wp:posOffset>5920105</wp:posOffset>
              </wp:positionH>
              <wp:positionV relativeFrom="page">
                <wp:posOffset>1967230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4F87BD0" w14:textId="77777777" w:rsidR="00F37CF4" w:rsidRPr="00F51C07" w:rsidRDefault="00F37CF4" w:rsidP="00F37CF4">
                              <w:pPr>
                                <w:rPr>
                                  <w:b/>
                                  <w:sz w:val="13"/>
                                  <w:szCs w:val="13"/>
                                </w:rPr>
                              </w:pPr>
                              <w:r w:rsidRPr="00FC13FA">
                                <w:rPr>
                                  <w:b/>
                                  <w:sz w:val="13"/>
                                  <w:szCs w:val="13"/>
                                </w:rPr>
                                <w:t>Ministerie van Buitenlandse Zaken</w:t>
                              </w:r>
                            </w:p>
                          </w:sdtContent>
                        </w:sdt>
                        <w:p w14:paraId="6BB2B154" w14:textId="77777777" w:rsidR="00F37CF4" w:rsidRPr="00EE5E5D" w:rsidRDefault="00F37CF4" w:rsidP="00F37CF4">
                          <w:pPr>
                            <w:rPr>
                              <w:sz w:val="13"/>
                              <w:szCs w:val="13"/>
                            </w:rPr>
                          </w:pPr>
                          <w:r>
                            <w:rPr>
                              <w:sz w:val="13"/>
                              <w:szCs w:val="13"/>
                            </w:rPr>
                            <w:t>Rijnstraat 8</w:t>
                          </w:r>
                        </w:p>
                        <w:p w14:paraId="4149CA64" w14:textId="77777777" w:rsidR="00F37CF4" w:rsidRPr="0059764A" w:rsidRDefault="00F37CF4" w:rsidP="00F37CF4">
                          <w:pPr>
                            <w:rPr>
                              <w:sz w:val="13"/>
                              <w:szCs w:val="13"/>
                              <w:lang w:val="da-DK"/>
                            </w:rPr>
                          </w:pPr>
                          <w:r w:rsidRPr="0059764A">
                            <w:rPr>
                              <w:sz w:val="13"/>
                              <w:szCs w:val="13"/>
                              <w:lang w:val="da-DK"/>
                            </w:rPr>
                            <w:t>2515 XP Den Haag</w:t>
                          </w:r>
                        </w:p>
                        <w:p w14:paraId="46E6474D" w14:textId="77777777" w:rsidR="00F37CF4" w:rsidRPr="0059764A" w:rsidRDefault="00F37CF4" w:rsidP="00F37CF4">
                          <w:pPr>
                            <w:rPr>
                              <w:sz w:val="13"/>
                              <w:szCs w:val="13"/>
                              <w:lang w:val="da-DK"/>
                            </w:rPr>
                          </w:pPr>
                          <w:r w:rsidRPr="0059764A">
                            <w:rPr>
                              <w:sz w:val="13"/>
                              <w:szCs w:val="13"/>
                              <w:lang w:val="da-DK"/>
                            </w:rPr>
                            <w:t>Postbus 20061</w:t>
                          </w:r>
                        </w:p>
                        <w:p w14:paraId="0B4A412C" w14:textId="77777777" w:rsidR="00F37CF4" w:rsidRPr="0059764A" w:rsidRDefault="00F37CF4" w:rsidP="00F37CF4">
                          <w:pPr>
                            <w:rPr>
                              <w:sz w:val="13"/>
                              <w:szCs w:val="13"/>
                              <w:lang w:val="da-DK"/>
                            </w:rPr>
                          </w:pPr>
                          <w:r w:rsidRPr="0059764A">
                            <w:rPr>
                              <w:sz w:val="13"/>
                              <w:szCs w:val="13"/>
                              <w:lang w:val="da-DK"/>
                            </w:rPr>
                            <w:t>Nederland</w:t>
                          </w:r>
                        </w:p>
                        <w:p w14:paraId="39E5CDC6" w14:textId="77777777" w:rsidR="005E095F" w:rsidRPr="00F37CF4" w:rsidRDefault="004843BC">
                          <w:pPr>
                            <w:pStyle w:val="Referentiegegevens"/>
                            <w:rPr>
                              <w:lang w:val="da-DK"/>
                            </w:rPr>
                          </w:pPr>
                          <w:r w:rsidRPr="00F37CF4">
                            <w:rPr>
                              <w:lang w:val="da-DK"/>
                            </w:rPr>
                            <w:t>www.minbuza.nl</w:t>
                          </w:r>
                        </w:p>
                        <w:p w14:paraId="39E5CDC7" w14:textId="77777777" w:rsidR="005E095F" w:rsidRPr="00F37CF4" w:rsidRDefault="005E095F">
                          <w:pPr>
                            <w:pStyle w:val="WitregelW2"/>
                            <w:rPr>
                              <w:lang w:val="da-DK"/>
                            </w:rPr>
                          </w:pPr>
                        </w:p>
                        <w:p w14:paraId="39E5CDC8" w14:textId="77777777" w:rsidR="005E095F" w:rsidRDefault="004843BC">
                          <w:pPr>
                            <w:pStyle w:val="Referentiegegevensbold"/>
                          </w:pPr>
                          <w:r>
                            <w:t>Onze referentie</w:t>
                          </w:r>
                        </w:p>
                        <w:p w14:paraId="39E5CDC9" w14:textId="77777777" w:rsidR="005E095F" w:rsidRDefault="004843BC">
                          <w:pPr>
                            <w:pStyle w:val="Referentiegegevens"/>
                          </w:pPr>
                          <w:r>
                            <w:t>BZ2521949</w:t>
                          </w:r>
                        </w:p>
                        <w:p w14:paraId="39E5CDCA" w14:textId="77777777" w:rsidR="005E095F" w:rsidRDefault="005E095F">
                          <w:pPr>
                            <w:pStyle w:val="WitregelW1"/>
                          </w:pPr>
                        </w:p>
                        <w:p w14:paraId="39E5CDCB" w14:textId="77777777" w:rsidR="005E095F" w:rsidRDefault="004843BC">
                          <w:pPr>
                            <w:pStyle w:val="Referentiegegevensbold"/>
                          </w:pPr>
                          <w:r>
                            <w:t>Bijlage(n)</w:t>
                          </w:r>
                        </w:p>
                        <w:p w14:paraId="39E5CDCC" w14:textId="77777777" w:rsidR="005E095F" w:rsidRDefault="004843B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9E5CDAE" id="41b10cd4-80a4-11ea-b356-6230a4311406" o:spid="_x0000_s1031" type="#_x0000_t202" style="position:absolute;margin-left:466.15pt;margin-top:154.9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4F87BD0" w14:textId="77777777" w:rsidR="00F37CF4" w:rsidRPr="00F51C07" w:rsidRDefault="00F37CF4" w:rsidP="00F37CF4">
                        <w:pPr>
                          <w:rPr>
                            <w:b/>
                            <w:sz w:val="13"/>
                            <w:szCs w:val="13"/>
                          </w:rPr>
                        </w:pPr>
                        <w:r w:rsidRPr="00FC13FA">
                          <w:rPr>
                            <w:b/>
                            <w:sz w:val="13"/>
                            <w:szCs w:val="13"/>
                          </w:rPr>
                          <w:t>Ministerie van Buitenlandse Zaken</w:t>
                        </w:r>
                      </w:p>
                    </w:sdtContent>
                  </w:sdt>
                  <w:p w14:paraId="6BB2B154" w14:textId="77777777" w:rsidR="00F37CF4" w:rsidRPr="00EE5E5D" w:rsidRDefault="00F37CF4" w:rsidP="00F37CF4">
                    <w:pPr>
                      <w:rPr>
                        <w:sz w:val="13"/>
                        <w:szCs w:val="13"/>
                      </w:rPr>
                    </w:pPr>
                    <w:r>
                      <w:rPr>
                        <w:sz w:val="13"/>
                        <w:szCs w:val="13"/>
                      </w:rPr>
                      <w:t>Rijnstraat 8</w:t>
                    </w:r>
                  </w:p>
                  <w:p w14:paraId="4149CA64" w14:textId="77777777" w:rsidR="00F37CF4" w:rsidRPr="0059764A" w:rsidRDefault="00F37CF4" w:rsidP="00F37CF4">
                    <w:pPr>
                      <w:rPr>
                        <w:sz w:val="13"/>
                        <w:szCs w:val="13"/>
                        <w:lang w:val="da-DK"/>
                      </w:rPr>
                    </w:pPr>
                    <w:r w:rsidRPr="0059764A">
                      <w:rPr>
                        <w:sz w:val="13"/>
                        <w:szCs w:val="13"/>
                        <w:lang w:val="da-DK"/>
                      </w:rPr>
                      <w:t>2515 XP Den Haag</w:t>
                    </w:r>
                  </w:p>
                  <w:p w14:paraId="46E6474D" w14:textId="77777777" w:rsidR="00F37CF4" w:rsidRPr="0059764A" w:rsidRDefault="00F37CF4" w:rsidP="00F37CF4">
                    <w:pPr>
                      <w:rPr>
                        <w:sz w:val="13"/>
                        <w:szCs w:val="13"/>
                        <w:lang w:val="da-DK"/>
                      </w:rPr>
                    </w:pPr>
                    <w:r w:rsidRPr="0059764A">
                      <w:rPr>
                        <w:sz w:val="13"/>
                        <w:szCs w:val="13"/>
                        <w:lang w:val="da-DK"/>
                      </w:rPr>
                      <w:t>Postbus 20061</w:t>
                    </w:r>
                  </w:p>
                  <w:p w14:paraId="0B4A412C" w14:textId="77777777" w:rsidR="00F37CF4" w:rsidRPr="0059764A" w:rsidRDefault="00F37CF4" w:rsidP="00F37CF4">
                    <w:pPr>
                      <w:rPr>
                        <w:sz w:val="13"/>
                        <w:szCs w:val="13"/>
                        <w:lang w:val="da-DK"/>
                      </w:rPr>
                    </w:pPr>
                    <w:r w:rsidRPr="0059764A">
                      <w:rPr>
                        <w:sz w:val="13"/>
                        <w:szCs w:val="13"/>
                        <w:lang w:val="da-DK"/>
                      </w:rPr>
                      <w:t>Nederland</w:t>
                    </w:r>
                  </w:p>
                  <w:p w14:paraId="39E5CDC6" w14:textId="77777777" w:rsidR="005E095F" w:rsidRPr="00F37CF4" w:rsidRDefault="004843BC">
                    <w:pPr>
                      <w:pStyle w:val="Referentiegegevens"/>
                      <w:rPr>
                        <w:lang w:val="da-DK"/>
                      </w:rPr>
                    </w:pPr>
                    <w:r w:rsidRPr="00F37CF4">
                      <w:rPr>
                        <w:lang w:val="da-DK"/>
                      </w:rPr>
                      <w:t>www.minbuza.nl</w:t>
                    </w:r>
                  </w:p>
                  <w:p w14:paraId="39E5CDC7" w14:textId="77777777" w:rsidR="005E095F" w:rsidRPr="00F37CF4" w:rsidRDefault="005E095F">
                    <w:pPr>
                      <w:pStyle w:val="WitregelW2"/>
                      <w:rPr>
                        <w:lang w:val="da-DK"/>
                      </w:rPr>
                    </w:pPr>
                  </w:p>
                  <w:p w14:paraId="39E5CDC8" w14:textId="77777777" w:rsidR="005E095F" w:rsidRDefault="004843BC">
                    <w:pPr>
                      <w:pStyle w:val="Referentiegegevensbold"/>
                    </w:pPr>
                    <w:r>
                      <w:t>Onze referentie</w:t>
                    </w:r>
                  </w:p>
                  <w:p w14:paraId="39E5CDC9" w14:textId="77777777" w:rsidR="005E095F" w:rsidRDefault="004843BC">
                    <w:pPr>
                      <w:pStyle w:val="Referentiegegevens"/>
                    </w:pPr>
                    <w:r>
                      <w:t>BZ2521949</w:t>
                    </w:r>
                  </w:p>
                  <w:p w14:paraId="39E5CDCA" w14:textId="77777777" w:rsidR="005E095F" w:rsidRDefault="005E095F">
                    <w:pPr>
                      <w:pStyle w:val="WitregelW1"/>
                    </w:pPr>
                  </w:p>
                  <w:p w14:paraId="39E5CDCB" w14:textId="77777777" w:rsidR="005E095F" w:rsidRDefault="004843BC">
                    <w:pPr>
                      <w:pStyle w:val="Referentiegegevensbold"/>
                    </w:pPr>
                    <w:r>
                      <w:t>Bijlage(n)</w:t>
                    </w:r>
                  </w:p>
                  <w:p w14:paraId="39E5CDCC" w14:textId="77777777" w:rsidR="005E095F" w:rsidRDefault="004843B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9E5CDB2" wp14:editId="58E08F8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E5CDDA" w14:textId="77777777" w:rsidR="004843BC" w:rsidRDefault="004843BC"/>
                      </w:txbxContent>
                    </wps:txbx>
                    <wps:bodyPr vert="horz" wrap="square" lIns="0" tIns="0" rIns="0" bIns="0" anchor="t" anchorCtr="0"/>
                  </wps:wsp>
                </a:graphicData>
              </a:graphic>
            </wp:anchor>
          </w:drawing>
        </mc:Choice>
        <mc:Fallback>
          <w:pict>
            <v:shape w14:anchorId="39E5CDB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9E5CDDA" w14:textId="77777777" w:rsidR="004843BC" w:rsidRDefault="004843B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9E5CDB4" wp14:editId="39E5CDB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E5CDDC" w14:textId="77777777" w:rsidR="004843BC" w:rsidRDefault="004843BC"/>
                      </w:txbxContent>
                    </wps:txbx>
                    <wps:bodyPr vert="horz" wrap="square" lIns="0" tIns="0" rIns="0" bIns="0" anchor="t" anchorCtr="0"/>
                  </wps:wsp>
                </a:graphicData>
              </a:graphic>
            </wp:anchor>
          </w:drawing>
        </mc:Choice>
        <mc:Fallback>
          <w:pict>
            <v:shape w14:anchorId="39E5CDB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9E5CDDC" w14:textId="77777777" w:rsidR="004843BC" w:rsidRDefault="004843B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9E5CDB6" wp14:editId="39E5CDB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E5CDCE" w14:textId="77777777" w:rsidR="005E095F" w:rsidRDefault="004843BC">
                          <w:pPr>
                            <w:spacing w:line="240" w:lineRule="auto"/>
                          </w:pPr>
                          <w:r>
                            <w:rPr>
                              <w:noProof/>
                            </w:rPr>
                            <w:drawing>
                              <wp:inline distT="0" distB="0" distL="0" distR="0" wp14:anchorId="4D72EF73" wp14:editId="39E5CD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E5CDB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9E5CDCE" w14:textId="77777777" w:rsidR="005E095F" w:rsidRDefault="004843BC">
                    <w:pPr>
                      <w:spacing w:line="240" w:lineRule="auto"/>
                    </w:pPr>
                    <w:r>
                      <w:rPr>
                        <w:noProof/>
                      </w:rPr>
                      <w:drawing>
                        <wp:inline distT="0" distB="0" distL="0" distR="0" wp14:anchorId="4D72EF73" wp14:editId="39E5CD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9163C6"/>
    <w:multiLevelType w:val="multilevel"/>
    <w:tmpl w:val="1C0A704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C433971"/>
    <w:multiLevelType w:val="multilevel"/>
    <w:tmpl w:val="60A9DFF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7A43B"/>
    <w:multiLevelType w:val="multilevel"/>
    <w:tmpl w:val="F6E672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DF862EA"/>
    <w:multiLevelType w:val="hybridMultilevel"/>
    <w:tmpl w:val="C522602C"/>
    <w:lvl w:ilvl="0" w:tplc="6A92F84A">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A03BB59"/>
    <w:multiLevelType w:val="multilevel"/>
    <w:tmpl w:val="40BDDF2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D5B0AE5"/>
    <w:multiLevelType w:val="multilevel"/>
    <w:tmpl w:val="7E7EFD9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32258391">
    <w:abstractNumId w:val="0"/>
  </w:num>
  <w:num w:numId="2" w16cid:durableId="1829512506">
    <w:abstractNumId w:val="4"/>
  </w:num>
  <w:num w:numId="3" w16cid:durableId="1463696431">
    <w:abstractNumId w:val="2"/>
  </w:num>
  <w:num w:numId="4" w16cid:durableId="1400858869">
    <w:abstractNumId w:val="5"/>
  </w:num>
  <w:num w:numId="5" w16cid:durableId="1521702260">
    <w:abstractNumId w:val="1"/>
  </w:num>
  <w:num w:numId="6" w16cid:durableId="2004504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5F"/>
    <w:rsid w:val="00000282"/>
    <w:rsid w:val="00013199"/>
    <w:rsid w:val="00020BCF"/>
    <w:rsid w:val="00022592"/>
    <w:rsid w:val="00022730"/>
    <w:rsid w:val="00025811"/>
    <w:rsid w:val="000323DC"/>
    <w:rsid w:val="000355E2"/>
    <w:rsid w:val="00057033"/>
    <w:rsid w:val="000575F8"/>
    <w:rsid w:val="00057DB7"/>
    <w:rsid w:val="00060181"/>
    <w:rsid w:val="00093FD0"/>
    <w:rsid w:val="000B1EF5"/>
    <w:rsid w:val="000B50AB"/>
    <w:rsid w:val="000C021C"/>
    <w:rsid w:val="000C4DE3"/>
    <w:rsid w:val="000C730B"/>
    <w:rsid w:val="000C7845"/>
    <w:rsid w:val="000D71E8"/>
    <w:rsid w:val="000E0B3E"/>
    <w:rsid w:val="000E4BBE"/>
    <w:rsid w:val="000F5A5F"/>
    <w:rsid w:val="000F7F0F"/>
    <w:rsid w:val="00100E3B"/>
    <w:rsid w:val="001042F8"/>
    <w:rsid w:val="00106FC0"/>
    <w:rsid w:val="00114C17"/>
    <w:rsid w:val="00116A6E"/>
    <w:rsid w:val="0012266C"/>
    <w:rsid w:val="00123400"/>
    <w:rsid w:val="001261F5"/>
    <w:rsid w:val="00127168"/>
    <w:rsid w:val="00141DE6"/>
    <w:rsid w:val="0016118F"/>
    <w:rsid w:val="001613C8"/>
    <w:rsid w:val="001672F0"/>
    <w:rsid w:val="00176F4A"/>
    <w:rsid w:val="00180BBC"/>
    <w:rsid w:val="00184B37"/>
    <w:rsid w:val="001942EB"/>
    <w:rsid w:val="001945F2"/>
    <w:rsid w:val="00197A43"/>
    <w:rsid w:val="001A4A46"/>
    <w:rsid w:val="001B3887"/>
    <w:rsid w:val="001C0214"/>
    <w:rsid w:val="001E7FB0"/>
    <w:rsid w:val="001F139C"/>
    <w:rsid w:val="00201112"/>
    <w:rsid w:val="00216D78"/>
    <w:rsid w:val="00223143"/>
    <w:rsid w:val="002329D9"/>
    <w:rsid w:val="0024363E"/>
    <w:rsid w:val="00243EAC"/>
    <w:rsid w:val="00244347"/>
    <w:rsid w:val="002642C8"/>
    <w:rsid w:val="00265431"/>
    <w:rsid w:val="0027681E"/>
    <w:rsid w:val="00277A81"/>
    <w:rsid w:val="002911A7"/>
    <w:rsid w:val="00292AD4"/>
    <w:rsid w:val="00294095"/>
    <w:rsid w:val="00297CC9"/>
    <w:rsid w:val="002B4B4D"/>
    <w:rsid w:val="002D6621"/>
    <w:rsid w:val="002E16DA"/>
    <w:rsid w:val="002E1B99"/>
    <w:rsid w:val="002F23A6"/>
    <w:rsid w:val="002F44FD"/>
    <w:rsid w:val="0030179B"/>
    <w:rsid w:val="00310A5B"/>
    <w:rsid w:val="00325B8F"/>
    <w:rsid w:val="00330853"/>
    <w:rsid w:val="00330908"/>
    <w:rsid w:val="00336EB9"/>
    <w:rsid w:val="00342373"/>
    <w:rsid w:val="00380527"/>
    <w:rsid w:val="003838CE"/>
    <w:rsid w:val="00386E0C"/>
    <w:rsid w:val="00395776"/>
    <w:rsid w:val="003B1D88"/>
    <w:rsid w:val="003D2958"/>
    <w:rsid w:val="003F453E"/>
    <w:rsid w:val="00414496"/>
    <w:rsid w:val="00456AAF"/>
    <w:rsid w:val="00456E40"/>
    <w:rsid w:val="004843BC"/>
    <w:rsid w:val="0048455F"/>
    <w:rsid w:val="004B16FA"/>
    <w:rsid w:val="004B21BB"/>
    <w:rsid w:val="004B501B"/>
    <w:rsid w:val="004C4B1F"/>
    <w:rsid w:val="004D28B6"/>
    <w:rsid w:val="004D789D"/>
    <w:rsid w:val="004E37D4"/>
    <w:rsid w:val="004E536E"/>
    <w:rsid w:val="004E5B54"/>
    <w:rsid w:val="005078D6"/>
    <w:rsid w:val="00510194"/>
    <w:rsid w:val="00511023"/>
    <w:rsid w:val="005312D7"/>
    <w:rsid w:val="00533919"/>
    <w:rsid w:val="00535D65"/>
    <w:rsid w:val="00537E7D"/>
    <w:rsid w:val="00544E6A"/>
    <w:rsid w:val="00546102"/>
    <w:rsid w:val="005462EA"/>
    <w:rsid w:val="00553632"/>
    <w:rsid w:val="005541D6"/>
    <w:rsid w:val="00554862"/>
    <w:rsid w:val="005973C6"/>
    <w:rsid w:val="00597BE5"/>
    <w:rsid w:val="005B1570"/>
    <w:rsid w:val="005B4907"/>
    <w:rsid w:val="005B4C40"/>
    <w:rsid w:val="005E05BC"/>
    <w:rsid w:val="005E095F"/>
    <w:rsid w:val="005E397F"/>
    <w:rsid w:val="005E41F4"/>
    <w:rsid w:val="005E423A"/>
    <w:rsid w:val="005F3E81"/>
    <w:rsid w:val="005F50BA"/>
    <w:rsid w:val="0060126F"/>
    <w:rsid w:val="006037E4"/>
    <w:rsid w:val="00616697"/>
    <w:rsid w:val="00642B47"/>
    <w:rsid w:val="00646413"/>
    <w:rsid w:val="00652CEB"/>
    <w:rsid w:val="00662BCB"/>
    <w:rsid w:val="00691E93"/>
    <w:rsid w:val="006A5849"/>
    <w:rsid w:val="006B6472"/>
    <w:rsid w:val="006B68ED"/>
    <w:rsid w:val="006C16BC"/>
    <w:rsid w:val="006C54BB"/>
    <w:rsid w:val="006E1497"/>
    <w:rsid w:val="006E4AA1"/>
    <w:rsid w:val="006E52C4"/>
    <w:rsid w:val="006E7920"/>
    <w:rsid w:val="006F4D77"/>
    <w:rsid w:val="006F628E"/>
    <w:rsid w:val="007070B7"/>
    <w:rsid w:val="00743F00"/>
    <w:rsid w:val="00751DC3"/>
    <w:rsid w:val="00763D33"/>
    <w:rsid w:val="00770708"/>
    <w:rsid w:val="00796955"/>
    <w:rsid w:val="007A7084"/>
    <w:rsid w:val="007C1C15"/>
    <w:rsid w:val="007C5478"/>
    <w:rsid w:val="007D1A8A"/>
    <w:rsid w:val="007E7AB2"/>
    <w:rsid w:val="007F0D58"/>
    <w:rsid w:val="007F6C7B"/>
    <w:rsid w:val="007F6DF7"/>
    <w:rsid w:val="007F7BB4"/>
    <w:rsid w:val="00802308"/>
    <w:rsid w:val="00807E39"/>
    <w:rsid w:val="008217E9"/>
    <w:rsid w:val="00822C75"/>
    <w:rsid w:val="008233F8"/>
    <w:rsid w:val="0083094C"/>
    <w:rsid w:val="00833B64"/>
    <w:rsid w:val="00835FDB"/>
    <w:rsid w:val="008605B2"/>
    <w:rsid w:val="008625DB"/>
    <w:rsid w:val="0087690C"/>
    <w:rsid w:val="00885E75"/>
    <w:rsid w:val="00887C79"/>
    <w:rsid w:val="00897CBB"/>
    <w:rsid w:val="008B1F25"/>
    <w:rsid w:val="008B1F9A"/>
    <w:rsid w:val="008B44EE"/>
    <w:rsid w:val="008B4EE0"/>
    <w:rsid w:val="008B7964"/>
    <w:rsid w:val="008C0673"/>
    <w:rsid w:val="008D7B3F"/>
    <w:rsid w:val="008F6201"/>
    <w:rsid w:val="008F7F2C"/>
    <w:rsid w:val="00900DB1"/>
    <w:rsid w:val="0090142A"/>
    <w:rsid w:val="00921CC8"/>
    <w:rsid w:val="00921E93"/>
    <w:rsid w:val="009312A0"/>
    <w:rsid w:val="00937BEA"/>
    <w:rsid w:val="00940401"/>
    <w:rsid w:val="00942624"/>
    <w:rsid w:val="009427A1"/>
    <w:rsid w:val="00953ACE"/>
    <w:rsid w:val="009606E7"/>
    <w:rsid w:val="00962E51"/>
    <w:rsid w:val="00964F4B"/>
    <w:rsid w:val="00971973"/>
    <w:rsid w:val="009755FC"/>
    <w:rsid w:val="009860AE"/>
    <w:rsid w:val="00986282"/>
    <w:rsid w:val="009968BF"/>
    <w:rsid w:val="009A2420"/>
    <w:rsid w:val="009A268A"/>
    <w:rsid w:val="009E7BED"/>
    <w:rsid w:val="00A0140F"/>
    <w:rsid w:val="00A170C9"/>
    <w:rsid w:val="00A470BB"/>
    <w:rsid w:val="00A545EB"/>
    <w:rsid w:val="00A6271D"/>
    <w:rsid w:val="00A62A2A"/>
    <w:rsid w:val="00A6345A"/>
    <w:rsid w:val="00A7207D"/>
    <w:rsid w:val="00A9318F"/>
    <w:rsid w:val="00A95644"/>
    <w:rsid w:val="00A9788A"/>
    <w:rsid w:val="00AA481E"/>
    <w:rsid w:val="00AB04C2"/>
    <w:rsid w:val="00AB72E8"/>
    <w:rsid w:val="00AC16EF"/>
    <w:rsid w:val="00AF332E"/>
    <w:rsid w:val="00AF4881"/>
    <w:rsid w:val="00B00B02"/>
    <w:rsid w:val="00B00DA8"/>
    <w:rsid w:val="00B121BB"/>
    <w:rsid w:val="00B22DBF"/>
    <w:rsid w:val="00B35A29"/>
    <w:rsid w:val="00B35AF6"/>
    <w:rsid w:val="00B36616"/>
    <w:rsid w:val="00B56019"/>
    <w:rsid w:val="00B64630"/>
    <w:rsid w:val="00B74613"/>
    <w:rsid w:val="00B86C21"/>
    <w:rsid w:val="00BA1775"/>
    <w:rsid w:val="00BA7D0C"/>
    <w:rsid w:val="00BC3CD5"/>
    <w:rsid w:val="00BC63E8"/>
    <w:rsid w:val="00BD591E"/>
    <w:rsid w:val="00BD63C0"/>
    <w:rsid w:val="00BE2F9B"/>
    <w:rsid w:val="00BF1FFB"/>
    <w:rsid w:val="00BF2733"/>
    <w:rsid w:val="00BF38C8"/>
    <w:rsid w:val="00C072ED"/>
    <w:rsid w:val="00C10CF0"/>
    <w:rsid w:val="00C2483B"/>
    <w:rsid w:val="00C34171"/>
    <w:rsid w:val="00C373B5"/>
    <w:rsid w:val="00C40D78"/>
    <w:rsid w:val="00C64AAF"/>
    <w:rsid w:val="00C70D30"/>
    <w:rsid w:val="00C77C99"/>
    <w:rsid w:val="00C94D12"/>
    <w:rsid w:val="00CA69A0"/>
    <w:rsid w:val="00CB0565"/>
    <w:rsid w:val="00CD494B"/>
    <w:rsid w:val="00CE151A"/>
    <w:rsid w:val="00CE1C9C"/>
    <w:rsid w:val="00CE780E"/>
    <w:rsid w:val="00CF0F5F"/>
    <w:rsid w:val="00D033B5"/>
    <w:rsid w:val="00D12F01"/>
    <w:rsid w:val="00D14C63"/>
    <w:rsid w:val="00D27994"/>
    <w:rsid w:val="00D30A5A"/>
    <w:rsid w:val="00D33E42"/>
    <w:rsid w:val="00D34A46"/>
    <w:rsid w:val="00D35D28"/>
    <w:rsid w:val="00D61013"/>
    <w:rsid w:val="00D629A6"/>
    <w:rsid w:val="00D74073"/>
    <w:rsid w:val="00D83D46"/>
    <w:rsid w:val="00D90CFD"/>
    <w:rsid w:val="00DB47A9"/>
    <w:rsid w:val="00DC6F3C"/>
    <w:rsid w:val="00DD2E6F"/>
    <w:rsid w:val="00DE3835"/>
    <w:rsid w:val="00DF4199"/>
    <w:rsid w:val="00DF59AD"/>
    <w:rsid w:val="00E33FC3"/>
    <w:rsid w:val="00E64AC8"/>
    <w:rsid w:val="00E73ACF"/>
    <w:rsid w:val="00EA0B53"/>
    <w:rsid w:val="00EA768E"/>
    <w:rsid w:val="00EB0EE8"/>
    <w:rsid w:val="00EB3BA6"/>
    <w:rsid w:val="00EB6686"/>
    <w:rsid w:val="00EC6FCF"/>
    <w:rsid w:val="00ED3A9D"/>
    <w:rsid w:val="00ED3FD8"/>
    <w:rsid w:val="00ED4256"/>
    <w:rsid w:val="00EE37D1"/>
    <w:rsid w:val="00EE7ABE"/>
    <w:rsid w:val="00F0046C"/>
    <w:rsid w:val="00F0606B"/>
    <w:rsid w:val="00F23CF5"/>
    <w:rsid w:val="00F30F1D"/>
    <w:rsid w:val="00F32640"/>
    <w:rsid w:val="00F33077"/>
    <w:rsid w:val="00F354C5"/>
    <w:rsid w:val="00F37CF4"/>
    <w:rsid w:val="00F400EC"/>
    <w:rsid w:val="00F71DE5"/>
    <w:rsid w:val="00F83119"/>
    <w:rsid w:val="00F83DC9"/>
    <w:rsid w:val="00F923FF"/>
    <w:rsid w:val="00F93EFD"/>
    <w:rsid w:val="00F96B07"/>
    <w:rsid w:val="00FB0141"/>
    <w:rsid w:val="00FB6019"/>
    <w:rsid w:val="00FB617C"/>
    <w:rsid w:val="00FC3695"/>
    <w:rsid w:val="00FC3A9C"/>
    <w:rsid w:val="00FD08A6"/>
    <w:rsid w:val="00FD30C1"/>
    <w:rsid w:val="00FD482C"/>
    <w:rsid w:val="00FD5D6F"/>
    <w:rsid w:val="00FE2834"/>
    <w:rsid w:val="21DAC3C6"/>
    <w:rsid w:val="37C1E7E6"/>
    <w:rsid w:val="39F2DDFA"/>
    <w:rsid w:val="462E8D4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CD96"/>
  <w15:docId w15:val="{8E9DA083-9A96-4F57-BFB0-5CC5B0A4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87C79"/>
    <w:pPr>
      <w:tabs>
        <w:tab w:val="center" w:pos="4513"/>
        <w:tab w:val="right" w:pos="9026"/>
      </w:tabs>
      <w:spacing w:line="240" w:lineRule="auto"/>
    </w:pPr>
  </w:style>
  <w:style w:type="character" w:customStyle="1" w:styleId="HeaderChar">
    <w:name w:val="Header Char"/>
    <w:basedOn w:val="DefaultParagraphFont"/>
    <w:link w:val="Header"/>
    <w:uiPriority w:val="99"/>
    <w:rsid w:val="00887C79"/>
    <w:rPr>
      <w:rFonts w:ascii="Verdana" w:hAnsi="Verdana"/>
      <w:color w:val="000000"/>
      <w:sz w:val="18"/>
      <w:szCs w:val="18"/>
    </w:rPr>
  </w:style>
  <w:style w:type="paragraph" w:styleId="Footer">
    <w:name w:val="footer"/>
    <w:basedOn w:val="Normal"/>
    <w:link w:val="FooterChar"/>
    <w:uiPriority w:val="99"/>
    <w:unhideWhenUsed/>
    <w:rsid w:val="00887C79"/>
    <w:pPr>
      <w:tabs>
        <w:tab w:val="center" w:pos="4513"/>
        <w:tab w:val="right" w:pos="9026"/>
      </w:tabs>
      <w:spacing w:line="240" w:lineRule="auto"/>
    </w:pPr>
  </w:style>
  <w:style w:type="character" w:customStyle="1" w:styleId="FooterChar">
    <w:name w:val="Footer Char"/>
    <w:basedOn w:val="DefaultParagraphFont"/>
    <w:link w:val="Footer"/>
    <w:uiPriority w:val="99"/>
    <w:rsid w:val="00887C79"/>
    <w:rPr>
      <w:rFonts w:ascii="Verdana" w:hAnsi="Verdana"/>
      <w:color w:val="000000"/>
      <w:sz w:val="18"/>
      <w:szCs w:val="18"/>
    </w:rPr>
  </w:style>
  <w:style w:type="paragraph" w:styleId="Revision">
    <w:name w:val="Revision"/>
    <w:hidden/>
    <w:uiPriority w:val="99"/>
    <w:semiHidden/>
    <w:rsid w:val="00887C79"/>
    <w:pPr>
      <w:autoSpaceDN/>
      <w:textAlignment w:val="auto"/>
    </w:pPr>
    <w:rPr>
      <w:rFonts w:ascii="Verdana" w:hAnsi="Verdana"/>
      <w:color w:val="000000"/>
      <w:sz w:val="18"/>
      <w:szCs w:val="18"/>
    </w:rPr>
  </w:style>
  <w:style w:type="paragraph" w:styleId="ListParagraph">
    <w:name w:val="List Paragraph"/>
    <w:basedOn w:val="Normal"/>
    <w:uiPriority w:val="34"/>
    <w:semiHidden/>
    <w:rsid w:val="00887C79"/>
    <w:pPr>
      <w:ind w:left="720"/>
      <w:contextualSpacing/>
    </w:pPr>
  </w:style>
  <w:style w:type="paragraph" w:styleId="NormalWeb">
    <w:name w:val="Normal (Web)"/>
    <w:basedOn w:val="Normal"/>
    <w:uiPriority w:val="99"/>
    <w:semiHidden/>
    <w:unhideWhenUsed/>
    <w:rsid w:val="00544E6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val="en-GB" w:eastAsia="en-GB"/>
    </w:rPr>
  </w:style>
  <w:style w:type="character" w:styleId="UnresolvedMention">
    <w:name w:val="Unresolved Mention"/>
    <w:basedOn w:val="DefaultParagraphFont"/>
    <w:uiPriority w:val="99"/>
    <w:semiHidden/>
    <w:unhideWhenUsed/>
    <w:rsid w:val="00D14C63"/>
    <w:rPr>
      <w:color w:val="605E5C"/>
      <w:shd w:val="clear" w:color="auto" w:fill="E1DFDD"/>
    </w:rPr>
  </w:style>
  <w:style w:type="character" w:styleId="CommentReference">
    <w:name w:val="annotation reference"/>
    <w:basedOn w:val="DefaultParagraphFont"/>
    <w:uiPriority w:val="99"/>
    <w:semiHidden/>
    <w:unhideWhenUsed/>
    <w:rsid w:val="009606E7"/>
    <w:rPr>
      <w:sz w:val="16"/>
      <w:szCs w:val="16"/>
    </w:rPr>
  </w:style>
  <w:style w:type="paragraph" w:styleId="CommentText">
    <w:name w:val="annotation text"/>
    <w:basedOn w:val="Normal"/>
    <w:link w:val="CommentTextChar"/>
    <w:uiPriority w:val="99"/>
    <w:unhideWhenUsed/>
    <w:rsid w:val="009606E7"/>
    <w:pPr>
      <w:spacing w:line="240" w:lineRule="auto"/>
    </w:pPr>
    <w:rPr>
      <w:sz w:val="20"/>
      <w:szCs w:val="20"/>
    </w:rPr>
  </w:style>
  <w:style w:type="character" w:customStyle="1" w:styleId="CommentTextChar">
    <w:name w:val="Comment Text Char"/>
    <w:basedOn w:val="DefaultParagraphFont"/>
    <w:link w:val="CommentText"/>
    <w:uiPriority w:val="99"/>
    <w:rsid w:val="009606E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606E7"/>
    <w:rPr>
      <w:b/>
      <w:bCs/>
    </w:rPr>
  </w:style>
  <w:style w:type="character" w:customStyle="1" w:styleId="CommentSubjectChar">
    <w:name w:val="Comment Subject Char"/>
    <w:basedOn w:val="CommentTextChar"/>
    <w:link w:val="CommentSubject"/>
    <w:uiPriority w:val="99"/>
    <w:semiHidden/>
    <w:rsid w:val="009606E7"/>
    <w:rPr>
      <w:rFonts w:ascii="Verdana" w:hAnsi="Verdana"/>
      <w:b/>
      <w:bCs/>
      <w:color w:val="000000"/>
    </w:rPr>
  </w:style>
  <w:style w:type="paragraph" w:styleId="FootnoteText">
    <w:name w:val="footnote text"/>
    <w:basedOn w:val="Normal"/>
    <w:link w:val="FootnoteTextChar"/>
    <w:uiPriority w:val="99"/>
    <w:semiHidden/>
    <w:unhideWhenUsed/>
    <w:rsid w:val="00942624"/>
    <w:pPr>
      <w:spacing w:line="240" w:lineRule="auto"/>
    </w:pPr>
    <w:rPr>
      <w:sz w:val="20"/>
      <w:szCs w:val="20"/>
    </w:rPr>
  </w:style>
  <w:style w:type="character" w:customStyle="1" w:styleId="FootnoteTextChar">
    <w:name w:val="Footnote Text Char"/>
    <w:basedOn w:val="DefaultParagraphFont"/>
    <w:link w:val="FootnoteText"/>
    <w:uiPriority w:val="99"/>
    <w:semiHidden/>
    <w:rsid w:val="00942624"/>
    <w:rPr>
      <w:rFonts w:ascii="Verdana" w:hAnsi="Verdana"/>
      <w:color w:val="000000"/>
    </w:rPr>
  </w:style>
  <w:style w:type="character" w:styleId="FootnoteReference">
    <w:name w:val="footnote reference"/>
    <w:basedOn w:val="DefaultParagraphFont"/>
    <w:uiPriority w:val="99"/>
    <w:semiHidden/>
    <w:unhideWhenUsed/>
    <w:rsid w:val="00942624"/>
    <w:rPr>
      <w:vertAlign w:val="superscript"/>
    </w:rPr>
  </w:style>
  <w:style w:type="character" w:styleId="FollowedHyperlink">
    <w:name w:val="FollowedHyperlink"/>
    <w:basedOn w:val="DefaultParagraphFont"/>
    <w:uiPriority w:val="99"/>
    <w:semiHidden/>
    <w:unhideWhenUsed/>
    <w:rsid w:val="00BE2F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860364">
      <w:bodyDiv w:val="1"/>
      <w:marLeft w:val="0"/>
      <w:marRight w:val="0"/>
      <w:marTop w:val="0"/>
      <w:marBottom w:val="0"/>
      <w:divBdr>
        <w:top w:val="none" w:sz="0" w:space="0" w:color="auto"/>
        <w:left w:val="none" w:sz="0" w:space="0" w:color="auto"/>
        <w:bottom w:val="none" w:sz="0" w:space="0" w:color="auto"/>
        <w:right w:val="none" w:sz="0" w:space="0" w:color="auto"/>
      </w:divBdr>
    </w:div>
    <w:div w:id="1416971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2126</ap:Words>
  <ap:Characters>11699</ap:Characters>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Ontwikkelingen El Fasher Soedan</vt:lpstr>
    </vt:vector>
  </ap:TitlesOfParts>
  <ap:LinksUpToDate>false</ap:LinksUpToDate>
  <ap:CharactersWithSpaces>13798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2025-11-24T16:30:00.0000000Z</dcterms:created>
  <dcterms:modified xsi:type="dcterms:W3CDTF">2025-11-24T16:46:00.0000000Z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c3a8b7c0-af4e-4f21-8293-73061ef903d5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