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E74" w:rsidRDefault="0099555A" w14:paraId="6139BED6" w14:textId="77777777">
      <w:pPr>
        <w:pStyle w:val="StandaardAanhef"/>
      </w:pPr>
      <w:r>
        <w:t>Geachte voorzitter,</w:t>
      </w:r>
    </w:p>
    <w:p w:rsidRPr="00443DFD" w:rsidR="00443DFD" w:rsidP="00443DFD" w:rsidRDefault="00BB0D3B" w14:paraId="7F5AF241" w14:textId="77777777">
      <w:r>
        <w:t xml:space="preserve">Vorige week heb ik met uw </w:t>
      </w:r>
      <w:r w:rsidR="000D5E97">
        <w:t>K</w:t>
      </w:r>
      <w:r>
        <w:t xml:space="preserve">amer tijdens twee </w:t>
      </w:r>
      <w:proofErr w:type="spellStart"/>
      <w:r>
        <w:t>wetgevingsoverleggen</w:t>
      </w:r>
      <w:proofErr w:type="spellEnd"/>
      <w:r>
        <w:t xml:space="preserve"> gedebatteerd over het pakket Belastingplan 2026. </w:t>
      </w:r>
      <w:r w:rsidR="00B609A5">
        <w:t xml:space="preserve">In het tweede wetgevingsoverleg heb ik een aantal toezeggingen gedaan. </w:t>
      </w:r>
      <w:r w:rsidR="00D61D68">
        <w:t xml:space="preserve">In deze </w:t>
      </w:r>
      <w:r w:rsidR="000D5E97">
        <w:t>K</w:t>
      </w:r>
      <w:r w:rsidR="00D61D68">
        <w:t xml:space="preserve">amerbrief zal ik achtereenvolgens ingaan op mijn toezegging voor een vierde nota van wijziging, de appreciaties bij ingediende amendementen en reageer ik schriftelijk op de vragen over het </w:t>
      </w:r>
      <w:r w:rsidRPr="00D61D68" w:rsidR="00D61D68">
        <w:t>afvalmaatregelenpakket en de actuele stand van zaken rond mogelijke alternatieven</w:t>
      </w:r>
      <w:r w:rsidR="00D61D68">
        <w:t xml:space="preserve">. </w:t>
      </w:r>
    </w:p>
    <w:p w:rsidR="00320935" w:rsidP="00320935" w:rsidRDefault="00320935" w14:paraId="5F0C91A3" w14:textId="77777777"/>
    <w:p w:rsidRPr="002963B5" w:rsidR="00320935" w:rsidP="00320935" w:rsidRDefault="002963B5" w14:paraId="003BF4F5" w14:textId="77777777">
      <w:pPr>
        <w:rPr>
          <w:i/>
          <w:iCs/>
        </w:rPr>
      </w:pPr>
      <w:r>
        <w:rPr>
          <w:i/>
          <w:iCs/>
        </w:rPr>
        <w:t xml:space="preserve">Nota van wijziging </w:t>
      </w:r>
    </w:p>
    <w:p w:rsidR="00717411" w:rsidP="00717411" w:rsidRDefault="006E1754" w14:paraId="17310D35" w14:textId="77777777">
      <w:r>
        <w:t>Hierbij stuur ik u de</w:t>
      </w:r>
      <w:r w:rsidR="00717411">
        <w:t xml:space="preserve"> vierde</w:t>
      </w:r>
      <w:r>
        <w:t xml:space="preserve"> nota van wijziging op het wetsvoorstel Belastingplan 2026. </w:t>
      </w:r>
      <w:r w:rsidR="00717411">
        <w:t xml:space="preserve">Op grond van de Wet aanpassing fiscale bedrijfsopvolgingsfaciliteiten 2025 (WAFB 2025) treden twee maatregelen uit de Wet aanpassing fiscale </w:t>
      </w:r>
    </w:p>
    <w:p w:rsidR="00717411" w:rsidP="00717411" w:rsidRDefault="00717411" w14:paraId="4FD4788E" w14:textId="77777777">
      <w:proofErr w:type="gramStart"/>
      <w:r>
        <w:t>bedrijfsopvolgingsfaciliteiten</w:t>
      </w:r>
      <w:proofErr w:type="gramEnd"/>
      <w:r>
        <w:t xml:space="preserve"> 2024 (WAFB 2024) en een maatregel uit de WAFB </w:t>
      </w:r>
    </w:p>
    <w:p w:rsidR="006E1754" w:rsidP="006E1754" w:rsidRDefault="00717411" w14:paraId="2521C0AD" w14:textId="77777777">
      <w:r>
        <w:t xml:space="preserve">2025 tegelijkertijd in werking op een bij koninklijk besluit te bepalen tijdstip. In de nota naar aanleiding van het verslag van het Belastingplan 2026 heeft het </w:t>
      </w:r>
      <w:proofErr w:type="gramStart"/>
      <w:r>
        <w:t>kabinet</w:t>
      </w:r>
      <w:proofErr w:type="gramEnd"/>
      <w:r>
        <w:t xml:space="preserve"> laten weten deze drie maatregelen niet in werking te laten treden</w:t>
      </w:r>
      <w:r>
        <w:rPr>
          <w:rStyle w:val="Voetnootmarkering"/>
        </w:rPr>
        <w:footnoteReference w:id="1"/>
      </w:r>
      <w:r>
        <w:t xml:space="preserve">. Daarom worden met deze nota van wijziging in het wetsvoorstel twee artikelen opgenomen die beogen deze maatregelen uit genoemde wetten te halen. </w:t>
      </w:r>
    </w:p>
    <w:p w:rsidR="00945DB1" w:rsidP="006E1754" w:rsidRDefault="00945DB1" w14:paraId="1AE977C7" w14:textId="77777777"/>
    <w:p w:rsidRPr="002963B5" w:rsidR="002963B5" w:rsidP="006E1754" w:rsidRDefault="002963B5" w14:paraId="09A4D959" w14:textId="77777777">
      <w:pPr>
        <w:rPr>
          <w:i/>
          <w:iCs/>
        </w:rPr>
      </w:pPr>
      <w:r>
        <w:rPr>
          <w:i/>
          <w:iCs/>
        </w:rPr>
        <w:t>Appreciaties amendementen</w:t>
      </w:r>
    </w:p>
    <w:p w:rsidR="0099555A" w:rsidP="006E1754" w:rsidRDefault="003A408B" w14:paraId="1432ECD3" w14:textId="77777777">
      <w:r>
        <w:t xml:space="preserve">Bij deze brief stuur ik </w:t>
      </w:r>
      <w:r w:rsidR="00187BF9">
        <w:t xml:space="preserve">ook </w:t>
      </w:r>
      <w:r>
        <w:t xml:space="preserve">de appreciaties op de ingediende amendementen. Ik wens uw Kamer zo volledig mogelijk te informeren en heb daarom zoveel mogelijk de ingediende amendementen voorzien van appreciatie, toelichting en een </w:t>
      </w:r>
      <w:proofErr w:type="spellStart"/>
      <w:r>
        <w:t>quickscan</w:t>
      </w:r>
      <w:proofErr w:type="spellEnd"/>
      <w:r>
        <w:t xml:space="preserve"> op uitvoerbaarheid. Omwille van de tijd was het echter niet mogelijk amendementen bij deze brief te betrekken die ingediend zijn na vrijdag 21 november 16:00 uur. Uiterlijk donderdagochtend 27 november a.s. volgt – zoals gebruikelijk – voor aanvang van de stemmingen een Kamerbrief. Hierin zal ik ook de overige amendementen</w:t>
      </w:r>
      <w:r w:rsidR="000D5E97">
        <w:t xml:space="preserve"> </w:t>
      </w:r>
      <w:r>
        <w:t>appreciëren</w:t>
      </w:r>
      <w:r w:rsidR="000D5E97">
        <w:t>,</w:t>
      </w:r>
      <w:r w:rsidRPr="000D5E97" w:rsidR="000D5E97">
        <w:t xml:space="preserve"> inclusief </w:t>
      </w:r>
      <w:proofErr w:type="spellStart"/>
      <w:r w:rsidRPr="000D5E97" w:rsidR="000D5E97">
        <w:t>quickscan</w:t>
      </w:r>
      <w:r w:rsidR="000D5E97">
        <w:t>s</w:t>
      </w:r>
      <w:proofErr w:type="spellEnd"/>
      <w:r w:rsidRPr="000D5E97" w:rsidR="000D5E97">
        <w:t xml:space="preserve"> op uitvoerbaarheid, </w:t>
      </w:r>
      <w:r>
        <w:t xml:space="preserve">en zal ik ingaan op de ingediende moties. </w:t>
      </w:r>
    </w:p>
    <w:p w:rsidR="00982E53" w:rsidP="006E1754" w:rsidRDefault="00982E53" w14:paraId="00B404B1" w14:textId="77777777"/>
    <w:p w:rsidR="000D5E97" w:rsidP="006E1754" w:rsidRDefault="000D5E97" w14:paraId="1524A9F5" w14:textId="77777777"/>
    <w:p w:rsidR="000D5E97" w:rsidP="006E1754" w:rsidRDefault="000D5E97" w14:paraId="3A98E390" w14:textId="77777777"/>
    <w:p w:rsidRPr="002963B5" w:rsidR="002963B5" w:rsidP="006E1754" w:rsidRDefault="002963B5" w14:paraId="165EDC33" w14:textId="77777777">
      <w:pPr>
        <w:rPr>
          <w:i/>
          <w:iCs/>
        </w:rPr>
      </w:pPr>
      <w:r>
        <w:rPr>
          <w:i/>
          <w:iCs/>
        </w:rPr>
        <w:lastRenderedPageBreak/>
        <w:t>Toezegging afvalstoffenbelasting</w:t>
      </w:r>
    </w:p>
    <w:p w:rsidRPr="00482170" w:rsidR="00482170" w:rsidP="00482170" w:rsidRDefault="00482170" w14:paraId="50325A42" w14:textId="77777777">
      <w:pPr>
        <w:rPr>
          <w:iCs/>
        </w:rPr>
      </w:pPr>
      <w:r w:rsidRPr="00482170">
        <w:rPr>
          <w:iCs/>
        </w:rPr>
        <w:t>Gedurende de parlementaire behandeling van het Belastingplan 2026 heeft uw Kamer verzocht om een schriftelijke reactie op het afvalmaatregelenpakket en de actuele stand van zaken rond mogelijke alternatieven. Na het besluit om de polymerenheffing niet in te voeren, was het noodzakelijk om de daarmee gemoeide budgettaire derving van € 567 miljoen elders te dekken. Het kabinet heeft voorgesteld deze derving op te vangen binnen de afvalsector. Om dit te realiseren zijn de volgende alternatieve maatregelen voorgesteld:</w:t>
      </w:r>
    </w:p>
    <w:p w:rsidR="00482170" w:rsidP="00482170" w:rsidRDefault="00482170" w14:paraId="36BD65A0" w14:textId="77777777">
      <w:pPr>
        <w:rPr>
          <w:iCs/>
        </w:rPr>
      </w:pPr>
    </w:p>
    <w:p w:rsidRPr="00482170" w:rsidR="00482170" w:rsidP="00482170" w:rsidRDefault="00482170" w14:paraId="1AF08830" w14:textId="77777777">
      <w:pPr>
        <w:rPr>
          <w:i/>
          <w:sz w:val="16"/>
          <w:szCs w:val="16"/>
        </w:rPr>
      </w:pPr>
      <w:r w:rsidRPr="00482170">
        <w:rPr>
          <w:i/>
          <w:sz w:val="16"/>
          <w:szCs w:val="16"/>
        </w:rPr>
        <w:t xml:space="preserve">Tabel 1: Maatregelen </w:t>
      </w:r>
      <w:proofErr w:type="spellStart"/>
      <w:r w:rsidRPr="00482170">
        <w:rPr>
          <w:i/>
          <w:sz w:val="16"/>
          <w:szCs w:val="16"/>
        </w:rPr>
        <w:t>AVI’s</w:t>
      </w:r>
      <w:proofErr w:type="spellEnd"/>
      <w:r w:rsidRPr="00482170">
        <w:rPr>
          <w:i/>
          <w:sz w:val="16"/>
          <w:szCs w:val="16"/>
        </w:rPr>
        <w:t xml:space="preserve"> (afvalverbrandingsinstallaties)</w:t>
      </w:r>
    </w:p>
    <w:tbl>
      <w:tblPr>
        <w:tblW w:w="8791" w:type="dxa"/>
        <w:tblCellMar>
          <w:left w:w="0" w:type="dxa"/>
          <w:right w:w="0" w:type="dxa"/>
        </w:tblCellMar>
        <w:tblLook w:val="04A0" w:firstRow="1" w:lastRow="0" w:firstColumn="1" w:lastColumn="0" w:noHBand="0" w:noVBand="1"/>
      </w:tblPr>
      <w:tblGrid>
        <w:gridCol w:w="4143"/>
        <w:gridCol w:w="728"/>
        <w:gridCol w:w="1024"/>
        <w:gridCol w:w="1022"/>
        <w:gridCol w:w="1022"/>
        <w:gridCol w:w="852"/>
      </w:tblGrid>
      <w:tr w:rsidRPr="00482170" w:rsidR="00482170" w:rsidTr="00482170" w14:paraId="1091057B" w14:textId="77777777">
        <w:trPr>
          <w:trHeight w:val="34"/>
        </w:trPr>
        <w:tc>
          <w:tcPr>
            <w:tcW w:w="4143" w:type="dxa"/>
            <w:tcBorders>
              <w:top w:val="single" w:color="5B9BD5" w:sz="8" w:space="0"/>
              <w:left w:val="single" w:color="9CC2E5" w:sz="8" w:space="0"/>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18A563D8" w14:textId="77777777">
            <w:pPr>
              <w:rPr>
                <w:iCs/>
                <w:sz w:val="16"/>
                <w:szCs w:val="16"/>
              </w:rPr>
            </w:pPr>
            <w:r w:rsidRPr="00482170">
              <w:rPr>
                <w:b/>
                <w:bCs/>
                <w:i/>
                <w:iCs/>
                <w:sz w:val="16"/>
                <w:szCs w:val="16"/>
                <w:lang w:val="en-US"/>
              </w:rPr>
              <w:t> </w:t>
            </w:r>
          </w:p>
        </w:tc>
        <w:tc>
          <w:tcPr>
            <w:tcW w:w="728"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1BF4171C" w14:textId="77777777">
            <w:pPr>
              <w:rPr>
                <w:iCs/>
                <w:sz w:val="16"/>
                <w:szCs w:val="16"/>
              </w:rPr>
            </w:pPr>
            <w:r w:rsidRPr="00482170">
              <w:rPr>
                <w:b/>
                <w:bCs/>
                <w:iCs/>
                <w:sz w:val="16"/>
                <w:szCs w:val="16"/>
                <w:lang w:val="en-US"/>
              </w:rPr>
              <w:t>2027</w:t>
            </w:r>
          </w:p>
        </w:tc>
        <w:tc>
          <w:tcPr>
            <w:tcW w:w="1024"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7E274524" w14:textId="77777777">
            <w:pPr>
              <w:rPr>
                <w:iCs/>
                <w:sz w:val="16"/>
                <w:szCs w:val="16"/>
              </w:rPr>
            </w:pPr>
            <w:r w:rsidRPr="00482170">
              <w:rPr>
                <w:b/>
                <w:bCs/>
                <w:iCs/>
                <w:sz w:val="16"/>
                <w:szCs w:val="16"/>
                <w:lang w:val="en-US"/>
              </w:rPr>
              <w:t>2028</w:t>
            </w:r>
          </w:p>
        </w:tc>
        <w:tc>
          <w:tcPr>
            <w:tcW w:w="102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43946A38" w14:textId="77777777">
            <w:pPr>
              <w:rPr>
                <w:iCs/>
                <w:sz w:val="16"/>
                <w:szCs w:val="16"/>
              </w:rPr>
            </w:pPr>
            <w:r w:rsidRPr="00482170">
              <w:rPr>
                <w:b/>
                <w:bCs/>
                <w:iCs/>
                <w:sz w:val="16"/>
                <w:szCs w:val="16"/>
                <w:lang w:val="en-US"/>
              </w:rPr>
              <w:t>2029</w:t>
            </w:r>
          </w:p>
        </w:tc>
        <w:tc>
          <w:tcPr>
            <w:tcW w:w="102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2FBBAECD" w14:textId="77777777">
            <w:pPr>
              <w:rPr>
                <w:iCs/>
                <w:sz w:val="16"/>
                <w:szCs w:val="16"/>
              </w:rPr>
            </w:pPr>
            <w:r w:rsidRPr="00482170">
              <w:rPr>
                <w:b/>
                <w:bCs/>
                <w:iCs/>
                <w:sz w:val="16"/>
                <w:szCs w:val="16"/>
                <w:lang w:val="en-US"/>
              </w:rPr>
              <w:t>2030</w:t>
            </w:r>
          </w:p>
        </w:tc>
        <w:tc>
          <w:tcPr>
            <w:tcW w:w="85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482170" w:rsidR="00482170" w:rsidP="00482170" w:rsidRDefault="00482170" w14:paraId="4E2DBAC0" w14:textId="77777777">
            <w:pPr>
              <w:rPr>
                <w:iCs/>
                <w:sz w:val="16"/>
                <w:szCs w:val="16"/>
              </w:rPr>
            </w:pPr>
            <w:r w:rsidRPr="00482170">
              <w:rPr>
                <w:b/>
                <w:bCs/>
                <w:iCs/>
                <w:sz w:val="16"/>
                <w:szCs w:val="16"/>
                <w:lang w:val="en-US"/>
              </w:rPr>
              <w:t>2035/</w:t>
            </w:r>
          </w:p>
          <w:p w:rsidRPr="00482170" w:rsidR="00482170" w:rsidP="00482170" w:rsidRDefault="00482170" w14:paraId="4B622E24" w14:textId="77777777">
            <w:pPr>
              <w:rPr>
                <w:iCs/>
                <w:sz w:val="16"/>
                <w:szCs w:val="16"/>
              </w:rPr>
            </w:pPr>
            <w:proofErr w:type="spellStart"/>
            <w:r w:rsidRPr="00482170">
              <w:rPr>
                <w:b/>
                <w:bCs/>
                <w:iCs/>
                <w:sz w:val="16"/>
                <w:szCs w:val="16"/>
                <w:lang w:val="en-US"/>
              </w:rPr>
              <w:t>struc</w:t>
            </w:r>
            <w:proofErr w:type="spellEnd"/>
          </w:p>
        </w:tc>
      </w:tr>
      <w:tr w:rsidRPr="00482170" w:rsidR="00482170" w:rsidTr="00666DDF" w14:paraId="567111B0" w14:textId="77777777">
        <w:trPr>
          <w:trHeight w:val="334"/>
        </w:trPr>
        <w:tc>
          <w:tcPr>
            <w:tcW w:w="4143" w:type="dxa"/>
            <w:tcBorders>
              <w:top w:val="single" w:color="9CC2E5" w:sz="8" w:space="0"/>
              <w:left w:val="single" w:color="9CC2E5" w:sz="8" w:space="0"/>
              <w:bottom w:val="single" w:color="9CC2E5" w:sz="8" w:space="0"/>
              <w:right w:val="nil"/>
            </w:tcBorders>
            <w:tcMar>
              <w:top w:w="15" w:type="dxa"/>
              <w:left w:w="108" w:type="dxa"/>
              <w:bottom w:w="0" w:type="dxa"/>
              <w:right w:w="108" w:type="dxa"/>
            </w:tcMar>
            <w:hideMark/>
          </w:tcPr>
          <w:p w:rsidRPr="00482170" w:rsidR="00482170" w:rsidP="00482170" w:rsidRDefault="00482170" w14:paraId="268BF077" w14:textId="77777777">
            <w:pPr>
              <w:numPr>
                <w:ilvl w:val="0"/>
                <w:numId w:val="9"/>
              </w:numPr>
              <w:rPr>
                <w:iCs/>
                <w:sz w:val="16"/>
                <w:szCs w:val="16"/>
              </w:rPr>
            </w:pPr>
            <w:r w:rsidRPr="00482170">
              <w:rPr>
                <w:iCs/>
                <w:sz w:val="16"/>
                <w:szCs w:val="16"/>
              </w:rPr>
              <w:t>Hervormingen afvalstoffenbelasting</w:t>
            </w:r>
          </w:p>
        </w:tc>
        <w:tc>
          <w:tcPr>
            <w:tcW w:w="728"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6194C238" w14:textId="77777777">
            <w:pPr>
              <w:rPr>
                <w:iCs/>
                <w:sz w:val="16"/>
                <w:szCs w:val="16"/>
              </w:rPr>
            </w:pPr>
            <w:r w:rsidRPr="00482170">
              <w:rPr>
                <w:iCs/>
                <w:sz w:val="16"/>
                <w:szCs w:val="16"/>
                <w:lang w:val="en-US"/>
              </w:rPr>
              <w:t>1</w:t>
            </w:r>
          </w:p>
        </w:tc>
        <w:tc>
          <w:tcPr>
            <w:tcW w:w="1024"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22EBD901" w14:textId="77777777">
            <w:pPr>
              <w:rPr>
                <w:iCs/>
                <w:sz w:val="16"/>
                <w:szCs w:val="16"/>
              </w:rPr>
            </w:pPr>
            <w:r w:rsidRPr="00482170">
              <w:rPr>
                <w:iCs/>
                <w:sz w:val="16"/>
                <w:szCs w:val="16"/>
                <w:lang w:val="en-US"/>
              </w:rPr>
              <w:t>1</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4CF0BC1A" w14:textId="77777777">
            <w:pPr>
              <w:rPr>
                <w:iCs/>
                <w:sz w:val="16"/>
                <w:szCs w:val="16"/>
              </w:rPr>
            </w:pPr>
            <w:r w:rsidRPr="00482170">
              <w:rPr>
                <w:iCs/>
                <w:sz w:val="16"/>
                <w:szCs w:val="16"/>
                <w:lang w:val="en-US"/>
              </w:rPr>
              <w:t>9</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4A6D08E3" w14:textId="77777777">
            <w:pPr>
              <w:rPr>
                <w:iCs/>
                <w:sz w:val="16"/>
                <w:szCs w:val="16"/>
              </w:rPr>
            </w:pPr>
            <w:r w:rsidRPr="00482170">
              <w:rPr>
                <w:iCs/>
                <w:sz w:val="16"/>
                <w:szCs w:val="16"/>
                <w:lang w:val="en-US"/>
              </w:rPr>
              <w:t>11</w:t>
            </w:r>
          </w:p>
        </w:tc>
        <w:tc>
          <w:tcPr>
            <w:tcW w:w="85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53FAC554" w14:textId="77777777">
            <w:pPr>
              <w:rPr>
                <w:iCs/>
                <w:sz w:val="16"/>
                <w:szCs w:val="16"/>
              </w:rPr>
            </w:pPr>
            <w:r w:rsidRPr="00482170">
              <w:rPr>
                <w:iCs/>
                <w:sz w:val="16"/>
                <w:szCs w:val="16"/>
                <w:lang w:val="en-US"/>
              </w:rPr>
              <w:t>14</w:t>
            </w:r>
          </w:p>
        </w:tc>
      </w:tr>
      <w:tr w:rsidRPr="00482170" w:rsidR="00482170" w:rsidTr="00666DDF" w14:paraId="7E32DC41" w14:textId="77777777">
        <w:trPr>
          <w:trHeight w:val="334"/>
        </w:trPr>
        <w:tc>
          <w:tcPr>
            <w:tcW w:w="4143" w:type="dxa"/>
            <w:tcBorders>
              <w:top w:val="single" w:color="9CC2E5" w:sz="8" w:space="0"/>
              <w:left w:val="single" w:color="9CC2E5" w:sz="8" w:space="0"/>
              <w:bottom w:val="single" w:color="9CC2E5" w:sz="8" w:space="0"/>
              <w:right w:val="nil"/>
            </w:tcBorders>
            <w:shd w:val="clear" w:color="auto" w:fill="DEEAF6"/>
            <w:tcMar>
              <w:top w:w="15" w:type="dxa"/>
              <w:left w:w="108" w:type="dxa"/>
              <w:bottom w:w="0" w:type="dxa"/>
              <w:right w:w="108" w:type="dxa"/>
            </w:tcMar>
          </w:tcPr>
          <w:p w:rsidRPr="00482170" w:rsidR="00482170" w:rsidP="00482170" w:rsidRDefault="00482170" w14:paraId="4AC07589" w14:textId="77777777">
            <w:pPr>
              <w:numPr>
                <w:ilvl w:val="0"/>
                <w:numId w:val="9"/>
              </w:numPr>
              <w:rPr>
                <w:iCs/>
                <w:sz w:val="16"/>
                <w:szCs w:val="16"/>
              </w:rPr>
            </w:pPr>
            <w:r w:rsidRPr="00482170">
              <w:rPr>
                <w:iCs/>
                <w:sz w:val="16"/>
                <w:szCs w:val="16"/>
              </w:rPr>
              <w:t>Aanscherpingen CO</w:t>
            </w:r>
            <w:r w:rsidRPr="00482170">
              <w:rPr>
                <w:iCs/>
                <w:sz w:val="16"/>
                <w:szCs w:val="16"/>
                <w:vertAlign w:val="subscript"/>
              </w:rPr>
              <w:t>2</w:t>
            </w:r>
            <w:r w:rsidRPr="00482170">
              <w:rPr>
                <w:iCs/>
                <w:sz w:val="16"/>
                <w:szCs w:val="16"/>
              </w:rPr>
              <w:t>-heffing industrie, inclusief afschaffing terugsluis</w:t>
            </w:r>
          </w:p>
        </w:tc>
        <w:tc>
          <w:tcPr>
            <w:tcW w:w="728"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5469F87D" w14:textId="77777777">
            <w:pPr>
              <w:rPr>
                <w:iCs/>
                <w:sz w:val="16"/>
                <w:szCs w:val="16"/>
              </w:rPr>
            </w:pPr>
            <w:r w:rsidRPr="00482170">
              <w:rPr>
                <w:iCs/>
                <w:sz w:val="16"/>
                <w:szCs w:val="16"/>
                <w:lang w:val="en-US"/>
              </w:rPr>
              <w:t>106</w:t>
            </w:r>
          </w:p>
        </w:tc>
        <w:tc>
          <w:tcPr>
            <w:tcW w:w="1024"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006EA696" w14:textId="77777777">
            <w:pPr>
              <w:rPr>
                <w:iCs/>
                <w:sz w:val="16"/>
                <w:szCs w:val="16"/>
              </w:rPr>
            </w:pPr>
            <w:r w:rsidRPr="00482170">
              <w:rPr>
                <w:iCs/>
                <w:sz w:val="16"/>
                <w:szCs w:val="16"/>
                <w:lang w:val="en-US"/>
              </w:rPr>
              <w:t>174</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2FF96D6F" w14:textId="77777777">
            <w:pPr>
              <w:rPr>
                <w:iCs/>
                <w:sz w:val="16"/>
                <w:szCs w:val="16"/>
              </w:rPr>
            </w:pPr>
            <w:r w:rsidRPr="00482170">
              <w:rPr>
                <w:iCs/>
                <w:sz w:val="16"/>
                <w:szCs w:val="16"/>
                <w:lang w:val="en-US"/>
              </w:rPr>
              <w:t>275</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0EE803DC" w14:textId="77777777">
            <w:pPr>
              <w:rPr>
                <w:iCs/>
                <w:sz w:val="16"/>
                <w:szCs w:val="16"/>
              </w:rPr>
            </w:pPr>
            <w:r w:rsidRPr="00482170">
              <w:rPr>
                <w:iCs/>
                <w:sz w:val="16"/>
                <w:szCs w:val="16"/>
                <w:lang w:val="en-US"/>
              </w:rPr>
              <w:t xml:space="preserve">206 </w:t>
            </w:r>
          </w:p>
        </w:tc>
        <w:tc>
          <w:tcPr>
            <w:tcW w:w="85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75E8C74D" w14:textId="77777777">
            <w:pPr>
              <w:rPr>
                <w:iCs/>
                <w:sz w:val="16"/>
                <w:szCs w:val="16"/>
              </w:rPr>
            </w:pPr>
            <w:r w:rsidRPr="00482170">
              <w:rPr>
                <w:iCs/>
                <w:sz w:val="16"/>
                <w:szCs w:val="16"/>
                <w:lang w:val="en-US"/>
              </w:rPr>
              <w:t xml:space="preserve"> 270 </w:t>
            </w:r>
          </w:p>
        </w:tc>
      </w:tr>
      <w:tr w:rsidRPr="00482170" w:rsidR="00482170" w:rsidTr="00666DDF" w14:paraId="06795887" w14:textId="77777777">
        <w:trPr>
          <w:trHeight w:val="334"/>
        </w:trPr>
        <w:tc>
          <w:tcPr>
            <w:tcW w:w="4143" w:type="dxa"/>
            <w:tcBorders>
              <w:top w:val="single" w:color="9CC2E5" w:sz="8" w:space="0"/>
              <w:left w:val="single" w:color="9CC2E5" w:sz="8" w:space="0"/>
              <w:bottom w:val="single" w:color="9CC2E5" w:sz="8" w:space="0"/>
              <w:right w:val="nil"/>
            </w:tcBorders>
            <w:tcMar>
              <w:top w:w="15" w:type="dxa"/>
              <w:left w:w="108" w:type="dxa"/>
              <w:bottom w:w="0" w:type="dxa"/>
              <w:right w:w="108" w:type="dxa"/>
            </w:tcMar>
          </w:tcPr>
          <w:p w:rsidRPr="00482170" w:rsidR="00482170" w:rsidP="00482170" w:rsidRDefault="00482170" w14:paraId="003894D7" w14:textId="77777777">
            <w:pPr>
              <w:numPr>
                <w:ilvl w:val="0"/>
                <w:numId w:val="9"/>
              </w:numPr>
              <w:rPr>
                <w:iCs/>
                <w:sz w:val="16"/>
                <w:szCs w:val="16"/>
              </w:rPr>
            </w:pPr>
            <w:r w:rsidRPr="00482170">
              <w:rPr>
                <w:iCs/>
                <w:sz w:val="16"/>
                <w:szCs w:val="16"/>
              </w:rPr>
              <w:t>Tariefsverhoging Afvalstoffenbelasting</w:t>
            </w:r>
          </w:p>
        </w:tc>
        <w:tc>
          <w:tcPr>
            <w:tcW w:w="728"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15B2ACE3" w14:textId="77777777">
            <w:pPr>
              <w:rPr>
                <w:iCs/>
                <w:sz w:val="16"/>
                <w:szCs w:val="16"/>
              </w:rPr>
            </w:pPr>
            <w:r w:rsidRPr="00482170">
              <w:rPr>
                <w:iCs/>
                <w:sz w:val="16"/>
                <w:szCs w:val="16"/>
              </w:rPr>
              <w:t> </w:t>
            </w:r>
          </w:p>
        </w:tc>
        <w:tc>
          <w:tcPr>
            <w:tcW w:w="1024"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029F3D76" w14:textId="77777777">
            <w:pPr>
              <w:rPr>
                <w:iCs/>
                <w:sz w:val="16"/>
                <w:szCs w:val="16"/>
              </w:rPr>
            </w:pPr>
            <w:r w:rsidRPr="00482170">
              <w:rPr>
                <w:iCs/>
                <w:sz w:val="16"/>
                <w:szCs w:val="16"/>
                <w:lang w:val="en-US"/>
              </w:rPr>
              <w:t xml:space="preserve">285 </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3205942B" w14:textId="77777777">
            <w:pPr>
              <w:rPr>
                <w:iCs/>
                <w:sz w:val="16"/>
                <w:szCs w:val="16"/>
              </w:rPr>
            </w:pPr>
            <w:r w:rsidRPr="00482170">
              <w:rPr>
                <w:iCs/>
                <w:sz w:val="16"/>
                <w:szCs w:val="16"/>
                <w:lang w:val="en-US"/>
              </w:rPr>
              <w:t xml:space="preserve"> 283 </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1B11F96B" w14:textId="77777777">
            <w:pPr>
              <w:rPr>
                <w:iCs/>
                <w:sz w:val="16"/>
                <w:szCs w:val="16"/>
              </w:rPr>
            </w:pPr>
            <w:r w:rsidRPr="00482170">
              <w:rPr>
                <w:iCs/>
                <w:sz w:val="16"/>
                <w:szCs w:val="16"/>
                <w:lang w:val="en-US"/>
              </w:rPr>
              <w:t xml:space="preserve"> 350 </w:t>
            </w:r>
          </w:p>
        </w:tc>
        <w:tc>
          <w:tcPr>
            <w:tcW w:w="852" w:type="dxa"/>
            <w:tcBorders>
              <w:top w:val="single" w:color="9CC2E5" w:sz="8" w:space="0"/>
              <w:left w:val="nil"/>
              <w:bottom w:val="single" w:color="9CC2E5" w:sz="8" w:space="0"/>
              <w:right w:val="nil"/>
            </w:tcBorders>
            <w:tcMar>
              <w:top w:w="15" w:type="dxa"/>
              <w:left w:w="108" w:type="dxa"/>
              <w:bottom w:w="0" w:type="dxa"/>
              <w:right w:w="108" w:type="dxa"/>
            </w:tcMar>
            <w:hideMark/>
          </w:tcPr>
          <w:p w:rsidRPr="00482170" w:rsidR="00482170" w:rsidP="00482170" w:rsidRDefault="00482170" w14:paraId="1B9A3894" w14:textId="77777777">
            <w:pPr>
              <w:rPr>
                <w:iCs/>
                <w:sz w:val="16"/>
                <w:szCs w:val="16"/>
              </w:rPr>
            </w:pPr>
            <w:r w:rsidRPr="00482170">
              <w:rPr>
                <w:iCs/>
                <w:sz w:val="16"/>
                <w:szCs w:val="16"/>
                <w:lang w:val="en-US"/>
              </w:rPr>
              <w:t xml:space="preserve"> 283 </w:t>
            </w:r>
          </w:p>
        </w:tc>
      </w:tr>
      <w:tr w:rsidRPr="00482170" w:rsidR="00482170" w:rsidTr="00666DDF" w14:paraId="70ABD816" w14:textId="77777777">
        <w:trPr>
          <w:trHeight w:val="334"/>
        </w:trPr>
        <w:tc>
          <w:tcPr>
            <w:tcW w:w="4143" w:type="dxa"/>
            <w:tcBorders>
              <w:top w:val="single" w:color="9CC2E5" w:sz="8" w:space="0"/>
              <w:left w:val="single" w:color="9CC2E5" w:sz="8" w:space="0"/>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7845EB33" w14:textId="77777777">
            <w:pPr>
              <w:rPr>
                <w:sz w:val="16"/>
                <w:szCs w:val="16"/>
              </w:rPr>
            </w:pPr>
            <w:r w:rsidRPr="00482170">
              <w:rPr>
                <w:sz w:val="16"/>
                <w:szCs w:val="16"/>
                <w:lang w:val="en-US"/>
              </w:rPr>
              <w:t>TOTAAL</w:t>
            </w:r>
          </w:p>
        </w:tc>
        <w:tc>
          <w:tcPr>
            <w:tcW w:w="1752" w:type="dxa"/>
            <w:gridSpan w:val="2"/>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2D5CF5E8" w14:textId="77777777">
            <w:pPr>
              <w:rPr>
                <w:iCs/>
                <w:sz w:val="16"/>
                <w:szCs w:val="16"/>
              </w:rPr>
            </w:pPr>
            <w:r w:rsidRPr="00482170">
              <w:rPr>
                <w:b/>
                <w:bCs/>
                <w:iCs/>
                <w:sz w:val="16"/>
                <w:szCs w:val="16"/>
                <w:lang w:val="en-US"/>
              </w:rPr>
              <w:t>567*</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62529694" w14:textId="77777777">
            <w:pPr>
              <w:rPr>
                <w:iCs/>
                <w:sz w:val="16"/>
                <w:szCs w:val="16"/>
              </w:rPr>
            </w:pPr>
            <w:r w:rsidRPr="00482170">
              <w:rPr>
                <w:b/>
                <w:bCs/>
                <w:iCs/>
                <w:sz w:val="16"/>
                <w:szCs w:val="16"/>
                <w:lang w:val="en-US"/>
              </w:rPr>
              <w:t>567</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156788AE" w14:textId="77777777">
            <w:pPr>
              <w:rPr>
                <w:iCs/>
                <w:sz w:val="16"/>
                <w:szCs w:val="16"/>
              </w:rPr>
            </w:pPr>
            <w:r w:rsidRPr="00482170">
              <w:rPr>
                <w:b/>
                <w:bCs/>
                <w:iCs/>
                <w:sz w:val="16"/>
                <w:szCs w:val="16"/>
                <w:lang w:val="en-US"/>
              </w:rPr>
              <w:t>567</w:t>
            </w:r>
          </w:p>
        </w:tc>
        <w:tc>
          <w:tcPr>
            <w:tcW w:w="85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482170" w:rsidR="00482170" w:rsidP="00482170" w:rsidRDefault="00482170" w14:paraId="3FF337AE" w14:textId="77777777">
            <w:pPr>
              <w:rPr>
                <w:iCs/>
                <w:sz w:val="16"/>
                <w:szCs w:val="16"/>
              </w:rPr>
            </w:pPr>
            <w:r w:rsidRPr="00482170">
              <w:rPr>
                <w:b/>
                <w:bCs/>
                <w:iCs/>
                <w:sz w:val="16"/>
                <w:szCs w:val="16"/>
                <w:lang w:val="en-US"/>
              </w:rPr>
              <w:t>567</w:t>
            </w:r>
          </w:p>
        </w:tc>
      </w:tr>
    </w:tbl>
    <w:p w:rsidRPr="00482170" w:rsidR="00482170" w:rsidP="00482170" w:rsidRDefault="00482170" w14:paraId="0B8DC7F2" w14:textId="77777777">
      <w:pPr>
        <w:rPr>
          <w:iCs/>
        </w:rPr>
      </w:pPr>
    </w:p>
    <w:p w:rsidRPr="00482170" w:rsidR="00482170" w:rsidP="00482170" w:rsidRDefault="00482170" w14:paraId="593C3D71" w14:textId="77777777">
      <w:pPr>
        <w:rPr>
          <w:iCs/>
        </w:rPr>
      </w:pPr>
    </w:p>
    <w:p w:rsidRPr="00482170" w:rsidR="00482170" w:rsidP="00482170" w:rsidRDefault="00482170" w14:paraId="770E1088" w14:textId="77777777">
      <w:pPr>
        <w:numPr>
          <w:ilvl w:val="0"/>
          <w:numId w:val="7"/>
        </w:numPr>
        <w:rPr>
          <w:iCs/>
        </w:rPr>
      </w:pPr>
      <w:r w:rsidRPr="00482170">
        <w:rPr>
          <w:iCs/>
        </w:rPr>
        <w:t>Hervormingen binnen de afvalstoffenbelasting (geen technische invulling):</w:t>
      </w:r>
    </w:p>
    <w:p w:rsidRPr="00482170" w:rsidR="00482170" w:rsidP="00482170" w:rsidRDefault="00482170" w14:paraId="719D349A" w14:textId="77777777">
      <w:pPr>
        <w:numPr>
          <w:ilvl w:val="1"/>
          <w:numId w:val="7"/>
        </w:numPr>
        <w:rPr>
          <w:iCs/>
        </w:rPr>
      </w:pPr>
      <w:r w:rsidRPr="00482170">
        <w:rPr>
          <w:iCs/>
        </w:rPr>
        <w:t>De vrijstelling voor zuiveringsslib wordt afgeschaft voor afvalverbrandingsinstallaties (</w:t>
      </w:r>
      <w:proofErr w:type="spellStart"/>
      <w:r w:rsidRPr="00482170">
        <w:rPr>
          <w:iCs/>
        </w:rPr>
        <w:t>AVI’s</w:t>
      </w:r>
      <w:proofErr w:type="spellEnd"/>
      <w:r w:rsidRPr="00482170">
        <w:rPr>
          <w:iCs/>
        </w:rPr>
        <w:t>). Over zuiveringsslib dat wordt aangeboden bij speciale slibverbrandingsinstallaties is geen afvalstoffenbelasting verschuldigd. Dit resulteert in een structurele opbrengst van € 1 mln. vanaf 2027. (</w:t>
      </w:r>
      <w:proofErr w:type="gramStart"/>
      <w:r w:rsidRPr="00482170">
        <w:rPr>
          <w:iCs/>
        </w:rPr>
        <w:t>per</w:t>
      </w:r>
      <w:proofErr w:type="gramEnd"/>
      <w:r w:rsidRPr="00482170">
        <w:rPr>
          <w:iCs/>
        </w:rPr>
        <w:t xml:space="preserve"> 2027);</w:t>
      </w:r>
    </w:p>
    <w:p w:rsidRPr="00482170" w:rsidR="00482170" w:rsidP="00482170" w:rsidRDefault="00482170" w14:paraId="36F7FA3F" w14:textId="77777777">
      <w:pPr>
        <w:numPr>
          <w:ilvl w:val="1"/>
          <w:numId w:val="7"/>
        </w:numPr>
        <w:rPr>
          <w:iCs/>
        </w:rPr>
      </w:pPr>
      <w:r w:rsidRPr="00482170">
        <w:rPr>
          <w:iCs/>
        </w:rPr>
        <w:t>Een nieuw tarief voor het storten met ontheffing wordt geïntroduceerd (per 2029). Dit heeft als doel te waarborgen dat storten niet fiscaal gunstiger wordt behandeld dan verbranden. Dit resulteert in een structurele opbrengst van € 13 mln. vanaf 2035.</w:t>
      </w:r>
    </w:p>
    <w:p w:rsidRPr="00482170" w:rsidR="00482170" w:rsidP="00482170" w:rsidRDefault="00482170" w14:paraId="624817EE" w14:textId="77777777">
      <w:pPr>
        <w:numPr>
          <w:ilvl w:val="0"/>
          <w:numId w:val="7"/>
        </w:numPr>
        <w:rPr>
          <w:iCs/>
        </w:rPr>
      </w:pPr>
      <w:r w:rsidRPr="00482170">
        <w:rPr>
          <w:iCs/>
        </w:rPr>
        <w:t>Technische invulling:</w:t>
      </w:r>
    </w:p>
    <w:p w:rsidRPr="00482170" w:rsidR="00482170" w:rsidP="00482170" w:rsidRDefault="00482170" w14:paraId="02CAE586" w14:textId="77777777">
      <w:pPr>
        <w:numPr>
          <w:ilvl w:val="1"/>
          <w:numId w:val="7"/>
        </w:numPr>
        <w:rPr>
          <w:iCs/>
        </w:rPr>
      </w:pPr>
      <w:r w:rsidRPr="00482170">
        <w:rPr>
          <w:iCs/>
        </w:rPr>
        <w:t>Een generieke verhoging van het tarief van de afvalstoffenbelasting van € 39,71 in 2027 naar € 113,81 vanaf 2035. Dit resulteert in een structurele opbrengst van € 283 mln. vanaf 2035.</w:t>
      </w:r>
    </w:p>
    <w:p w:rsidRPr="00482170" w:rsidR="00482170" w:rsidP="00482170" w:rsidRDefault="00482170" w14:paraId="3CD3F3E9" w14:textId="77777777">
      <w:pPr>
        <w:numPr>
          <w:ilvl w:val="1"/>
          <w:numId w:val="7"/>
        </w:numPr>
        <w:rPr>
          <w:iCs/>
        </w:rPr>
      </w:pPr>
      <w:r w:rsidRPr="00482170">
        <w:rPr>
          <w:iCs/>
        </w:rPr>
        <w:t xml:space="preserve">Inzet van de budgettaire terugsluis van de opbrengst uit de CO2-heffing voor afvalverbrandingsinstallaties (AVI). </w:t>
      </w:r>
    </w:p>
    <w:p w:rsidRPr="00482170" w:rsidR="00482170" w:rsidP="00482170" w:rsidRDefault="00482170" w14:paraId="2A410E43" w14:textId="77777777">
      <w:pPr>
        <w:numPr>
          <w:ilvl w:val="1"/>
          <w:numId w:val="7"/>
        </w:numPr>
        <w:rPr>
          <w:iCs/>
        </w:rPr>
      </w:pPr>
      <w:r w:rsidRPr="00482170">
        <w:rPr>
          <w:iCs/>
        </w:rPr>
        <w:t xml:space="preserve">Aanscherping van de CO2-heffing voor </w:t>
      </w:r>
      <w:proofErr w:type="spellStart"/>
      <w:r w:rsidRPr="00482170">
        <w:rPr>
          <w:iCs/>
        </w:rPr>
        <w:t>AVI’s</w:t>
      </w:r>
      <w:proofErr w:type="spellEnd"/>
      <w:r w:rsidRPr="00482170">
        <w:rPr>
          <w:iCs/>
        </w:rPr>
        <w:t xml:space="preserve">. Het tarief gaat stapsgewijs naar € 295 per ton CO2 in 2030. De dispensatierechten (vrijgestelde uitstoot) die </w:t>
      </w:r>
      <w:proofErr w:type="spellStart"/>
      <w:r w:rsidRPr="00482170">
        <w:rPr>
          <w:iCs/>
        </w:rPr>
        <w:t>AVI’s</w:t>
      </w:r>
      <w:proofErr w:type="spellEnd"/>
      <w:r w:rsidRPr="00482170">
        <w:rPr>
          <w:iCs/>
        </w:rPr>
        <w:t xml:space="preserve"> ontvangen nemen versneld af tussen 2030 en 2033. Vanaf 2033 ontvangen </w:t>
      </w:r>
      <w:proofErr w:type="spellStart"/>
      <w:r w:rsidRPr="00482170">
        <w:rPr>
          <w:iCs/>
        </w:rPr>
        <w:t>AVI’s</w:t>
      </w:r>
      <w:proofErr w:type="spellEnd"/>
      <w:r w:rsidRPr="00482170">
        <w:rPr>
          <w:iCs/>
        </w:rPr>
        <w:t xml:space="preserve"> geen dispensatierechten meer.  </w:t>
      </w:r>
    </w:p>
    <w:p w:rsidRPr="00482170" w:rsidR="00482170" w:rsidP="00482170" w:rsidRDefault="00482170" w14:paraId="1CCCD7F0" w14:textId="77777777">
      <w:pPr>
        <w:rPr>
          <w:iCs/>
        </w:rPr>
      </w:pPr>
    </w:p>
    <w:p w:rsidRPr="00482170" w:rsidR="00482170" w:rsidP="00482170" w:rsidRDefault="00482170" w14:paraId="7984E37B" w14:textId="77777777">
      <w:pPr>
        <w:rPr>
          <w:iCs/>
        </w:rPr>
      </w:pPr>
      <w:r w:rsidRPr="00482170">
        <w:rPr>
          <w:iCs/>
        </w:rPr>
        <w:t xml:space="preserve">Bij de keuze voor deze technische invulling is nadrukkelijk gekeken naar uitvoerbaarheid en tijdigheid; de dekking moet per 2028 gerealiseerd worden en parameteraanpassingen zijn het meest tijdig te realiseren en zorgen niet voor een verhoging van de complexiteit van het belastingstelsel. De maatregelen leiden tot hogere kosten voor afvalverwerking en zullen op termijn hoogstwaarschijnlijk resulteren in hogere poorttarieven. Deze lastenverzwaring kan de afvalsector (deels) doorberekenen aan de </w:t>
      </w:r>
      <w:proofErr w:type="spellStart"/>
      <w:r w:rsidRPr="00482170">
        <w:rPr>
          <w:iCs/>
        </w:rPr>
        <w:t>ontdoeners</w:t>
      </w:r>
      <w:proofErr w:type="spellEnd"/>
      <w:r w:rsidRPr="00482170">
        <w:rPr>
          <w:iCs/>
        </w:rPr>
        <w:t xml:space="preserve"> van het afval. Dit geeft </w:t>
      </w:r>
      <w:proofErr w:type="spellStart"/>
      <w:r w:rsidRPr="00482170">
        <w:rPr>
          <w:iCs/>
        </w:rPr>
        <w:t>afvalontdoeners</w:t>
      </w:r>
      <w:proofErr w:type="spellEnd"/>
      <w:r w:rsidRPr="00482170">
        <w:rPr>
          <w:iCs/>
        </w:rPr>
        <w:t xml:space="preserve"> </w:t>
      </w:r>
      <w:r w:rsidRPr="00482170">
        <w:rPr>
          <w:iCs/>
        </w:rPr>
        <w:lastRenderedPageBreak/>
        <w:t xml:space="preserve">een prikkel het aanbod van te verbranden of te storten afval te verminderen. Daarnaast is de kans aannemelijk dat de verhoogde poorttarieven ervoor zorgen dat de import van afval naar Nederland aanzienlijk zal verminderen. Dit beschouwt het kabinet als een wenselijke ontwikkeling. Tot slot is de prikkel tot toepassing van CCS bij </w:t>
      </w:r>
      <w:proofErr w:type="spellStart"/>
      <w:r w:rsidRPr="00482170">
        <w:rPr>
          <w:iCs/>
        </w:rPr>
        <w:t>AVI’s</w:t>
      </w:r>
      <w:proofErr w:type="spellEnd"/>
      <w:r w:rsidRPr="00482170">
        <w:rPr>
          <w:iCs/>
        </w:rPr>
        <w:t xml:space="preserve"> kleiner dan bij ETS1-industrie, omdat de CO₂-heffing enkel het fossiele deel betreft en </w:t>
      </w:r>
      <w:proofErr w:type="gramStart"/>
      <w:r w:rsidRPr="00482170">
        <w:rPr>
          <w:iCs/>
        </w:rPr>
        <w:t>circa</w:t>
      </w:r>
      <w:proofErr w:type="gramEnd"/>
      <w:r w:rsidRPr="00482170">
        <w:rPr>
          <w:iCs/>
        </w:rPr>
        <w:t xml:space="preserve"> </w:t>
      </w:r>
      <w:proofErr w:type="spellStart"/>
      <w:r w:rsidRPr="00482170">
        <w:rPr>
          <w:iCs/>
        </w:rPr>
        <w:t>tweederde</w:t>
      </w:r>
      <w:proofErr w:type="spellEnd"/>
      <w:r w:rsidRPr="00482170">
        <w:rPr>
          <w:iCs/>
        </w:rPr>
        <w:t xml:space="preserve"> van de uitstoot biogeen is. De aanpassingen aan de CO2-heffing voor afvalverbrandingsinstallaties verstevigen de prijsprikkel om CCS(CO</w:t>
      </w:r>
      <w:r w:rsidRPr="00482170">
        <w:rPr>
          <w:iCs/>
          <w:vertAlign w:val="subscript"/>
        </w:rPr>
        <w:t>2</w:t>
      </w:r>
      <w:r w:rsidRPr="00482170">
        <w:rPr>
          <w:iCs/>
        </w:rPr>
        <w:t xml:space="preserve">-afvang) toe te passen. Het Planbureau voor de Leefomgeving raamt in de Klimaat- en Energieverkenning 2025 een extra CO2-reductie als gevolg van de aangescherpte CO2-heffing voor </w:t>
      </w:r>
      <w:proofErr w:type="spellStart"/>
      <w:r w:rsidRPr="00482170">
        <w:rPr>
          <w:iCs/>
        </w:rPr>
        <w:t>AVI’s</w:t>
      </w:r>
      <w:proofErr w:type="spellEnd"/>
      <w:r w:rsidRPr="00482170">
        <w:rPr>
          <w:iCs/>
        </w:rPr>
        <w:t xml:space="preserve">. Tegelijkertijd wijst </w:t>
      </w:r>
      <w:proofErr w:type="spellStart"/>
      <w:r w:rsidRPr="00482170">
        <w:rPr>
          <w:iCs/>
        </w:rPr>
        <w:t>Trinomics</w:t>
      </w:r>
      <w:proofErr w:type="spellEnd"/>
      <w:r w:rsidRPr="00482170">
        <w:rPr>
          <w:iCs/>
        </w:rPr>
        <w:t xml:space="preserve"> erop dat het toepassen van CCS weliswaar rendabeler wordt, maar dat het onzeker is of </w:t>
      </w:r>
      <w:proofErr w:type="spellStart"/>
      <w:r w:rsidRPr="00482170">
        <w:rPr>
          <w:iCs/>
        </w:rPr>
        <w:t>AVI’s</w:t>
      </w:r>
      <w:proofErr w:type="spellEnd"/>
      <w:r w:rsidRPr="00482170">
        <w:rPr>
          <w:iCs/>
        </w:rPr>
        <w:t xml:space="preserve"> in de praktijk daadwerkelijk gaan investeren in CCS. Het totale </w:t>
      </w:r>
      <w:proofErr w:type="spellStart"/>
      <w:r w:rsidRPr="00482170">
        <w:rPr>
          <w:iCs/>
        </w:rPr>
        <w:t>beprijzingspakket</w:t>
      </w:r>
      <w:proofErr w:type="spellEnd"/>
      <w:r w:rsidRPr="00482170">
        <w:rPr>
          <w:iCs/>
        </w:rPr>
        <w:t xml:space="preserve"> (inclusief verhoging afvalstoffenbelasting) leidt namelijk tot minder afvalverbranding, door andere vormen van afvalverwerking, minder import van afval en het risico op meer export van Nederlands afval, wat de business case voor </w:t>
      </w:r>
      <w:proofErr w:type="spellStart"/>
      <w:r w:rsidRPr="00482170">
        <w:rPr>
          <w:iCs/>
        </w:rPr>
        <w:t>AVI’s</w:t>
      </w:r>
      <w:proofErr w:type="spellEnd"/>
      <w:r w:rsidRPr="00482170">
        <w:rPr>
          <w:iCs/>
        </w:rPr>
        <w:t xml:space="preserve"> verslechtert en meer investeringsonzekerheid geeft. Tegenover deze lastenverzwarende maatregelen, staat dat </w:t>
      </w:r>
      <w:proofErr w:type="spellStart"/>
      <w:r w:rsidRPr="00482170">
        <w:rPr>
          <w:iCs/>
        </w:rPr>
        <w:t>AVI’s</w:t>
      </w:r>
      <w:proofErr w:type="spellEnd"/>
      <w:r w:rsidRPr="00482170">
        <w:rPr>
          <w:iCs/>
        </w:rPr>
        <w:t xml:space="preserve"> gebruik kunnen maken van de SDE++, waarmee een groot deel van de onrendabele top van CCS wordt gesubsidieerd. Bij de openstellingsronde van de SDE++ van dit jaar was </w:t>
      </w:r>
      <w:proofErr w:type="gramStart"/>
      <w:r w:rsidRPr="00482170">
        <w:rPr>
          <w:iCs/>
        </w:rPr>
        <w:t>circa</w:t>
      </w:r>
      <w:proofErr w:type="gramEnd"/>
      <w:r w:rsidRPr="00482170">
        <w:rPr>
          <w:iCs/>
        </w:rPr>
        <w:t xml:space="preserve"> acht miljard gereserveerd. Daarnaast heeft het kabinet een intentieverklaring gepubliceerd waarin wordt toegelicht hoe </w:t>
      </w:r>
      <w:proofErr w:type="spellStart"/>
      <w:r w:rsidRPr="00482170">
        <w:rPr>
          <w:iCs/>
        </w:rPr>
        <w:t>AVI’s</w:t>
      </w:r>
      <w:proofErr w:type="spellEnd"/>
      <w:r w:rsidRPr="00482170">
        <w:rPr>
          <w:iCs/>
        </w:rPr>
        <w:t xml:space="preserve"> meer investeringszekerheid kan worden geboden. </w:t>
      </w:r>
    </w:p>
    <w:p w:rsidRPr="00482170" w:rsidR="00482170" w:rsidP="00482170" w:rsidRDefault="00482170" w14:paraId="7A17E8F4" w14:textId="77777777">
      <w:pPr>
        <w:rPr>
          <w:iCs/>
        </w:rPr>
      </w:pPr>
    </w:p>
    <w:p w:rsidRPr="00482170" w:rsidR="00482170" w:rsidP="00482170" w:rsidRDefault="00482170" w14:paraId="0250E1D7" w14:textId="77777777">
      <w:pPr>
        <w:rPr>
          <w:iCs/>
        </w:rPr>
      </w:pPr>
      <w:r w:rsidRPr="00482170">
        <w:rPr>
          <w:iCs/>
        </w:rPr>
        <w:t xml:space="preserve">Het kabinet realiseert zich tegelijkertijd dat deze maatregelen een aanzienlijke lastenverzwaring vormen voor de afvalsector, mede door de maatvoering. In het rapport </w:t>
      </w:r>
      <w:proofErr w:type="spellStart"/>
      <w:r w:rsidRPr="00482170">
        <w:rPr>
          <w:iCs/>
        </w:rPr>
        <w:t>Trinomics</w:t>
      </w:r>
      <w:proofErr w:type="spellEnd"/>
      <w:r w:rsidRPr="00482170">
        <w:rPr>
          <w:iCs/>
        </w:rPr>
        <w:t xml:space="preserve"> wordt ook op gewezen dat er, naast het wegvallen van importstromen, ook sprake kan zijn van een weglekrisico van Nederlands afval naar het buitenland. Het kabinet stelt daarom subsidies ter beschikking om verduurzamingskosten te beperken en het exportrisico te verkleinen </w:t>
      </w:r>
      <w:proofErr w:type="gramStart"/>
      <w:r w:rsidRPr="00482170">
        <w:rPr>
          <w:iCs/>
        </w:rPr>
        <w:t>en  staat</w:t>
      </w:r>
      <w:proofErr w:type="gramEnd"/>
      <w:r w:rsidRPr="00482170">
        <w:rPr>
          <w:iCs/>
        </w:rPr>
        <w:t xml:space="preserve"> daarom open voor alternatieven, mits het past binnen de randvoorwaarden van uitvoerbaarheid</w:t>
      </w:r>
      <w:r w:rsidR="00E34008">
        <w:rPr>
          <w:iCs/>
        </w:rPr>
        <w:t>,</w:t>
      </w:r>
      <w:r w:rsidRPr="00482170">
        <w:rPr>
          <w:iCs/>
        </w:rPr>
        <w:t xml:space="preserve"> de benodigde budgettaire opbrengst</w:t>
      </w:r>
      <w:r w:rsidR="00E34008">
        <w:rPr>
          <w:iCs/>
        </w:rPr>
        <w:t xml:space="preserve"> en de bijdrage aan verduurzaming</w:t>
      </w:r>
      <w:r w:rsidRPr="00482170">
        <w:rPr>
          <w:iCs/>
        </w:rPr>
        <w:t xml:space="preserve">. Op dit moment worden deze mogelijke alternatieven geïnventariseerd in een Werkgroep Afvalsector waarbij de circulaire economie meer wordt bevorderd en bijdraagt aan CO2-reductie. Het kabinet neemt hierin een faciliterende en ondersteunende rol op zich. Hierbij wordt bijzondere aandacht besteed aan de uitvoerbaarheid en de effecten op circulariteit en klimaat. </w:t>
      </w:r>
    </w:p>
    <w:p w:rsidRPr="00482170" w:rsidR="00482170" w:rsidP="00482170" w:rsidRDefault="00482170" w14:paraId="73F498B2" w14:textId="77777777">
      <w:pPr>
        <w:rPr>
          <w:iCs/>
        </w:rPr>
      </w:pPr>
    </w:p>
    <w:p w:rsidRPr="00482170" w:rsidR="00482170" w:rsidP="00482170" w:rsidRDefault="00482170" w14:paraId="0992C939" w14:textId="77777777">
      <w:pPr>
        <w:rPr>
          <w:iCs/>
        </w:rPr>
      </w:pPr>
      <w:r w:rsidRPr="00482170">
        <w:rPr>
          <w:iCs/>
        </w:rPr>
        <w:t>Binnen de Werkgroep Afvalsector worden onder andere de volgende fiscale opties verkend:</w:t>
      </w:r>
    </w:p>
    <w:p w:rsidRPr="00482170" w:rsidR="00482170" w:rsidP="00482170" w:rsidRDefault="00482170" w14:paraId="5F3E511E" w14:textId="77777777">
      <w:pPr>
        <w:numPr>
          <w:ilvl w:val="0"/>
          <w:numId w:val="8"/>
        </w:numPr>
        <w:rPr>
          <w:iCs/>
        </w:rPr>
      </w:pPr>
      <w:r w:rsidRPr="00482170">
        <w:rPr>
          <w:iCs/>
        </w:rPr>
        <w:t>Heffingen op (plastic) verpakkingen;</w:t>
      </w:r>
    </w:p>
    <w:p w:rsidRPr="00482170" w:rsidR="00482170" w:rsidP="00482170" w:rsidRDefault="00482170" w14:paraId="74BADBB0" w14:textId="77777777">
      <w:pPr>
        <w:numPr>
          <w:ilvl w:val="0"/>
          <w:numId w:val="8"/>
        </w:numPr>
        <w:rPr>
          <w:iCs/>
        </w:rPr>
      </w:pPr>
      <w:r w:rsidRPr="00482170">
        <w:rPr>
          <w:iCs/>
        </w:rPr>
        <w:t>Heffingen op de winning van oppervlaktedelfstoffen en het gebruik van turf in producten;</w:t>
      </w:r>
    </w:p>
    <w:p w:rsidRPr="00482170" w:rsidR="00482170" w:rsidP="00482170" w:rsidRDefault="00482170" w14:paraId="3F8AEF71" w14:textId="77777777">
      <w:pPr>
        <w:numPr>
          <w:ilvl w:val="0"/>
          <w:numId w:val="8"/>
        </w:numPr>
        <w:rPr>
          <w:iCs/>
        </w:rPr>
      </w:pPr>
      <w:r w:rsidRPr="00482170">
        <w:rPr>
          <w:iCs/>
        </w:rPr>
        <w:t>Aanpassingen in de bestaande afvalstoffenbelasting, zoals mogelijke uitzonderingen voor recyclingresiduen en de verbreding van de grondslag van de afvalstoffenbelasting.</w:t>
      </w:r>
    </w:p>
    <w:p w:rsidR="00E34008" w:rsidP="00482170" w:rsidRDefault="00E34008" w14:paraId="5010894F" w14:textId="77777777">
      <w:pPr>
        <w:rPr>
          <w:iCs/>
        </w:rPr>
      </w:pPr>
    </w:p>
    <w:p w:rsidR="00E34008" w:rsidP="00482170" w:rsidRDefault="00E34008" w14:paraId="25706B93" w14:textId="77777777">
      <w:pPr>
        <w:rPr>
          <w:iCs/>
        </w:rPr>
      </w:pPr>
      <w:r>
        <w:rPr>
          <w:iCs/>
        </w:rPr>
        <w:t xml:space="preserve">Het eindrapport van de Werkgroep Afvalsector wordt eind december verwacht. </w:t>
      </w:r>
    </w:p>
    <w:p w:rsidRPr="00482170" w:rsidR="00482170" w:rsidP="00482170" w:rsidRDefault="00482170" w14:paraId="64DBB201" w14:textId="77777777">
      <w:pPr>
        <w:rPr>
          <w:iCs/>
        </w:rPr>
      </w:pPr>
      <w:r w:rsidRPr="00482170">
        <w:rPr>
          <w:iCs/>
        </w:rPr>
        <w:t xml:space="preserve">Bij eerdere besluitvorming heeft het kabinet ervoor gekozen om de dekking niet elders in de keten te realiseren, omdat de alternatieven destijds nog onvoldoende waren uitgewerkt met betrekking tot uitvoerbaarheid, een tijdige bijdrage aan de budgettaire opgave en positieve effecten op circulariteit en klimaat. Dit is ook een </w:t>
      </w:r>
      <w:r w:rsidRPr="00482170">
        <w:rPr>
          <w:iCs/>
        </w:rPr>
        <w:lastRenderedPageBreak/>
        <w:t xml:space="preserve">inherent lastige opgave. Het kabinet erkent dat het huidige pakket met deze maatvoering een negatief effect kan hebben op de recyclingactiviteiten doordat het verbranden van recyclingresidu duurder wordt. Naast het traject rondom de Werkgroep Afvalsector onderzoekt het kabinet ook zelfstandig aanvullende alternatieven. Afgelopen zomer zijn daartoe enkele </w:t>
      </w:r>
      <w:proofErr w:type="spellStart"/>
      <w:r w:rsidRPr="00482170">
        <w:rPr>
          <w:iCs/>
        </w:rPr>
        <w:t>quickscans</w:t>
      </w:r>
      <w:proofErr w:type="spellEnd"/>
      <w:r w:rsidRPr="00482170">
        <w:rPr>
          <w:iCs/>
        </w:rPr>
        <w:t xml:space="preserve"> uitgevoerd naar mogelijke nieuwe heffingen, waaronder een heffing op eenmalige plastic verpakkingen en een heffing gericht op het stimuleren van hogere inzameling van drankverpakkingen. De resultaten hiervan zijn in september met uw Kamer gedeeld.</w:t>
      </w:r>
    </w:p>
    <w:p w:rsidR="00482170" w:rsidP="00982E53" w:rsidRDefault="00482170" w14:paraId="5B48B4C4" w14:textId="77777777">
      <w:pPr>
        <w:rPr>
          <w:iCs/>
        </w:rPr>
      </w:pPr>
    </w:p>
    <w:p w:rsidRPr="00982E53" w:rsidR="003D6B92" w:rsidP="00982E53" w:rsidRDefault="00867A91" w14:paraId="0F4BAC55" w14:textId="77777777">
      <w:pPr>
        <w:rPr>
          <w:iCs/>
        </w:rPr>
      </w:pPr>
      <w:r w:rsidRPr="00867A91">
        <w:rPr>
          <w:iCs/>
        </w:rPr>
        <w:t xml:space="preserve">Ik zie ernaar uit met uw Kamer </w:t>
      </w:r>
      <w:r>
        <w:rPr>
          <w:iCs/>
        </w:rPr>
        <w:t>morgen het</w:t>
      </w:r>
      <w:r w:rsidRPr="00867A91">
        <w:rPr>
          <w:iCs/>
        </w:rPr>
        <w:t xml:space="preserve"> debat </w:t>
      </w:r>
      <w:r>
        <w:rPr>
          <w:iCs/>
        </w:rPr>
        <w:t xml:space="preserve">over het </w:t>
      </w:r>
      <w:r w:rsidRPr="00867A91">
        <w:rPr>
          <w:iCs/>
        </w:rPr>
        <w:t xml:space="preserve">pakket Belastingplan 2026 </w:t>
      </w:r>
      <w:r>
        <w:rPr>
          <w:iCs/>
        </w:rPr>
        <w:t xml:space="preserve">voort te zetten </w:t>
      </w:r>
      <w:r w:rsidRPr="00867A91">
        <w:rPr>
          <w:iCs/>
        </w:rPr>
        <w:t>en samen de noodzakelijke aanpassingen van het fiscale stelsel te realiseren.</w:t>
      </w:r>
    </w:p>
    <w:p w:rsidR="002D2E74" w:rsidRDefault="0099555A" w14:paraId="651EE649" w14:textId="77777777">
      <w:pPr>
        <w:pStyle w:val="StandaardSlotzin"/>
      </w:pPr>
      <w:r>
        <w:t>Hoogachtend,</w:t>
      </w:r>
    </w:p>
    <w:p w:rsidR="002D2E74" w:rsidRDefault="002D2E74" w14:paraId="6D755B3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D2E74" w14:paraId="47A7BD1A" w14:textId="77777777">
        <w:tc>
          <w:tcPr>
            <w:tcW w:w="3592" w:type="dxa"/>
          </w:tcPr>
          <w:p w:rsidR="002D2E74" w:rsidRDefault="0099555A" w14:paraId="4A38CE2E"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2D2E74" w:rsidRDefault="002D2E74" w14:paraId="004A90F5" w14:textId="77777777"/>
        </w:tc>
      </w:tr>
      <w:tr w:rsidR="002D2E74" w14:paraId="331BD645" w14:textId="77777777">
        <w:tc>
          <w:tcPr>
            <w:tcW w:w="3592" w:type="dxa"/>
          </w:tcPr>
          <w:p w:rsidR="002D2E74" w:rsidRDefault="002D2E74" w14:paraId="090E6DD6" w14:textId="77777777"/>
        </w:tc>
        <w:tc>
          <w:tcPr>
            <w:tcW w:w="3892" w:type="dxa"/>
          </w:tcPr>
          <w:p w:rsidR="002D2E74" w:rsidRDefault="002D2E74" w14:paraId="09984F03" w14:textId="77777777"/>
        </w:tc>
      </w:tr>
      <w:tr w:rsidR="002D2E74" w14:paraId="2516FA83" w14:textId="77777777">
        <w:tc>
          <w:tcPr>
            <w:tcW w:w="3592" w:type="dxa"/>
          </w:tcPr>
          <w:p w:rsidR="002D2E74" w:rsidRDefault="002D2E74" w14:paraId="4DF7E70A" w14:textId="77777777"/>
        </w:tc>
        <w:tc>
          <w:tcPr>
            <w:tcW w:w="3892" w:type="dxa"/>
          </w:tcPr>
          <w:p w:rsidR="002D2E74" w:rsidRDefault="002D2E74" w14:paraId="3A673988" w14:textId="77777777"/>
        </w:tc>
      </w:tr>
      <w:tr w:rsidR="002D2E74" w14:paraId="371510C3" w14:textId="77777777">
        <w:tc>
          <w:tcPr>
            <w:tcW w:w="3592" w:type="dxa"/>
          </w:tcPr>
          <w:p w:rsidR="002D2E74" w:rsidRDefault="002D2E74" w14:paraId="7D9540D6" w14:textId="77777777"/>
        </w:tc>
        <w:tc>
          <w:tcPr>
            <w:tcW w:w="3892" w:type="dxa"/>
          </w:tcPr>
          <w:p w:rsidR="002D2E74" w:rsidRDefault="002D2E74" w14:paraId="61E55C5C" w14:textId="77777777"/>
        </w:tc>
      </w:tr>
      <w:tr w:rsidR="002D2E74" w14:paraId="57B223F7" w14:textId="77777777">
        <w:tc>
          <w:tcPr>
            <w:tcW w:w="3592" w:type="dxa"/>
          </w:tcPr>
          <w:p w:rsidR="002D2E74" w:rsidRDefault="002D2E74" w14:paraId="3E30CC6D" w14:textId="77777777"/>
        </w:tc>
        <w:tc>
          <w:tcPr>
            <w:tcW w:w="3892" w:type="dxa"/>
          </w:tcPr>
          <w:p w:rsidR="002D2E74" w:rsidRDefault="002D2E74" w14:paraId="711F454A" w14:textId="77777777"/>
        </w:tc>
      </w:tr>
    </w:tbl>
    <w:p w:rsidR="002D2E74" w:rsidRDefault="002D2E74" w14:paraId="681A8CC6" w14:textId="77777777">
      <w:pPr>
        <w:pStyle w:val="WitregelW1bodytekst"/>
      </w:pPr>
    </w:p>
    <w:p w:rsidR="002D2E74" w:rsidRDefault="002D2E74" w14:paraId="5D978429" w14:textId="77777777">
      <w:pPr>
        <w:pStyle w:val="Verdana7"/>
      </w:pPr>
    </w:p>
    <w:sectPr w:rsidR="002D2E7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1F99" w14:textId="77777777" w:rsidR="0099555A" w:rsidRDefault="0099555A">
      <w:pPr>
        <w:spacing w:line="240" w:lineRule="auto"/>
      </w:pPr>
      <w:r>
        <w:separator/>
      </w:r>
    </w:p>
  </w:endnote>
  <w:endnote w:type="continuationSeparator" w:id="0">
    <w:p w14:paraId="68B081A1" w14:textId="77777777" w:rsidR="0099555A" w:rsidRDefault="00995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D073" w14:textId="77777777" w:rsidR="0099555A" w:rsidRDefault="0099555A">
      <w:pPr>
        <w:spacing w:line="240" w:lineRule="auto"/>
      </w:pPr>
      <w:r>
        <w:separator/>
      </w:r>
    </w:p>
  </w:footnote>
  <w:footnote w:type="continuationSeparator" w:id="0">
    <w:p w14:paraId="08018B08" w14:textId="77777777" w:rsidR="0099555A" w:rsidRDefault="0099555A">
      <w:pPr>
        <w:spacing w:line="240" w:lineRule="auto"/>
      </w:pPr>
      <w:r>
        <w:continuationSeparator/>
      </w:r>
    </w:p>
  </w:footnote>
  <w:footnote w:id="1">
    <w:p w14:paraId="51CEC363" w14:textId="77777777" w:rsidR="00717411" w:rsidRPr="00717411" w:rsidRDefault="00717411">
      <w:pPr>
        <w:pStyle w:val="Voetnoottekst"/>
        <w:rPr>
          <w:sz w:val="13"/>
          <w:szCs w:val="13"/>
        </w:rPr>
      </w:pPr>
      <w:r w:rsidRPr="00717411">
        <w:rPr>
          <w:rStyle w:val="Voetnootmarkering"/>
          <w:sz w:val="13"/>
          <w:szCs w:val="13"/>
        </w:rPr>
        <w:footnoteRef/>
      </w:r>
      <w:r w:rsidRPr="00717411">
        <w:rPr>
          <w:sz w:val="13"/>
          <w:szCs w:val="13"/>
        </w:rPr>
        <w:t xml:space="preserve">  Kamerstukken II 2025/26, 36812, nr. 16, p. 116-118.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295E" w14:textId="77777777" w:rsidR="002D2E74" w:rsidRDefault="0099555A">
    <w:r>
      <w:rPr>
        <w:noProof/>
      </w:rPr>
      <mc:AlternateContent>
        <mc:Choice Requires="wps">
          <w:drawing>
            <wp:anchor distT="0" distB="0" distL="0" distR="0" simplePos="0" relativeHeight="251652096" behindDoc="0" locked="1" layoutInCell="1" allowOverlap="1" wp14:anchorId="00215650" wp14:editId="19F8E8D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651D45" w14:textId="77777777" w:rsidR="00AE5EB7" w:rsidRDefault="00AE5EB7">
                          <w:pPr>
                            <w:pStyle w:val="StandaardReferentiegegevens"/>
                          </w:pPr>
                        </w:p>
                      </w:txbxContent>
                    </wps:txbx>
                    <wps:bodyPr vert="horz" wrap="square" lIns="0" tIns="0" rIns="0" bIns="0" anchor="t" anchorCtr="0"/>
                  </wps:wsp>
                </a:graphicData>
              </a:graphic>
            </wp:anchor>
          </w:drawing>
        </mc:Choice>
        <mc:Fallback>
          <w:pict>
            <v:shapetype w14:anchorId="0021565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1651D45" w14:textId="77777777" w:rsidR="00AE5EB7" w:rsidRDefault="00AE5EB7">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D097FA2" wp14:editId="707257E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B951E3" w14:textId="77777777" w:rsidR="00024FE1" w:rsidRDefault="00B03D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097FA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7B951E3" w14:textId="77777777" w:rsidR="00024FE1" w:rsidRDefault="00B03D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DA3141A" wp14:editId="24472BE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CF40873" w14:textId="77777777" w:rsidR="00024FE1" w:rsidRDefault="00B03D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A3141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CF40873" w14:textId="77777777" w:rsidR="00024FE1" w:rsidRDefault="00B03DF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D17A" w14:textId="77777777" w:rsidR="002D2E74" w:rsidRDefault="0099555A">
    <w:pPr>
      <w:spacing w:after="7029" w:line="14" w:lineRule="exact"/>
    </w:pPr>
    <w:r>
      <w:rPr>
        <w:noProof/>
      </w:rPr>
      <mc:AlternateContent>
        <mc:Choice Requires="wps">
          <w:drawing>
            <wp:anchor distT="0" distB="0" distL="0" distR="0" simplePos="0" relativeHeight="251655168" behindDoc="0" locked="1" layoutInCell="1" allowOverlap="1" wp14:anchorId="596BD32C" wp14:editId="189116C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E051648" w14:textId="77777777" w:rsidR="002D2E74" w:rsidRDefault="0099555A">
                          <w:pPr>
                            <w:spacing w:line="240" w:lineRule="auto"/>
                          </w:pPr>
                          <w:r>
                            <w:rPr>
                              <w:noProof/>
                            </w:rPr>
                            <w:drawing>
                              <wp:inline distT="0" distB="0" distL="0" distR="0" wp14:anchorId="60489DAA" wp14:editId="5CD565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6BD32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E051648" w14:textId="77777777" w:rsidR="002D2E74" w:rsidRDefault="0099555A">
                    <w:pPr>
                      <w:spacing w:line="240" w:lineRule="auto"/>
                    </w:pPr>
                    <w:r>
                      <w:rPr>
                        <w:noProof/>
                      </w:rPr>
                      <w:drawing>
                        <wp:inline distT="0" distB="0" distL="0" distR="0" wp14:anchorId="60489DAA" wp14:editId="5CD565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1248BD2" wp14:editId="4214A67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183DC1" w14:textId="77777777" w:rsidR="0099555A" w:rsidRDefault="0099555A"/>
                      </w:txbxContent>
                    </wps:txbx>
                    <wps:bodyPr vert="horz" wrap="square" lIns="0" tIns="0" rIns="0" bIns="0" anchor="t" anchorCtr="0"/>
                  </wps:wsp>
                </a:graphicData>
              </a:graphic>
            </wp:anchor>
          </w:drawing>
        </mc:Choice>
        <mc:Fallback>
          <w:pict>
            <v:shape w14:anchorId="11248BD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183DC1" w14:textId="77777777" w:rsidR="0099555A" w:rsidRDefault="0099555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D441A3F" wp14:editId="28AFC10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996742" w14:textId="77777777" w:rsidR="002D2E74" w:rsidRDefault="0099555A">
                          <w:pPr>
                            <w:pStyle w:val="StandaardReferentiegegevens"/>
                          </w:pPr>
                          <w:r>
                            <w:t>Korte Voorhout 7</w:t>
                          </w:r>
                        </w:p>
                        <w:p w14:paraId="3F1B2824" w14:textId="77777777" w:rsidR="002D2E74" w:rsidRDefault="0099555A">
                          <w:pPr>
                            <w:pStyle w:val="StandaardReferentiegegevens"/>
                          </w:pPr>
                          <w:r>
                            <w:t>2511 CW  Den Haag</w:t>
                          </w:r>
                        </w:p>
                        <w:p w14:paraId="0FDFCCC4" w14:textId="77777777" w:rsidR="002D2E74" w:rsidRDefault="0099555A">
                          <w:pPr>
                            <w:pStyle w:val="StandaardReferentiegegevens"/>
                          </w:pPr>
                          <w:r>
                            <w:t>Postbus 20201</w:t>
                          </w:r>
                        </w:p>
                        <w:p w14:paraId="17BF2CF5" w14:textId="77777777" w:rsidR="002D2E74" w:rsidRDefault="0099555A">
                          <w:pPr>
                            <w:pStyle w:val="StandaardReferentiegegevens"/>
                          </w:pPr>
                          <w:r>
                            <w:t>2500 EE  Den Haag</w:t>
                          </w:r>
                        </w:p>
                        <w:p w14:paraId="1C2C7DDC" w14:textId="77777777" w:rsidR="002D2E74" w:rsidRDefault="0099555A">
                          <w:pPr>
                            <w:pStyle w:val="StandaardReferentiegegevens"/>
                          </w:pPr>
                          <w:proofErr w:type="gramStart"/>
                          <w:r>
                            <w:t>www.rijksoverheid.nl/fin</w:t>
                          </w:r>
                          <w:proofErr w:type="gramEnd"/>
                        </w:p>
                        <w:p w14:paraId="71E52601" w14:textId="77777777" w:rsidR="002D2E74" w:rsidRDefault="002D2E74">
                          <w:pPr>
                            <w:pStyle w:val="WitregelW2"/>
                          </w:pPr>
                        </w:p>
                        <w:p w14:paraId="7EEFE055" w14:textId="77777777" w:rsidR="002D2E74" w:rsidRDefault="0099555A">
                          <w:pPr>
                            <w:pStyle w:val="StandaardReferentiegegevensKop"/>
                          </w:pPr>
                          <w:r>
                            <w:t>Ons kenmerk</w:t>
                          </w:r>
                        </w:p>
                        <w:p w14:paraId="537E1357" w14:textId="77777777" w:rsidR="00024FE1" w:rsidRDefault="00B03DF8">
                          <w:pPr>
                            <w:pStyle w:val="StandaardReferentiegegevens"/>
                          </w:pPr>
                          <w:r>
                            <w:fldChar w:fldCharType="begin"/>
                          </w:r>
                          <w:r>
                            <w:instrText xml:space="preserve"> DOCPROPERTY  "Kenmerk"  \* MERGEFORMAT </w:instrText>
                          </w:r>
                          <w:r>
                            <w:fldChar w:fldCharType="separate"/>
                          </w:r>
                          <w:r>
                            <w:t>2025-0000547879</w:t>
                          </w:r>
                          <w:r>
                            <w:fldChar w:fldCharType="end"/>
                          </w:r>
                        </w:p>
                        <w:p w14:paraId="26B8D131" w14:textId="77777777" w:rsidR="002D2E74" w:rsidRDefault="002D2E74">
                          <w:pPr>
                            <w:pStyle w:val="WitregelW1"/>
                          </w:pPr>
                        </w:p>
                        <w:p w14:paraId="1B3DFD73" w14:textId="77777777" w:rsidR="002D2E74" w:rsidRDefault="0099555A">
                          <w:pPr>
                            <w:pStyle w:val="StandaardReferentiegegevensKop"/>
                          </w:pPr>
                          <w:r>
                            <w:t>Uw brief (kenmerk)</w:t>
                          </w:r>
                        </w:p>
                        <w:p w14:paraId="3430E48B" w14:textId="77777777" w:rsidR="00024FE1" w:rsidRDefault="00B03DF8">
                          <w:pPr>
                            <w:pStyle w:val="StandaardReferentiegegevens"/>
                          </w:pPr>
                          <w:r>
                            <w:fldChar w:fldCharType="begin"/>
                          </w:r>
                          <w:r>
                            <w:instrText xml:space="preserve"> DOCPROPERTY  "UwKenmerk"  \* MERGEFORMAT </w:instrText>
                          </w:r>
                          <w:r>
                            <w:fldChar w:fldCharType="end"/>
                          </w:r>
                        </w:p>
                        <w:p w14:paraId="52BC7213" w14:textId="77777777" w:rsidR="002D2E74" w:rsidRDefault="002D2E74">
                          <w:pPr>
                            <w:pStyle w:val="WitregelW1"/>
                          </w:pPr>
                        </w:p>
                        <w:p w14:paraId="22712AFB" w14:textId="77777777" w:rsidR="002D2E74" w:rsidRDefault="0099555A">
                          <w:pPr>
                            <w:pStyle w:val="StandaardReferentiegegevensKop"/>
                          </w:pPr>
                          <w:r>
                            <w:t>Bijlagen</w:t>
                          </w:r>
                        </w:p>
                        <w:p w14:paraId="6A8A9E1F" w14:textId="77777777" w:rsidR="002D2E74" w:rsidRDefault="002A4A4C">
                          <w:pPr>
                            <w:pStyle w:val="StandaardReferentiegegevens"/>
                          </w:pPr>
                          <w:r>
                            <w:t>1. Vierde nota van wijziging</w:t>
                          </w:r>
                          <w:r>
                            <w:br/>
                            <w:t>2. Appreciaties amendementen</w:t>
                          </w:r>
                        </w:p>
                      </w:txbxContent>
                    </wps:txbx>
                    <wps:bodyPr vert="horz" wrap="square" lIns="0" tIns="0" rIns="0" bIns="0" anchor="t" anchorCtr="0"/>
                  </wps:wsp>
                </a:graphicData>
              </a:graphic>
            </wp:anchor>
          </w:drawing>
        </mc:Choice>
        <mc:Fallback>
          <w:pict>
            <v:shape w14:anchorId="2D441A3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996742" w14:textId="77777777" w:rsidR="002D2E74" w:rsidRDefault="0099555A">
                    <w:pPr>
                      <w:pStyle w:val="StandaardReferentiegegevens"/>
                    </w:pPr>
                    <w:r>
                      <w:t>Korte Voorhout 7</w:t>
                    </w:r>
                  </w:p>
                  <w:p w14:paraId="3F1B2824" w14:textId="77777777" w:rsidR="002D2E74" w:rsidRDefault="0099555A">
                    <w:pPr>
                      <w:pStyle w:val="StandaardReferentiegegevens"/>
                    </w:pPr>
                    <w:r>
                      <w:t>2511 CW  Den Haag</w:t>
                    </w:r>
                  </w:p>
                  <w:p w14:paraId="0FDFCCC4" w14:textId="77777777" w:rsidR="002D2E74" w:rsidRDefault="0099555A">
                    <w:pPr>
                      <w:pStyle w:val="StandaardReferentiegegevens"/>
                    </w:pPr>
                    <w:r>
                      <w:t>Postbus 20201</w:t>
                    </w:r>
                  </w:p>
                  <w:p w14:paraId="17BF2CF5" w14:textId="77777777" w:rsidR="002D2E74" w:rsidRDefault="0099555A">
                    <w:pPr>
                      <w:pStyle w:val="StandaardReferentiegegevens"/>
                    </w:pPr>
                    <w:r>
                      <w:t>2500 EE  Den Haag</w:t>
                    </w:r>
                  </w:p>
                  <w:p w14:paraId="1C2C7DDC" w14:textId="77777777" w:rsidR="002D2E74" w:rsidRDefault="0099555A">
                    <w:pPr>
                      <w:pStyle w:val="StandaardReferentiegegevens"/>
                    </w:pPr>
                    <w:proofErr w:type="gramStart"/>
                    <w:r>
                      <w:t>www.rijksoverheid.nl/fin</w:t>
                    </w:r>
                    <w:proofErr w:type="gramEnd"/>
                  </w:p>
                  <w:p w14:paraId="71E52601" w14:textId="77777777" w:rsidR="002D2E74" w:rsidRDefault="002D2E74">
                    <w:pPr>
                      <w:pStyle w:val="WitregelW2"/>
                    </w:pPr>
                  </w:p>
                  <w:p w14:paraId="7EEFE055" w14:textId="77777777" w:rsidR="002D2E74" w:rsidRDefault="0099555A">
                    <w:pPr>
                      <w:pStyle w:val="StandaardReferentiegegevensKop"/>
                    </w:pPr>
                    <w:r>
                      <w:t>Ons kenmerk</w:t>
                    </w:r>
                  </w:p>
                  <w:p w14:paraId="537E1357" w14:textId="77777777" w:rsidR="00024FE1" w:rsidRDefault="00B03DF8">
                    <w:pPr>
                      <w:pStyle w:val="StandaardReferentiegegevens"/>
                    </w:pPr>
                    <w:r>
                      <w:fldChar w:fldCharType="begin"/>
                    </w:r>
                    <w:r>
                      <w:instrText xml:space="preserve"> DOCPROPERTY  "Kenmerk"  \* MERGEFORMAT </w:instrText>
                    </w:r>
                    <w:r>
                      <w:fldChar w:fldCharType="separate"/>
                    </w:r>
                    <w:r>
                      <w:t>2025-0000547879</w:t>
                    </w:r>
                    <w:r>
                      <w:fldChar w:fldCharType="end"/>
                    </w:r>
                  </w:p>
                  <w:p w14:paraId="26B8D131" w14:textId="77777777" w:rsidR="002D2E74" w:rsidRDefault="002D2E74">
                    <w:pPr>
                      <w:pStyle w:val="WitregelW1"/>
                    </w:pPr>
                  </w:p>
                  <w:p w14:paraId="1B3DFD73" w14:textId="77777777" w:rsidR="002D2E74" w:rsidRDefault="0099555A">
                    <w:pPr>
                      <w:pStyle w:val="StandaardReferentiegegevensKop"/>
                    </w:pPr>
                    <w:r>
                      <w:t>Uw brief (kenmerk)</w:t>
                    </w:r>
                  </w:p>
                  <w:p w14:paraId="3430E48B" w14:textId="77777777" w:rsidR="00024FE1" w:rsidRDefault="00B03DF8">
                    <w:pPr>
                      <w:pStyle w:val="StandaardReferentiegegevens"/>
                    </w:pPr>
                    <w:r>
                      <w:fldChar w:fldCharType="begin"/>
                    </w:r>
                    <w:r>
                      <w:instrText xml:space="preserve"> DOCPROPERTY  "UwKenmerk"  \* MERGEFORMAT </w:instrText>
                    </w:r>
                    <w:r>
                      <w:fldChar w:fldCharType="end"/>
                    </w:r>
                  </w:p>
                  <w:p w14:paraId="52BC7213" w14:textId="77777777" w:rsidR="002D2E74" w:rsidRDefault="002D2E74">
                    <w:pPr>
                      <w:pStyle w:val="WitregelW1"/>
                    </w:pPr>
                  </w:p>
                  <w:p w14:paraId="22712AFB" w14:textId="77777777" w:rsidR="002D2E74" w:rsidRDefault="0099555A">
                    <w:pPr>
                      <w:pStyle w:val="StandaardReferentiegegevensKop"/>
                    </w:pPr>
                    <w:r>
                      <w:t>Bijlagen</w:t>
                    </w:r>
                  </w:p>
                  <w:p w14:paraId="6A8A9E1F" w14:textId="77777777" w:rsidR="002D2E74" w:rsidRDefault="002A4A4C">
                    <w:pPr>
                      <w:pStyle w:val="StandaardReferentiegegevens"/>
                    </w:pPr>
                    <w:r>
                      <w:t>1. Vierde nota van wijziging</w:t>
                    </w:r>
                    <w:r>
                      <w:br/>
                      <w:t>2. Appreciaties amendementen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98BD5DE" wp14:editId="0498A0A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14C1D6" w14:textId="77777777" w:rsidR="002D2E74" w:rsidRDefault="0099555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98BD5D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14C1D6" w14:textId="77777777" w:rsidR="002D2E74" w:rsidRDefault="0099555A">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E5916F0" wp14:editId="6AD1EC5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438C133" w14:textId="77777777" w:rsidR="00024FE1" w:rsidRDefault="00B03DF8">
                          <w:pPr>
                            <w:pStyle w:val="Rubricering"/>
                          </w:pPr>
                          <w:r>
                            <w:fldChar w:fldCharType="begin"/>
                          </w:r>
                          <w:r>
                            <w:instrText xml:space="preserve"> DOCPROPERTY  "Rubricering"  \* MERGEFORMAT </w:instrText>
                          </w:r>
                          <w:r>
                            <w:fldChar w:fldCharType="end"/>
                          </w:r>
                        </w:p>
                        <w:p w14:paraId="2058B418" w14:textId="77777777" w:rsidR="00B03DF8" w:rsidRDefault="0099555A">
                          <w:r>
                            <w:fldChar w:fldCharType="begin"/>
                          </w:r>
                          <w:r w:rsidR="00B03DF8">
                            <w:instrText xml:space="preserve"> DOCPROPERTY  "Aan"  \* MERGEFORMAT </w:instrText>
                          </w:r>
                          <w:r>
                            <w:fldChar w:fldCharType="separate"/>
                          </w:r>
                          <w:r w:rsidR="00B03DF8">
                            <w:t>Voorzitter van de Tweede Kamer der Staten-Generaal</w:t>
                          </w:r>
                        </w:p>
                        <w:p w14:paraId="0601CC26" w14:textId="77777777" w:rsidR="00B03DF8" w:rsidRDefault="00B03DF8">
                          <w:r>
                            <w:t>Postbus 20018</w:t>
                          </w:r>
                        </w:p>
                        <w:p w14:paraId="0E016F9A" w14:textId="77777777" w:rsidR="00B03DF8" w:rsidRDefault="00B03DF8">
                          <w:r>
                            <w:t>2500 EA  DEN HAAG</w:t>
                          </w:r>
                        </w:p>
                        <w:p w14:paraId="68231759" w14:textId="77777777" w:rsidR="00B03DF8" w:rsidRDefault="00B03DF8"/>
                        <w:p w14:paraId="25439836" w14:textId="77777777" w:rsidR="002D2E74" w:rsidRDefault="0099555A">
                          <w:r>
                            <w:fldChar w:fldCharType="end"/>
                          </w:r>
                        </w:p>
                      </w:txbxContent>
                    </wps:txbx>
                    <wps:bodyPr vert="horz" wrap="square" lIns="0" tIns="0" rIns="0" bIns="0" anchor="t" anchorCtr="0"/>
                  </wps:wsp>
                </a:graphicData>
              </a:graphic>
            </wp:anchor>
          </w:drawing>
        </mc:Choice>
        <mc:Fallback>
          <w:pict>
            <v:shape w14:anchorId="6E5916F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438C133" w14:textId="77777777" w:rsidR="00024FE1" w:rsidRDefault="00B03DF8">
                    <w:pPr>
                      <w:pStyle w:val="Rubricering"/>
                    </w:pPr>
                    <w:r>
                      <w:fldChar w:fldCharType="begin"/>
                    </w:r>
                    <w:r>
                      <w:instrText xml:space="preserve"> DOCPROPERTY  "Rubricering"  \* MERGEFORMAT </w:instrText>
                    </w:r>
                    <w:r>
                      <w:fldChar w:fldCharType="end"/>
                    </w:r>
                  </w:p>
                  <w:p w14:paraId="2058B418" w14:textId="77777777" w:rsidR="00B03DF8" w:rsidRDefault="0099555A">
                    <w:r>
                      <w:fldChar w:fldCharType="begin"/>
                    </w:r>
                    <w:r w:rsidR="00B03DF8">
                      <w:instrText xml:space="preserve"> DOCPROPERTY  "Aan"  \* MERGEFORMAT </w:instrText>
                    </w:r>
                    <w:r>
                      <w:fldChar w:fldCharType="separate"/>
                    </w:r>
                    <w:r w:rsidR="00B03DF8">
                      <w:t>Voorzitter van de Tweede Kamer der Staten-Generaal</w:t>
                    </w:r>
                  </w:p>
                  <w:p w14:paraId="0601CC26" w14:textId="77777777" w:rsidR="00B03DF8" w:rsidRDefault="00B03DF8">
                    <w:r>
                      <w:t>Postbus 20018</w:t>
                    </w:r>
                  </w:p>
                  <w:p w14:paraId="0E016F9A" w14:textId="77777777" w:rsidR="00B03DF8" w:rsidRDefault="00B03DF8">
                    <w:r>
                      <w:t>2500 EA  DEN HAAG</w:t>
                    </w:r>
                  </w:p>
                  <w:p w14:paraId="68231759" w14:textId="77777777" w:rsidR="00B03DF8" w:rsidRDefault="00B03DF8"/>
                  <w:p w14:paraId="25439836" w14:textId="77777777" w:rsidR="002D2E74" w:rsidRDefault="0099555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263FECD" wp14:editId="2132BF7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B4C4766" w14:textId="77777777" w:rsidR="00024FE1" w:rsidRDefault="00B03D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263FEC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B4C4766" w14:textId="77777777" w:rsidR="00024FE1" w:rsidRDefault="00B03D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2E6F1AC" wp14:editId="60D21FF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D2E74" w14:paraId="3675FA6B" w14:textId="77777777">
                            <w:trPr>
                              <w:trHeight w:val="200"/>
                            </w:trPr>
                            <w:tc>
                              <w:tcPr>
                                <w:tcW w:w="1140" w:type="dxa"/>
                              </w:tcPr>
                              <w:p w14:paraId="564A03D3" w14:textId="77777777" w:rsidR="002D2E74" w:rsidRDefault="002D2E74"/>
                            </w:tc>
                            <w:tc>
                              <w:tcPr>
                                <w:tcW w:w="5400" w:type="dxa"/>
                              </w:tcPr>
                              <w:p w14:paraId="70819675" w14:textId="77777777" w:rsidR="002D2E74" w:rsidRDefault="002D2E74"/>
                            </w:tc>
                          </w:tr>
                          <w:tr w:rsidR="002D2E74" w14:paraId="704ACDC5" w14:textId="77777777">
                            <w:trPr>
                              <w:trHeight w:val="240"/>
                            </w:trPr>
                            <w:tc>
                              <w:tcPr>
                                <w:tcW w:w="1140" w:type="dxa"/>
                              </w:tcPr>
                              <w:p w14:paraId="6714B4B5" w14:textId="77777777" w:rsidR="002D2E74" w:rsidRDefault="0099555A">
                                <w:r>
                                  <w:t>Datum</w:t>
                                </w:r>
                              </w:p>
                            </w:tc>
                            <w:tc>
                              <w:tcPr>
                                <w:tcW w:w="5400" w:type="dxa"/>
                              </w:tcPr>
                              <w:p w14:paraId="20657BCB" w14:textId="2D07E6C0" w:rsidR="002D2E74" w:rsidRDefault="00B03DF8">
                                <w:r>
                                  <w:t>24 november 2025</w:t>
                                </w:r>
                              </w:p>
                            </w:tc>
                          </w:tr>
                          <w:tr w:rsidR="002D2E74" w14:paraId="09F0E980" w14:textId="77777777">
                            <w:trPr>
                              <w:trHeight w:val="240"/>
                            </w:trPr>
                            <w:tc>
                              <w:tcPr>
                                <w:tcW w:w="1140" w:type="dxa"/>
                              </w:tcPr>
                              <w:p w14:paraId="00C4F329" w14:textId="77777777" w:rsidR="002D2E74" w:rsidRDefault="0099555A">
                                <w:r>
                                  <w:t>Betreft</w:t>
                                </w:r>
                              </w:p>
                            </w:tc>
                            <w:tc>
                              <w:tcPr>
                                <w:tcW w:w="5400" w:type="dxa"/>
                              </w:tcPr>
                              <w:p w14:paraId="1EB11149" w14:textId="77777777" w:rsidR="00024FE1" w:rsidRDefault="00B03DF8">
                                <w:r>
                                  <w:fldChar w:fldCharType="begin"/>
                                </w:r>
                                <w:r>
                                  <w:instrText xml:space="preserve"> DOCPROPERTY  "Onderwerp"  \* MERGEFORMAT </w:instrText>
                                </w:r>
                                <w:r>
                                  <w:fldChar w:fldCharType="separate"/>
                                </w:r>
                                <w:r>
                                  <w:t>Vierde nota van wijziging en appreciaties amendementen pakket Belastingplan 2026</w:t>
                                </w:r>
                                <w:r>
                                  <w:fldChar w:fldCharType="end"/>
                                </w:r>
                              </w:p>
                            </w:tc>
                          </w:tr>
                          <w:tr w:rsidR="002D2E74" w14:paraId="37087924" w14:textId="77777777">
                            <w:trPr>
                              <w:trHeight w:val="200"/>
                            </w:trPr>
                            <w:tc>
                              <w:tcPr>
                                <w:tcW w:w="1140" w:type="dxa"/>
                              </w:tcPr>
                              <w:p w14:paraId="7A3A9984" w14:textId="77777777" w:rsidR="002D2E74" w:rsidRDefault="002D2E74"/>
                            </w:tc>
                            <w:tc>
                              <w:tcPr>
                                <w:tcW w:w="4738" w:type="dxa"/>
                              </w:tcPr>
                              <w:p w14:paraId="3520667C" w14:textId="77777777" w:rsidR="002D2E74" w:rsidRDefault="002D2E74"/>
                            </w:tc>
                          </w:tr>
                        </w:tbl>
                        <w:p w14:paraId="5B1C289A" w14:textId="77777777" w:rsidR="0099555A" w:rsidRDefault="0099555A"/>
                      </w:txbxContent>
                    </wps:txbx>
                    <wps:bodyPr vert="horz" wrap="square" lIns="0" tIns="0" rIns="0" bIns="0" anchor="t" anchorCtr="0"/>
                  </wps:wsp>
                </a:graphicData>
              </a:graphic>
            </wp:anchor>
          </w:drawing>
        </mc:Choice>
        <mc:Fallback>
          <w:pict>
            <v:shape w14:anchorId="32E6F1A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D2E74" w14:paraId="3675FA6B" w14:textId="77777777">
                      <w:trPr>
                        <w:trHeight w:val="200"/>
                      </w:trPr>
                      <w:tc>
                        <w:tcPr>
                          <w:tcW w:w="1140" w:type="dxa"/>
                        </w:tcPr>
                        <w:p w14:paraId="564A03D3" w14:textId="77777777" w:rsidR="002D2E74" w:rsidRDefault="002D2E74"/>
                      </w:tc>
                      <w:tc>
                        <w:tcPr>
                          <w:tcW w:w="5400" w:type="dxa"/>
                        </w:tcPr>
                        <w:p w14:paraId="70819675" w14:textId="77777777" w:rsidR="002D2E74" w:rsidRDefault="002D2E74"/>
                      </w:tc>
                    </w:tr>
                    <w:tr w:rsidR="002D2E74" w14:paraId="704ACDC5" w14:textId="77777777">
                      <w:trPr>
                        <w:trHeight w:val="240"/>
                      </w:trPr>
                      <w:tc>
                        <w:tcPr>
                          <w:tcW w:w="1140" w:type="dxa"/>
                        </w:tcPr>
                        <w:p w14:paraId="6714B4B5" w14:textId="77777777" w:rsidR="002D2E74" w:rsidRDefault="0099555A">
                          <w:r>
                            <w:t>Datum</w:t>
                          </w:r>
                        </w:p>
                      </w:tc>
                      <w:tc>
                        <w:tcPr>
                          <w:tcW w:w="5400" w:type="dxa"/>
                        </w:tcPr>
                        <w:p w14:paraId="20657BCB" w14:textId="2D07E6C0" w:rsidR="002D2E74" w:rsidRDefault="00B03DF8">
                          <w:r>
                            <w:t>24 november 2025</w:t>
                          </w:r>
                        </w:p>
                      </w:tc>
                    </w:tr>
                    <w:tr w:rsidR="002D2E74" w14:paraId="09F0E980" w14:textId="77777777">
                      <w:trPr>
                        <w:trHeight w:val="240"/>
                      </w:trPr>
                      <w:tc>
                        <w:tcPr>
                          <w:tcW w:w="1140" w:type="dxa"/>
                        </w:tcPr>
                        <w:p w14:paraId="00C4F329" w14:textId="77777777" w:rsidR="002D2E74" w:rsidRDefault="0099555A">
                          <w:r>
                            <w:t>Betreft</w:t>
                          </w:r>
                        </w:p>
                      </w:tc>
                      <w:tc>
                        <w:tcPr>
                          <w:tcW w:w="5400" w:type="dxa"/>
                        </w:tcPr>
                        <w:p w14:paraId="1EB11149" w14:textId="77777777" w:rsidR="00024FE1" w:rsidRDefault="00B03DF8">
                          <w:r>
                            <w:fldChar w:fldCharType="begin"/>
                          </w:r>
                          <w:r>
                            <w:instrText xml:space="preserve"> DOCPROPERTY  "Onderwerp"  \* MERGEFORMAT </w:instrText>
                          </w:r>
                          <w:r>
                            <w:fldChar w:fldCharType="separate"/>
                          </w:r>
                          <w:r>
                            <w:t>Vierde nota van wijziging en appreciaties amendementen pakket Belastingplan 2026</w:t>
                          </w:r>
                          <w:r>
                            <w:fldChar w:fldCharType="end"/>
                          </w:r>
                        </w:p>
                      </w:tc>
                    </w:tr>
                    <w:tr w:rsidR="002D2E74" w14:paraId="37087924" w14:textId="77777777">
                      <w:trPr>
                        <w:trHeight w:val="200"/>
                      </w:trPr>
                      <w:tc>
                        <w:tcPr>
                          <w:tcW w:w="1140" w:type="dxa"/>
                        </w:tcPr>
                        <w:p w14:paraId="7A3A9984" w14:textId="77777777" w:rsidR="002D2E74" w:rsidRDefault="002D2E74"/>
                      </w:tc>
                      <w:tc>
                        <w:tcPr>
                          <w:tcW w:w="4738" w:type="dxa"/>
                        </w:tcPr>
                        <w:p w14:paraId="3520667C" w14:textId="77777777" w:rsidR="002D2E74" w:rsidRDefault="002D2E74"/>
                      </w:tc>
                    </w:tr>
                  </w:tbl>
                  <w:p w14:paraId="5B1C289A" w14:textId="77777777" w:rsidR="0099555A" w:rsidRDefault="0099555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821F1D7" wp14:editId="4947C98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91A59E4" w14:textId="77777777" w:rsidR="00024FE1" w:rsidRDefault="00B03D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21F1D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91A59E4" w14:textId="77777777" w:rsidR="00024FE1" w:rsidRDefault="00B03DF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20A3234" wp14:editId="3C34D4A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D3F35E8" w14:textId="77777777" w:rsidR="0099555A" w:rsidRDefault="0099555A"/>
                      </w:txbxContent>
                    </wps:txbx>
                    <wps:bodyPr vert="horz" wrap="square" lIns="0" tIns="0" rIns="0" bIns="0" anchor="t" anchorCtr="0"/>
                  </wps:wsp>
                </a:graphicData>
              </a:graphic>
            </wp:anchor>
          </w:drawing>
        </mc:Choice>
        <mc:Fallback>
          <w:pict>
            <v:shape w14:anchorId="620A323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D3F35E8" w14:textId="77777777" w:rsidR="0099555A" w:rsidRDefault="0099555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A2D50F"/>
    <w:multiLevelType w:val="multilevel"/>
    <w:tmpl w:val="1CECF1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59123E7"/>
    <w:multiLevelType w:val="multilevel"/>
    <w:tmpl w:val="4ECFBF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4D6E23"/>
    <w:multiLevelType w:val="multilevel"/>
    <w:tmpl w:val="E3DFD06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C058A4"/>
    <w:multiLevelType w:val="multilevel"/>
    <w:tmpl w:val="C273EAA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95D5E"/>
    <w:multiLevelType w:val="hybridMultilevel"/>
    <w:tmpl w:val="0E60E9DA"/>
    <w:lvl w:ilvl="0" w:tplc="6F48BB54">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452A06"/>
    <w:multiLevelType w:val="multilevel"/>
    <w:tmpl w:val="E83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FB8E8"/>
    <w:multiLevelType w:val="multilevel"/>
    <w:tmpl w:val="1E21E09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D69BD"/>
    <w:multiLevelType w:val="multilevel"/>
    <w:tmpl w:val="7ABE4D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B8244"/>
    <w:multiLevelType w:val="multilevel"/>
    <w:tmpl w:val="B68A0F4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0130108">
    <w:abstractNumId w:val="8"/>
  </w:num>
  <w:num w:numId="2" w16cid:durableId="2089569887">
    <w:abstractNumId w:val="6"/>
  </w:num>
  <w:num w:numId="3" w16cid:durableId="210850558">
    <w:abstractNumId w:val="0"/>
  </w:num>
  <w:num w:numId="4" w16cid:durableId="1501656677">
    <w:abstractNumId w:val="1"/>
  </w:num>
  <w:num w:numId="5" w16cid:durableId="426848440">
    <w:abstractNumId w:val="3"/>
  </w:num>
  <w:num w:numId="6" w16cid:durableId="755133146">
    <w:abstractNumId w:val="2"/>
  </w:num>
  <w:num w:numId="7" w16cid:durableId="851457861">
    <w:abstractNumId w:val="7"/>
  </w:num>
  <w:num w:numId="8" w16cid:durableId="1825121393">
    <w:abstractNumId w:val="5"/>
  </w:num>
  <w:num w:numId="9" w16cid:durableId="597519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E74"/>
    <w:rsid w:val="00024FE1"/>
    <w:rsid w:val="000D5E97"/>
    <w:rsid w:val="000E3F89"/>
    <w:rsid w:val="00144ABA"/>
    <w:rsid w:val="00187BF9"/>
    <w:rsid w:val="00197914"/>
    <w:rsid w:val="002154BC"/>
    <w:rsid w:val="002963B5"/>
    <w:rsid w:val="002A1B70"/>
    <w:rsid w:val="002A4A4C"/>
    <w:rsid w:val="002A6843"/>
    <w:rsid w:val="002D2E74"/>
    <w:rsid w:val="00320935"/>
    <w:rsid w:val="003331F0"/>
    <w:rsid w:val="00381F23"/>
    <w:rsid w:val="003A408B"/>
    <w:rsid w:val="003D6B92"/>
    <w:rsid w:val="003E10C6"/>
    <w:rsid w:val="00443DFD"/>
    <w:rsid w:val="00482170"/>
    <w:rsid w:val="00542D22"/>
    <w:rsid w:val="006E1754"/>
    <w:rsid w:val="006F22E5"/>
    <w:rsid w:val="006F2CFD"/>
    <w:rsid w:val="00717411"/>
    <w:rsid w:val="00752CE2"/>
    <w:rsid w:val="00754D96"/>
    <w:rsid w:val="00803B6F"/>
    <w:rsid w:val="0082429D"/>
    <w:rsid w:val="00867A91"/>
    <w:rsid w:val="00945DB1"/>
    <w:rsid w:val="00950B13"/>
    <w:rsid w:val="00982E53"/>
    <w:rsid w:val="0099555A"/>
    <w:rsid w:val="00A6411D"/>
    <w:rsid w:val="00AE5EB7"/>
    <w:rsid w:val="00B03DF8"/>
    <w:rsid w:val="00B25489"/>
    <w:rsid w:val="00B609A5"/>
    <w:rsid w:val="00BB0D3B"/>
    <w:rsid w:val="00CE1BC3"/>
    <w:rsid w:val="00D240A6"/>
    <w:rsid w:val="00D61D68"/>
    <w:rsid w:val="00E34008"/>
    <w:rsid w:val="00F47FB1"/>
    <w:rsid w:val="00F8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9F78A84"/>
  <w15:docId w15:val="{14192CFF-D123-4D0B-8305-00BD8FC7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A40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408B"/>
    <w:rPr>
      <w:rFonts w:ascii="Verdana" w:hAnsi="Verdana"/>
      <w:color w:val="000000"/>
      <w:sz w:val="18"/>
      <w:szCs w:val="18"/>
    </w:rPr>
  </w:style>
  <w:style w:type="paragraph" w:styleId="Voettekst">
    <w:name w:val="footer"/>
    <w:basedOn w:val="Standaard"/>
    <w:link w:val="VoettekstChar"/>
    <w:uiPriority w:val="99"/>
    <w:unhideWhenUsed/>
    <w:rsid w:val="003A40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408B"/>
    <w:rPr>
      <w:rFonts w:ascii="Verdana" w:hAnsi="Verdana"/>
      <w:color w:val="000000"/>
      <w:sz w:val="18"/>
      <w:szCs w:val="18"/>
    </w:rPr>
  </w:style>
  <w:style w:type="paragraph" w:styleId="Voetnoottekst">
    <w:name w:val="footnote text"/>
    <w:basedOn w:val="Standaard"/>
    <w:link w:val="VoetnoottekstChar"/>
    <w:uiPriority w:val="99"/>
    <w:semiHidden/>
    <w:unhideWhenUsed/>
    <w:rsid w:val="0071741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17411"/>
    <w:rPr>
      <w:rFonts w:ascii="Verdana" w:hAnsi="Verdana"/>
      <w:color w:val="000000"/>
    </w:rPr>
  </w:style>
  <w:style w:type="character" w:styleId="Voetnootmarkering">
    <w:name w:val="footnote reference"/>
    <w:basedOn w:val="Standaardalinea-lettertype"/>
    <w:uiPriority w:val="99"/>
    <w:semiHidden/>
    <w:unhideWhenUsed/>
    <w:rsid w:val="007174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1370</ap:Words>
  <ap:Characters>7538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Vierde nota van wijziging en appreciaties amendementen pakket Belastingplan 2026</vt:lpstr>
    </vt:vector>
  </ap:TitlesOfParts>
  <ap:LinksUpToDate>false</ap:LinksUpToDate>
  <ap:CharactersWithSpaces>8891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2025-11-21T13:34:00.0000000Z</dcterms:created>
  <dcterms:modified xsi:type="dcterms:W3CDTF">2025-11-24T17:17:00.0000000Z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Vierde nota van wijziging en appreciaties amendementen pakket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21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2025-0000547879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Vierde nota van wijziging en appreciaties amendementen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2025-11-21T13:34:03Z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be20d50e-9911-4b29-ada7-88c3201e71d6</vt:lpwstr>
  </property>
  <property fmtid="{D5CDD505-2E9C-101B-9397-08002B2CF9AE}" pid="37" name="MSIP_Label_b2aa6e22-2c82-48c6-bf24-1790f4b9c128_ContentBits">
    <vt:lpwstr>0</vt:lpwstr>
  </property>
</Properties>
</file>