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C28141E" w14:textId="77777777">
        <w:trPr>
          <w:cantSplit/>
        </w:trPr>
        <w:tc>
          <w:tcPr>
            <w:tcW w:w="9212" w:type="dxa"/>
            <w:gridSpan w:val="2"/>
          </w:tcPr>
          <w:p w:rsidR="003B4752" w:rsidRDefault="003B4752" w14:paraId="30BFE104" w14:textId="77777777">
            <w:pPr>
              <w:tabs>
                <w:tab w:val="left" w:pos="-1440"/>
                <w:tab w:val="left" w:pos="-720"/>
              </w:tabs>
              <w:suppressAutoHyphens/>
            </w:pPr>
          </w:p>
        </w:tc>
      </w:tr>
      <w:tr w:rsidR="003B4752" w14:paraId="54934FDF" w14:textId="77777777">
        <w:trPr>
          <w:cantSplit/>
        </w:trPr>
        <w:tc>
          <w:tcPr>
            <w:tcW w:w="9212" w:type="dxa"/>
            <w:gridSpan w:val="2"/>
          </w:tcPr>
          <w:p w:rsidR="003B4752" w:rsidRDefault="003B4752" w14:paraId="3898AF8C" w14:textId="77777777">
            <w:pPr>
              <w:tabs>
                <w:tab w:val="left" w:pos="-1440"/>
                <w:tab w:val="left" w:pos="-720"/>
              </w:tabs>
              <w:suppressAutoHyphens/>
              <w:rPr>
                <w:b/>
              </w:rPr>
            </w:pPr>
          </w:p>
        </w:tc>
      </w:tr>
      <w:tr w:rsidR="009833D1" w14:paraId="69CF799D" w14:textId="77777777">
        <w:tc>
          <w:tcPr>
            <w:tcW w:w="2622" w:type="dxa"/>
          </w:tcPr>
          <w:p w:rsidR="009833D1" w:rsidRDefault="00D62D9D" w14:paraId="326BF8D3" w14:textId="5AA2B78E">
            <w:pPr>
              <w:widowControl w:val="0"/>
              <w:rPr>
                <w:b/>
              </w:rPr>
            </w:pPr>
            <w:r>
              <w:rPr>
                <w:b/>
              </w:rPr>
              <w:t>36 812</w:t>
            </w:r>
          </w:p>
        </w:tc>
        <w:tc>
          <w:tcPr>
            <w:tcW w:w="6590" w:type="dxa"/>
          </w:tcPr>
          <w:p w:rsidRPr="00D62D9D" w:rsidR="009833D1" w:rsidP="00D62D9D" w:rsidRDefault="00D62D9D" w14:paraId="7335962F" w14:textId="35C4398F">
            <w:pPr>
              <w:rPr>
                <w:b/>
                <w:bCs/>
                <w:szCs w:val="24"/>
              </w:rPr>
            </w:pPr>
            <w:r w:rsidRPr="00D62D9D">
              <w:rPr>
                <w:b/>
                <w:bCs/>
                <w:szCs w:val="24"/>
              </w:rPr>
              <w:t>Wijziging van enkele belastingwetten en enige andere wetten (Belastingplan 2026)</w:t>
            </w:r>
          </w:p>
        </w:tc>
      </w:tr>
      <w:tr w:rsidR="003B4752" w14:paraId="2F3EBB64" w14:textId="77777777">
        <w:tc>
          <w:tcPr>
            <w:tcW w:w="2622" w:type="dxa"/>
          </w:tcPr>
          <w:p w:rsidR="003B4752" w:rsidRDefault="003B4752" w14:paraId="577975A5" w14:textId="77777777">
            <w:pPr>
              <w:tabs>
                <w:tab w:val="left" w:pos="284"/>
              </w:tabs>
              <w:rPr>
                <w:b/>
              </w:rPr>
            </w:pPr>
          </w:p>
        </w:tc>
        <w:tc>
          <w:tcPr>
            <w:tcW w:w="6590" w:type="dxa"/>
          </w:tcPr>
          <w:p w:rsidR="003B4752" w:rsidRDefault="003B4752" w14:paraId="69A30D36" w14:textId="77777777">
            <w:pPr>
              <w:tabs>
                <w:tab w:val="left" w:pos="284"/>
              </w:tabs>
              <w:rPr>
                <w:b/>
              </w:rPr>
            </w:pPr>
          </w:p>
        </w:tc>
      </w:tr>
      <w:tr w:rsidR="003B4752" w14:paraId="4430AC9D" w14:textId="77777777">
        <w:tc>
          <w:tcPr>
            <w:tcW w:w="2622" w:type="dxa"/>
          </w:tcPr>
          <w:p w:rsidR="003B4752" w:rsidRDefault="003B4752" w14:paraId="14A7BEF3" w14:textId="2764FE6E">
            <w:pPr>
              <w:tabs>
                <w:tab w:val="left" w:pos="284"/>
              </w:tabs>
              <w:rPr>
                <w:b/>
              </w:rPr>
            </w:pPr>
            <w:r>
              <w:rPr>
                <w:b/>
              </w:rPr>
              <w:t xml:space="preserve">Nr. </w:t>
            </w:r>
            <w:r w:rsidR="00D62D9D">
              <w:rPr>
                <w:b/>
              </w:rPr>
              <w:t>58</w:t>
            </w:r>
          </w:p>
        </w:tc>
        <w:tc>
          <w:tcPr>
            <w:tcW w:w="6590" w:type="dxa"/>
          </w:tcPr>
          <w:p w:rsidR="003B4752" w:rsidRDefault="00D62D9D" w14:paraId="02553F08" w14:textId="495CD332">
            <w:pPr>
              <w:tabs>
                <w:tab w:val="left" w:pos="284"/>
              </w:tabs>
              <w:rPr>
                <w:b/>
              </w:rPr>
            </w:pPr>
            <w:r>
              <w:rPr>
                <w:b/>
              </w:rPr>
              <w:t xml:space="preserve">VIERDE </w:t>
            </w:r>
            <w:r w:rsidR="003B4752">
              <w:rPr>
                <w:b/>
              </w:rPr>
              <w:t>NOTA VAN WIJZIGING</w:t>
            </w:r>
          </w:p>
          <w:p w:rsidR="003B4752" w:rsidP="009833D1" w:rsidRDefault="003B4752" w14:paraId="1B5FC5B7" w14:textId="3EF8D9BF">
            <w:pPr>
              <w:tabs>
                <w:tab w:val="left" w:pos="284"/>
              </w:tabs>
            </w:pPr>
            <w:r>
              <w:t xml:space="preserve">Ontvangen </w:t>
            </w:r>
            <w:r w:rsidR="00532A9B">
              <w:rPr>
                <w:bCs/>
              </w:rPr>
              <w:t>26 november 2025</w:t>
            </w:r>
          </w:p>
        </w:tc>
      </w:tr>
    </w:tbl>
    <w:p w:rsidR="009833D1" w:rsidP="00FE223B" w:rsidRDefault="009833D1" w14:paraId="1A5AD72F" w14:textId="77777777">
      <w:pPr>
        <w:tabs>
          <w:tab w:val="left" w:pos="284"/>
        </w:tabs>
      </w:pPr>
    </w:p>
    <w:p w:rsidRPr="00D62D9D" w:rsidR="00D62D9D" w:rsidP="00D62D9D" w:rsidRDefault="00D62D9D" w14:paraId="4D0C716A" w14:textId="45C3F471">
      <w:pPr>
        <w:tabs>
          <w:tab w:val="left" w:pos="284"/>
        </w:tabs>
      </w:pPr>
      <w:r>
        <w:tab/>
      </w:r>
      <w:r w:rsidRPr="00D62D9D">
        <w:t>Het voorstel van wet wordt als volgt gewijzigd:</w:t>
      </w:r>
    </w:p>
    <w:p w:rsidRPr="00D62D9D" w:rsidR="00D62D9D" w:rsidP="00D62D9D" w:rsidRDefault="00D62D9D" w14:paraId="7167C586" w14:textId="77777777">
      <w:pPr>
        <w:tabs>
          <w:tab w:val="left" w:pos="284"/>
        </w:tabs>
      </w:pPr>
    </w:p>
    <w:p w:rsidRPr="00D62D9D" w:rsidR="00D62D9D" w:rsidP="00D62D9D" w:rsidRDefault="00D62D9D" w14:paraId="3511939A" w14:textId="09855F42">
      <w:pPr>
        <w:tabs>
          <w:tab w:val="left" w:pos="284"/>
        </w:tabs>
      </w:pPr>
      <w:r>
        <w:tab/>
      </w:r>
      <w:r w:rsidRPr="00D62D9D">
        <w:t>Na artikel XXXVIIIA worden twee artikelen ingevoegd, luidende:</w:t>
      </w:r>
    </w:p>
    <w:p w:rsidRPr="00D62D9D" w:rsidR="00D62D9D" w:rsidP="00D62D9D" w:rsidRDefault="00D62D9D" w14:paraId="7E584066" w14:textId="77777777">
      <w:pPr>
        <w:tabs>
          <w:tab w:val="left" w:pos="284"/>
        </w:tabs>
      </w:pPr>
    </w:p>
    <w:p w:rsidRPr="00D62D9D" w:rsidR="00D62D9D" w:rsidP="00D62D9D" w:rsidRDefault="00D62D9D" w14:paraId="1AAB97DF" w14:textId="357D5121">
      <w:pPr>
        <w:tabs>
          <w:tab w:val="left" w:pos="284"/>
        </w:tabs>
        <w:rPr>
          <w:b/>
          <w:bCs/>
        </w:rPr>
      </w:pPr>
      <w:r w:rsidRPr="00D62D9D">
        <w:rPr>
          <w:b/>
          <w:bCs/>
        </w:rPr>
        <w:t>ARTIKEL XXXVIIIB</w:t>
      </w:r>
    </w:p>
    <w:p w:rsidRPr="00D62D9D" w:rsidR="00D62D9D" w:rsidP="00D62D9D" w:rsidRDefault="00D62D9D" w14:paraId="43EE0194" w14:textId="77777777">
      <w:pPr>
        <w:tabs>
          <w:tab w:val="left" w:pos="284"/>
        </w:tabs>
      </w:pPr>
    </w:p>
    <w:p w:rsidRPr="00D62D9D" w:rsidR="00D62D9D" w:rsidP="00D62D9D" w:rsidRDefault="00D62D9D" w14:paraId="1CBF741E" w14:textId="5CA41009">
      <w:pPr>
        <w:tabs>
          <w:tab w:val="left" w:pos="284"/>
        </w:tabs>
      </w:pPr>
      <w:r>
        <w:tab/>
      </w:r>
      <w:r w:rsidRPr="00D62D9D">
        <w:t>In de Wet aanpassing fiscale bedrijfsopvolgingsfaciliteiten 2024 vervallen artikel II, onderdeel A, onder 0, en artikel V, onderdeel B, onder 1a, 1b en 3a.</w:t>
      </w:r>
    </w:p>
    <w:p w:rsidRPr="00D62D9D" w:rsidR="00D62D9D" w:rsidP="00D62D9D" w:rsidRDefault="00D62D9D" w14:paraId="77D66535" w14:textId="77777777">
      <w:pPr>
        <w:tabs>
          <w:tab w:val="left" w:pos="284"/>
        </w:tabs>
      </w:pPr>
    </w:p>
    <w:p w:rsidRPr="00D62D9D" w:rsidR="00D62D9D" w:rsidP="00D62D9D" w:rsidRDefault="00D62D9D" w14:paraId="76F598F0" w14:textId="44074E66">
      <w:pPr>
        <w:tabs>
          <w:tab w:val="left" w:pos="284"/>
        </w:tabs>
        <w:rPr>
          <w:b/>
          <w:bCs/>
        </w:rPr>
      </w:pPr>
      <w:r w:rsidRPr="00D62D9D">
        <w:rPr>
          <w:b/>
          <w:bCs/>
        </w:rPr>
        <w:t>ARTIKEL XXXVIIIC</w:t>
      </w:r>
    </w:p>
    <w:p w:rsidRPr="00D62D9D" w:rsidR="00D62D9D" w:rsidP="00D62D9D" w:rsidRDefault="00D62D9D" w14:paraId="46F9249A" w14:textId="77777777">
      <w:pPr>
        <w:tabs>
          <w:tab w:val="left" w:pos="284"/>
        </w:tabs>
      </w:pPr>
    </w:p>
    <w:p w:rsidRPr="00D62D9D" w:rsidR="00D62D9D" w:rsidP="00D62D9D" w:rsidRDefault="00D62D9D" w14:paraId="5EFDF3B2" w14:textId="1D0817CB">
      <w:pPr>
        <w:tabs>
          <w:tab w:val="left" w:pos="284"/>
        </w:tabs>
      </w:pPr>
      <w:r>
        <w:tab/>
      </w:r>
      <w:r w:rsidRPr="00D62D9D">
        <w:t>In de Wet aanpassing fiscale bedrijfsopvolgingsfaciliteiten 2025 vervallen de artikelen I, onderdelen A, onder 1 tot en met 6 en 8, Aa en B, onder 1 en 2, en III, onderdelen B, onder 1 tot en met 5, 7 en 8, Ba en C, onder 1, subonderdeel a, tweede zin, en subonderdelen b tot en met d, 2 en 3.</w:t>
      </w:r>
    </w:p>
    <w:p w:rsidR="00D62D9D" w:rsidP="00FE223B" w:rsidRDefault="00D62D9D" w14:paraId="0657D0DA" w14:textId="77777777">
      <w:pPr>
        <w:tabs>
          <w:tab w:val="left" w:pos="284"/>
        </w:tabs>
      </w:pPr>
    </w:p>
    <w:p w:rsidRPr="00D62D9D" w:rsidR="00D62D9D" w:rsidP="00FE223B" w:rsidRDefault="00D62D9D" w14:paraId="6D087658" w14:textId="65117C0F">
      <w:pPr>
        <w:tabs>
          <w:tab w:val="left" w:pos="284"/>
        </w:tabs>
        <w:rPr>
          <w:b/>
          <w:bCs/>
        </w:rPr>
      </w:pPr>
      <w:r w:rsidRPr="00D62D9D">
        <w:rPr>
          <w:b/>
          <w:bCs/>
        </w:rPr>
        <w:t>Toelichting</w:t>
      </w:r>
    </w:p>
    <w:p w:rsidRPr="00D62D9D" w:rsidR="00D62D9D" w:rsidP="00D62D9D" w:rsidRDefault="00D62D9D" w14:paraId="1FBB91A8" w14:textId="77777777">
      <w:pPr>
        <w:tabs>
          <w:tab w:val="left" w:pos="284"/>
        </w:tabs>
      </w:pPr>
    </w:p>
    <w:p w:rsidRPr="00D62D9D" w:rsidR="00D62D9D" w:rsidP="00D62D9D" w:rsidRDefault="00D62D9D" w14:paraId="79CFA27C" w14:textId="6C6BCACE">
      <w:pPr>
        <w:tabs>
          <w:tab w:val="left" w:pos="284"/>
        </w:tabs>
        <w:rPr>
          <w:b/>
          <w:bCs/>
          <w:i/>
          <w:iCs/>
        </w:rPr>
      </w:pPr>
      <w:r w:rsidRPr="00D62D9D">
        <w:rPr>
          <w:b/>
          <w:bCs/>
          <w:i/>
          <w:iCs/>
        </w:rPr>
        <w:t>1. Algemene toelichting</w:t>
      </w:r>
    </w:p>
    <w:p w:rsidRPr="00D62D9D" w:rsidR="00D62D9D" w:rsidP="00D62D9D" w:rsidRDefault="00D62D9D" w14:paraId="2D9961B0" w14:textId="77777777">
      <w:pPr>
        <w:tabs>
          <w:tab w:val="left" w:pos="284"/>
        </w:tabs>
      </w:pPr>
      <w:bookmarkStart w:name="_Hlk214459419" w:id="0"/>
    </w:p>
    <w:p w:rsidRPr="00D62D9D" w:rsidR="00D62D9D" w:rsidP="00D62D9D" w:rsidRDefault="00D62D9D" w14:paraId="7045737A" w14:textId="77777777">
      <w:pPr>
        <w:tabs>
          <w:tab w:val="left" w:pos="284"/>
        </w:tabs>
      </w:pPr>
      <w:bookmarkStart w:name="_Hlk214456483" w:id="1"/>
      <w:r w:rsidRPr="00D62D9D">
        <w:t>Op grond van de Wet aanpassing fiscale bedrijfsopvolgingsfaciliteiten 2025 (WAFB 2025) treden twee maatregelen uit de Wet aanpassing fiscale bedrijfsopvolgingsfaciliteiten 2024 (WAFB 2024) en een maatregel uit de WAFB 2025 tegelijkertijd in werking op een bij koninklijk besluit te bepalen tijdstip. In de nota naar aanleiding van het verslag van het Belastingplan 2026 heeft het kabinet laten weten deze drie maatregelen niet in werking te laten treden.</w:t>
      </w:r>
      <w:r w:rsidRPr="00D62D9D">
        <w:rPr>
          <w:vertAlign w:val="superscript"/>
        </w:rPr>
        <w:footnoteReference w:id="1"/>
      </w:r>
      <w:r w:rsidRPr="00D62D9D">
        <w:t xml:space="preserve"> Daarom worden met deze nota van wijziging in het wetsvoorstel twee artikelen opgenomen die beogen deze maatregelen uit genoemde wetten te halen. Op deze manier wordt verduidelijkt dat deze maatregelen (bepalingen) niet zullen worden doorgevoerd en dus materieel niet kunnen worden toegepast. Het gaat om de volgende drie maatregelen.</w:t>
      </w:r>
    </w:p>
    <w:p w:rsidRPr="00D62D9D" w:rsidR="00D62D9D" w:rsidP="00D62D9D" w:rsidRDefault="00D62D9D" w14:paraId="336C07A8" w14:textId="77777777">
      <w:pPr>
        <w:tabs>
          <w:tab w:val="left" w:pos="284"/>
        </w:tabs>
      </w:pPr>
    </w:p>
    <w:p w:rsidRPr="00D62D9D" w:rsidR="00D62D9D" w:rsidP="00D62D9D" w:rsidRDefault="00D62D9D" w14:paraId="526E8714" w14:textId="77777777">
      <w:pPr>
        <w:tabs>
          <w:tab w:val="left" w:pos="284"/>
        </w:tabs>
      </w:pPr>
      <w:r w:rsidRPr="00D62D9D">
        <w:t xml:space="preserve">1. </w:t>
      </w:r>
      <w:bookmarkStart w:name="_Hlk214456872" w:id="2"/>
      <w:r w:rsidRPr="00D62D9D">
        <w:t>Het beperken van de toegang tot de bedrijfsopvolgingsregeling in de schenk- en erfbelasting (BOR) en de doorschuifregeling in de inkomstenbelasting voor het aanmerkelijk belang (DSR ab) tot reguliere aandelen met een belang van minimaal 5% in het geplaatste kapitaal.</w:t>
      </w:r>
    </w:p>
    <w:p w:rsidRPr="00D62D9D" w:rsidR="00D62D9D" w:rsidP="00D62D9D" w:rsidRDefault="00D62D9D" w14:paraId="7540FC4E" w14:textId="77777777">
      <w:pPr>
        <w:tabs>
          <w:tab w:val="left" w:pos="284"/>
        </w:tabs>
      </w:pPr>
    </w:p>
    <w:p w:rsidRPr="00D62D9D" w:rsidR="00D62D9D" w:rsidP="00D62D9D" w:rsidRDefault="00D62D9D" w14:paraId="591C27B5" w14:textId="77777777">
      <w:pPr>
        <w:tabs>
          <w:tab w:val="left" w:pos="284"/>
        </w:tabs>
      </w:pPr>
      <w:r w:rsidRPr="00D62D9D">
        <w:t>2. Het verruimen van de toegang tot de BOR voor vermogensbestanddelen die voldoen aan de zogenoemde familietoets. Op grond van de familietoets kunnen ook box 3-belangen kwalificeren voor de BOR als de aandeelhouder samen met zijn familie een belang van ten minste 25% heeft in de onderneming.</w:t>
      </w:r>
      <w:r w:rsidRPr="00D62D9D">
        <w:rPr>
          <w:vertAlign w:val="superscript"/>
        </w:rPr>
        <w:footnoteReference w:id="2"/>
      </w:r>
    </w:p>
    <w:p w:rsidRPr="00D62D9D" w:rsidR="00D62D9D" w:rsidP="00D62D9D" w:rsidRDefault="00D62D9D" w14:paraId="282C2FD5" w14:textId="77777777">
      <w:pPr>
        <w:tabs>
          <w:tab w:val="left" w:pos="284"/>
        </w:tabs>
      </w:pPr>
    </w:p>
    <w:p w:rsidRPr="00D62D9D" w:rsidR="00D62D9D" w:rsidP="00D62D9D" w:rsidRDefault="00D62D9D" w14:paraId="4233D97E" w14:textId="77777777">
      <w:pPr>
        <w:tabs>
          <w:tab w:val="left" w:pos="284"/>
        </w:tabs>
      </w:pPr>
      <w:r w:rsidRPr="00D62D9D">
        <w:t>3. Het verruimen van de verwateringsregeling in de BOR en de DSR ab, zodat ook een indirect belang in een werkmaatschappij van minder dan 0,5% voor de BOR en de DSR ab in aanmerking kan komen, mits dat belang in de rechte familielijn door vererving, schenking of huwelijksvermogensrecht is verwaterd van een indirect aanmerkelijk belang naar een belang van minder 0,5%.</w:t>
      </w:r>
      <w:bookmarkEnd w:id="2"/>
    </w:p>
    <w:bookmarkEnd w:id="0"/>
    <w:bookmarkEnd w:id="1"/>
    <w:p w:rsidRPr="00D62D9D" w:rsidR="00D62D9D" w:rsidP="00D62D9D" w:rsidRDefault="00D62D9D" w14:paraId="5A2B8BD1" w14:textId="77777777">
      <w:pPr>
        <w:tabs>
          <w:tab w:val="left" w:pos="284"/>
        </w:tabs>
      </w:pPr>
    </w:p>
    <w:p w:rsidRPr="00D62D9D" w:rsidR="00D62D9D" w:rsidP="00D62D9D" w:rsidRDefault="00D62D9D" w14:paraId="539FB0FC" w14:textId="272DD06F">
      <w:pPr>
        <w:tabs>
          <w:tab w:val="left" w:pos="284"/>
        </w:tabs>
        <w:rPr>
          <w:i/>
          <w:iCs/>
        </w:rPr>
      </w:pPr>
      <w:r w:rsidRPr="00D62D9D">
        <w:rPr>
          <w:i/>
          <w:iCs/>
        </w:rPr>
        <w:t>Budgettaire aspecten</w:t>
      </w:r>
    </w:p>
    <w:p w:rsidRPr="00D62D9D" w:rsidR="00D62D9D" w:rsidP="00D62D9D" w:rsidRDefault="00D62D9D" w14:paraId="30558824" w14:textId="77777777">
      <w:pPr>
        <w:tabs>
          <w:tab w:val="left" w:pos="284"/>
        </w:tabs>
      </w:pPr>
      <w:r w:rsidRPr="00D62D9D">
        <w:t xml:space="preserve">De hierna opgenomen tabel toont de budgettaire effecten van het kabinetsbesluit om de hierboven genoemde drie maatregelen niet in werking te laten treden. Per saldo leidt het besluit tot een structurele budgettaire derving van € 1 miljoen. Deze derving zal tijdens de voorjaarsbesluitvorming worden ingepast in het lastenkader. </w:t>
      </w:r>
    </w:p>
    <w:p w:rsidRPr="00D62D9D" w:rsidR="00D62D9D" w:rsidP="00D62D9D" w:rsidRDefault="00D62D9D" w14:paraId="5C54A9B0" w14:textId="77777777">
      <w:pPr>
        <w:tabs>
          <w:tab w:val="left" w:pos="284"/>
        </w:tabs>
      </w:pPr>
    </w:p>
    <w:p w:rsidRPr="00D62D9D" w:rsidR="00D62D9D" w:rsidP="00D62D9D" w:rsidRDefault="00D62D9D" w14:paraId="28C5D342" w14:textId="77777777">
      <w:pPr>
        <w:tabs>
          <w:tab w:val="left" w:pos="284"/>
        </w:tabs>
        <w:rPr>
          <w:i/>
          <w:iCs/>
        </w:rPr>
      </w:pPr>
      <w:r w:rsidRPr="00D62D9D">
        <w:rPr>
          <w:i/>
          <w:iCs/>
        </w:rPr>
        <w:t>Tabel 1 Budgettaire effecten (in mln €)</w:t>
      </w:r>
    </w:p>
    <w:tbl>
      <w:tblPr>
        <w:tblpPr w:leftFromText="141" w:rightFromText="141" w:vertAnchor="text" w:horzAnchor="margin" w:tblpY="229"/>
        <w:tblW w:w="7371" w:type="dxa"/>
        <w:tblCellMar>
          <w:left w:w="0" w:type="dxa"/>
          <w:right w:w="0" w:type="dxa"/>
        </w:tblCellMar>
        <w:tblLook w:val="04A0" w:firstRow="1" w:lastRow="0" w:firstColumn="1" w:lastColumn="0" w:noHBand="0" w:noVBand="1"/>
      </w:tblPr>
      <w:tblGrid>
        <w:gridCol w:w="2565"/>
        <w:gridCol w:w="790"/>
        <w:gridCol w:w="728"/>
        <w:gridCol w:w="728"/>
        <w:gridCol w:w="728"/>
        <w:gridCol w:w="728"/>
        <w:gridCol w:w="1104"/>
      </w:tblGrid>
      <w:tr w:rsidRPr="00D62D9D" w:rsidR="00D62D9D" w:rsidTr="00D62D9D" w14:paraId="7C672D35" w14:textId="77777777">
        <w:trPr>
          <w:trHeight w:val="118"/>
        </w:trPr>
        <w:tc>
          <w:tcPr>
            <w:tcW w:w="2565" w:type="dxa"/>
            <w:tcBorders>
              <w:top w:val="single" w:color="156082" w:sz="8" w:space="0"/>
              <w:left w:val="single" w:color="156082" w:sz="8" w:space="0"/>
              <w:bottom w:val="nil"/>
              <w:right w:val="nil"/>
            </w:tcBorders>
            <w:shd w:val="clear" w:color="auto" w:fill="156082"/>
            <w:tcMar>
              <w:top w:w="0" w:type="dxa"/>
              <w:left w:w="108" w:type="dxa"/>
              <w:bottom w:w="0" w:type="dxa"/>
              <w:right w:w="108" w:type="dxa"/>
            </w:tcMar>
          </w:tcPr>
          <w:p w:rsidRPr="00D62D9D" w:rsidR="00D62D9D" w:rsidP="00D62D9D" w:rsidRDefault="00D62D9D" w14:paraId="45E6055A" w14:textId="77777777">
            <w:pPr>
              <w:tabs>
                <w:tab w:val="left" w:pos="284"/>
              </w:tabs>
              <w:rPr>
                <w:b/>
                <w:bCs/>
              </w:rPr>
            </w:pPr>
            <w:bookmarkStart w:name="_Hlk214523376" w:id="3"/>
          </w:p>
        </w:tc>
        <w:tc>
          <w:tcPr>
            <w:tcW w:w="790"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D62D9D" w:rsidR="00D62D9D" w:rsidP="00D62D9D" w:rsidRDefault="00D62D9D" w14:paraId="246823F1" w14:textId="77777777">
            <w:pPr>
              <w:tabs>
                <w:tab w:val="left" w:pos="284"/>
              </w:tabs>
              <w:rPr>
                <w:b/>
                <w:bCs/>
              </w:rPr>
            </w:pPr>
            <w:r w:rsidRPr="00D62D9D">
              <w:rPr>
                <w:b/>
                <w:bCs/>
              </w:rPr>
              <w:t>2026</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D62D9D" w:rsidR="00D62D9D" w:rsidP="00D62D9D" w:rsidRDefault="00D62D9D" w14:paraId="4A378AA6" w14:textId="77777777">
            <w:pPr>
              <w:tabs>
                <w:tab w:val="left" w:pos="284"/>
              </w:tabs>
              <w:rPr>
                <w:b/>
                <w:bCs/>
              </w:rPr>
            </w:pPr>
            <w:r w:rsidRPr="00D62D9D">
              <w:rPr>
                <w:b/>
                <w:bCs/>
              </w:rPr>
              <w:t>2027</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D62D9D" w:rsidR="00D62D9D" w:rsidP="00D62D9D" w:rsidRDefault="00D62D9D" w14:paraId="4FCEE1B0" w14:textId="77777777">
            <w:pPr>
              <w:tabs>
                <w:tab w:val="left" w:pos="284"/>
              </w:tabs>
              <w:rPr>
                <w:b/>
                <w:bCs/>
              </w:rPr>
            </w:pPr>
            <w:r w:rsidRPr="00D62D9D">
              <w:rPr>
                <w:b/>
                <w:bCs/>
              </w:rPr>
              <w:t>2028</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D62D9D" w:rsidR="00D62D9D" w:rsidP="00D62D9D" w:rsidRDefault="00D62D9D" w14:paraId="4EB4FF8B" w14:textId="77777777">
            <w:pPr>
              <w:tabs>
                <w:tab w:val="left" w:pos="284"/>
              </w:tabs>
              <w:rPr>
                <w:b/>
                <w:bCs/>
              </w:rPr>
            </w:pPr>
            <w:r w:rsidRPr="00D62D9D">
              <w:rPr>
                <w:b/>
                <w:bCs/>
              </w:rPr>
              <w:t>2029</w:t>
            </w:r>
          </w:p>
        </w:tc>
        <w:tc>
          <w:tcPr>
            <w:tcW w:w="728" w:type="dxa"/>
            <w:tcBorders>
              <w:top w:val="single" w:color="156082" w:sz="8" w:space="0"/>
              <w:left w:val="nil"/>
              <w:bottom w:val="nil"/>
              <w:right w:val="nil"/>
            </w:tcBorders>
            <w:shd w:val="clear" w:color="auto" w:fill="156082"/>
            <w:tcMar>
              <w:top w:w="0" w:type="dxa"/>
              <w:left w:w="108" w:type="dxa"/>
              <w:bottom w:w="0" w:type="dxa"/>
              <w:right w:w="108" w:type="dxa"/>
            </w:tcMar>
            <w:hideMark/>
          </w:tcPr>
          <w:p w:rsidRPr="00D62D9D" w:rsidR="00D62D9D" w:rsidP="00D62D9D" w:rsidRDefault="00D62D9D" w14:paraId="10BC52D6" w14:textId="77777777">
            <w:pPr>
              <w:tabs>
                <w:tab w:val="left" w:pos="284"/>
              </w:tabs>
              <w:rPr>
                <w:b/>
                <w:bCs/>
              </w:rPr>
            </w:pPr>
            <w:r w:rsidRPr="00D62D9D">
              <w:rPr>
                <w:b/>
                <w:bCs/>
              </w:rPr>
              <w:t>2030</w:t>
            </w:r>
          </w:p>
        </w:tc>
        <w:tc>
          <w:tcPr>
            <w:tcW w:w="1104" w:type="dxa"/>
            <w:tcBorders>
              <w:top w:val="single" w:color="156082" w:sz="8" w:space="0"/>
              <w:left w:val="nil"/>
              <w:right w:val="nil"/>
            </w:tcBorders>
            <w:shd w:val="clear" w:color="auto" w:fill="156082"/>
            <w:tcMar>
              <w:top w:w="0" w:type="dxa"/>
              <w:left w:w="108" w:type="dxa"/>
              <w:bottom w:w="0" w:type="dxa"/>
              <w:right w:w="108" w:type="dxa"/>
            </w:tcMar>
            <w:hideMark/>
          </w:tcPr>
          <w:p w:rsidRPr="00D62D9D" w:rsidR="00D62D9D" w:rsidP="00D62D9D" w:rsidRDefault="00D62D9D" w14:paraId="23C29F54" w14:textId="77777777">
            <w:pPr>
              <w:tabs>
                <w:tab w:val="left" w:pos="284"/>
              </w:tabs>
              <w:rPr>
                <w:b/>
                <w:bCs/>
              </w:rPr>
            </w:pPr>
            <w:r w:rsidRPr="00D62D9D">
              <w:rPr>
                <w:b/>
                <w:bCs/>
              </w:rPr>
              <w:t>Struc.</w:t>
            </w:r>
          </w:p>
        </w:tc>
      </w:tr>
      <w:tr w:rsidRPr="00D62D9D" w:rsidR="00D62D9D" w:rsidTr="00D62D9D" w14:paraId="60B63C2C" w14:textId="77777777">
        <w:trPr>
          <w:trHeight w:val="134"/>
        </w:trPr>
        <w:tc>
          <w:tcPr>
            <w:tcW w:w="2565" w:type="dxa"/>
            <w:tcBorders>
              <w:top w:val="nil"/>
              <w:left w:val="single" w:color="156082" w:sz="8" w:space="0"/>
              <w:bottom w:val="single" w:color="156082" w:sz="8" w:space="0"/>
              <w:right w:val="nil"/>
            </w:tcBorders>
            <w:tcMar>
              <w:top w:w="0" w:type="dxa"/>
              <w:left w:w="108" w:type="dxa"/>
              <w:bottom w:w="0" w:type="dxa"/>
              <w:right w:w="108" w:type="dxa"/>
            </w:tcMar>
          </w:tcPr>
          <w:p w:rsidRPr="00D62D9D" w:rsidR="00D62D9D" w:rsidP="00D62D9D" w:rsidRDefault="00D62D9D" w14:paraId="1D3E4656" w14:textId="77777777">
            <w:pPr>
              <w:tabs>
                <w:tab w:val="left" w:pos="284"/>
              </w:tabs>
            </w:pPr>
            <w:r w:rsidRPr="00D62D9D">
              <w:t>BOR en DSR ab worden niet beperkt tot reguliere aandelen</w:t>
            </w:r>
          </w:p>
        </w:tc>
        <w:tc>
          <w:tcPr>
            <w:tcW w:w="790" w:type="dxa"/>
            <w:tcBorders>
              <w:bottom w:val="single" w:color="156082" w:sz="8" w:space="0"/>
            </w:tcBorders>
            <w:tcMar>
              <w:top w:w="0" w:type="dxa"/>
              <w:left w:w="108" w:type="dxa"/>
              <w:bottom w:w="0" w:type="dxa"/>
              <w:right w:w="108" w:type="dxa"/>
            </w:tcMar>
            <w:vAlign w:val="center"/>
            <w:hideMark/>
          </w:tcPr>
          <w:p w:rsidRPr="00D62D9D" w:rsidR="00D62D9D" w:rsidP="00D62D9D" w:rsidRDefault="00D62D9D" w14:paraId="791D2349" w14:textId="77777777">
            <w:pPr>
              <w:tabs>
                <w:tab w:val="left" w:pos="284"/>
              </w:tabs>
            </w:pPr>
            <w:r w:rsidRPr="00D62D9D">
              <w:t>-19</w:t>
            </w:r>
          </w:p>
        </w:tc>
        <w:tc>
          <w:tcPr>
            <w:tcW w:w="728" w:type="dxa"/>
            <w:tcBorders>
              <w:bottom w:val="single" w:color="156082" w:sz="8" w:space="0"/>
            </w:tcBorders>
            <w:tcMar>
              <w:top w:w="0" w:type="dxa"/>
              <w:left w:w="108" w:type="dxa"/>
              <w:bottom w:w="0" w:type="dxa"/>
              <w:right w:w="108" w:type="dxa"/>
            </w:tcMar>
            <w:vAlign w:val="center"/>
            <w:hideMark/>
          </w:tcPr>
          <w:p w:rsidRPr="00D62D9D" w:rsidR="00D62D9D" w:rsidP="00D62D9D" w:rsidRDefault="00D62D9D" w14:paraId="6DDFA3C0" w14:textId="77777777">
            <w:pPr>
              <w:tabs>
                <w:tab w:val="left" w:pos="284"/>
              </w:tabs>
            </w:pPr>
            <w:r w:rsidRPr="00D62D9D">
              <w:t>-20</w:t>
            </w:r>
          </w:p>
        </w:tc>
        <w:tc>
          <w:tcPr>
            <w:tcW w:w="728" w:type="dxa"/>
            <w:tcBorders>
              <w:bottom w:val="single" w:color="156082" w:sz="8" w:space="0"/>
            </w:tcBorders>
            <w:tcMar>
              <w:top w:w="0" w:type="dxa"/>
              <w:left w:w="108" w:type="dxa"/>
              <w:bottom w:w="0" w:type="dxa"/>
              <w:right w:w="108" w:type="dxa"/>
            </w:tcMar>
            <w:vAlign w:val="center"/>
            <w:hideMark/>
          </w:tcPr>
          <w:p w:rsidRPr="00D62D9D" w:rsidR="00D62D9D" w:rsidP="00D62D9D" w:rsidRDefault="00D62D9D" w14:paraId="3799DCE2" w14:textId="77777777">
            <w:pPr>
              <w:tabs>
                <w:tab w:val="left" w:pos="284"/>
              </w:tabs>
            </w:pPr>
            <w:r w:rsidRPr="00D62D9D">
              <w:t>-20</w:t>
            </w:r>
          </w:p>
        </w:tc>
        <w:tc>
          <w:tcPr>
            <w:tcW w:w="728" w:type="dxa"/>
            <w:tcBorders>
              <w:bottom w:val="single" w:color="156082" w:sz="8" w:space="0"/>
            </w:tcBorders>
            <w:tcMar>
              <w:top w:w="0" w:type="dxa"/>
              <w:left w:w="108" w:type="dxa"/>
              <w:bottom w:w="0" w:type="dxa"/>
              <w:right w:w="108" w:type="dxa"/>
            </w:tcMar>
            <w:vAlign w:val="center"/>
            <w:hideMark/>
          </w:tcPr>
          <w:p w:rsidRPr="00D62D9D" w:rsidR="00D62D9D" w:rsidP="00D62D9D" w:rsidRDefault="00D62D9D" w14:paraId="24BBA5BE" w14:textId="77777777">
            <w:pPr>
              <w:tabs>
                <w:tab w:val="left" w:pos="284"/>
              </w:tabs>
            </w:pPr>
            <w:r w:rsidRPr="00D62D9D">
              <w:t>-21</w:t>
            </w:r>
          </w:p>
        </w:tc>
        <w:tc>
          <w:tcPr>
            <w:tcW w:w="728" w:type="dxa"/>
            <w:tcBorders>
              <w:bottom w:val="single" w:color="156082" w:sz="8" w:space="0"/>
            </w:tcBorders>
            <w:tcMar>
              <w:top w:w="0" w:type="dxa"/>
              <w:left w:w="108" w:type="dxa"/>
              <w:bottom w:w="0" w:type="dxa"/>
              <w:right w:w="108" w:type="dxa"/>
            </w:tcMar>
            <w:vAlign w:val="center"/>
            <w:hideMark/>
          </w:tcPr>
          <w:p w:rsidRPr="00D62D9D" w:rsidR="00D62D9D" w:rsidP="00D62D9D" w:rsidRDefault="00D62D9D" w14:paraId="4DD2231E" w14:textId="77777777">
            <w:pPr>
              <w:tabs>
                <w:tab w:val="left" w:pos="284"/>
              </w:tabs>
            </w:pPr>
            <w:r w:rsidRPr="00D62D9D">
              <w:t>-22</w:t>
            </w:r>
          </w:p>
        </w:tc>
        <w:tc>
          <w:tcPr>
            <w:tcW w:w="1104" w:type="dxa"/>
            <w:tcBorders>
              <w:top w:val="single" w:color="156082" w:sz="8" w:space="0"/>
              <w:bottom w:val="single" w:color="156082" w:sz="8" w:space="0"/>
              <w:right w:val="single" w:color="auto" w:sz="4" w:space="0"/>
            </w:tcBorders>
            <w:tcMar>
              <w:top w:w="0" w:type="dxa"/>
              <w:left w:w="108" w:type="dxa"/>
              <w:bottom w:w="0" w:type="dxa"/>
              <w:right w:w="108" w:type="dxa"/>
            </w:tcMar>
            <w:vAlign w:val="center"/>
            <w:hideMark/>
          </w:tcPr>
          <w:p w:rsidRPr="00D62D9D" w:rsidR="00D62D9D" w:rsidP="00D62D9D" w:rsidRDefault="00D62D9D" w14:paraId="119A1F7A" w14:textId="77777777">
            <w:pPr>
              <w:tabs>
                <w:tab w:val="left" w:pos="284"/>
              </w:tabs>
            </w:pPr>
            <w:r w:rsidRPr="00D62D9D">
              <w:t>-22</w:t>
            </w:r>
          </w:p>
        </w:tc>
      </w:tr>
      <w:tr w:rsidRPr="00D62D9D" w:rsidR="00D62D9D" w:rsidTr="00D62D9D" w14:paraId="39DCF7CC" w14:textId="77777777">
        <w:trPr>
          <w:trHeight w:val="134"/>
        </w:trPr>
        <w:tc>
          <w:tcPr>
            <w:tcW w:w="2565" w:type="dxa"/>
            <w:tcBorders>
              <w:top w:val="nil"/>
              <w:left w:val="single" w:color="156082" w:sz="8" w:space="0"/>
              <w:bottom w:val="single" w:color="156082" w:sz="8" w:space="0"/>
              <w:right w:val="nil"/>
            </w:tcBorders>
            <w:tcMar>
              <w:top w:w="0" w:type="dxa"/>
              <w:left w:w="108" w:type="dxa"/>
              <w:bottom w:w="0" w:type="dxa"/>
              <w:right w:w="108" w:type="dxa"/>
            </w:tcMar>
          </w:tcPr>
          <w:p w:rsidRPr="00D62D9D" w:rsidR="00D62D9D" w:rsidP="00D62D9D" w:rsidRDefault="00D62D9D" w14:paraId="4A2F4E4F" w14:textId="77777777">
            <w:pPr>
              <w:tabs>
                <w:tab w:val="left" w:pos="284"/>
              </w:tabs>
            </w:pPr>
            <w:r w:rsidRPr="00D62D9D">
              <w:t>Toegang tot BOR en DRS ab wordt niet verruimd voor kleine familiebelangen</w:t>
            </w:r>
          </w:p>
        </w:tc>
        <w:tc>
          <w:tcPr>
            <w:tcW w:w="790" w:type="dxa"/>
            <w:tcBorders>
              <w:bottom w:val="single" w:color="156082" w:sz="8" w:space="0"/>
            </w:tcBorders>
            <w:tcMar>
              <w:top w:w="0" w:type="dxa"/>
              <w:left w:w="108" w:type="dxa"/>
              <w:bottom w:w="0" w:type="dxa"/>
              <w:right w:w="108" w:type="dxa"/>
            </w:tcMar>
            <w:vAlign w:val="center"/>
          </w:tcPr>
          <w:p w:rsidRPr="00D62D9D" w:rsidR="00D62D9D" w:rsidP="00D62D9D" w:rsidRDefault="00D62D9D" w14:paraId="13DBFCE0" w14:textId="77777777">
            <w:pPr>
              <w:tabs>
                <w:tab w:val="left" w:pos="284"/>
              </w:tabs>
            </w:pPr>
            <w:r w:rsidRPr="00D62D9D">
              <w:t>21</w:t>
            </w:r>
          </w:p>
        </w:tc>
        <w:tc>
          <w:tcPr>
            <w:tcW w:w="728" w:type="dxa"/>
            <w:tcBorders>
              <w:bottom w:val="single" w:color="156082" w:sz="8" w:space="0"/>
            </w:tcBorders>
            <w:tcMar>
              <w:top w:w="0" w:type="dxa"/>
              <w:left w:w="108" w:type="dxa"/>
              <w:bottom w:w="0" w:type="dxa"/>
              <w:right w:w="108" w:type="dxa"/>
            </w:tcMar>
            <w:vAlign w:val="center"/>
          </w:tcPr>
          <w:p w:rsidRPr="00D62D9D" w:rsidR="00D62D9D" w:rsidP="00D62D9D" w:rsidRDefault="00D62D9D" w14:paraId="7980DE7C" w14:textId="77777777">
            <w:pPr>
              <w:tabs>
                <w:tab w:val="left" w:pos="284"/>
              </w:tabs>
            </w:pPr>
            <w:r w:rsidRPr="00D62D9D">
              <w:t>21</w:t>
            </w:r>
          </w:p>
        </w:tc>
        <w:tc>
          <w:tcPr>
            <w:tcW w:w="728" w:type="dxa"/>
            <w:tcBorders>
              <w:bottom w:val="single" w:color="156082" w:sz="8" w:space="0"/>
            </w:tcBorders>
            <w:tcMar>
              <w:top w:w="0" w:type="dxa"/>
              <w:left w:w="108" w:type="dxa"/>
              <w:bottom w:w="0" w:type="dxa"/>
              <w:right w:w="108" w:type="dxa"/>
            </w:tcMar>
            <w:vAlign w:val="center"/>
          </w:tcPr>
          <w:p w:rsidRPr="00D62D9D" w:rsidR="00D62D9D" w:rsidP="00D62D9D" w:rsidRDefault="00D62D9D" w14:paraId="5FE43554" w14:textId="77777777">
            <w:pPr>
              <w:tabs>
                <w:tab w:val="left" w:pos="284"/>
              </w:tabs>
            </w:pPr>
            <w:r w:rsidRPr="00D62D9D">
              <w:t>21</w:t>
            </w:r>
          </w:p>
        </w:tc>
        <w:tc>
          <w:tcPr>
            <w:tcW w:w="728" w:type="dxa"/>
            <w:tcBorders>
              <w:bottom w:val="single" w:color="156082" w:sz="8" w:space="0"/>
            </w:tcBorders>
            <w:tcMar>
              <w:top w:w="0" w:type="dxa"/>
              <w:left w:w="108" w:type="dxa"/>
              <w:bottom w:w="0" w:type="dxa"/>
              <w:right w:w="108" w:type="dxa"/>
            </w:tcMar>
            <w:vAlign w:val="center"/>
          </w:tcPr>
          <w:p w:rsidRPr="00D62D9D" w:rsidR="00D62D9D" w:rsidP="00D62D9D" w:rsidRDefault="00D62D9D" w14:paraId="50DEC223" w14:textId="77777777">
            <w:pPr>
              <w:tabs>
                <w:tab w:val="left" w:pos="284"/>
              </w:tabs>
            </w:pPr>
            <w:r w:rsidRPr="00D62D9D">
              <w:t>21</w:t>
            </w:r>
          </w:p>
        </w:tc>
        <w:tc>
          <w:tcPr>
            <w:tcW w:w="728" w:type="dxa"/>
            <w:tcBorders>
              <w:bottom w:val="single" w:color="156082" w:sz="8" w:space="0"/>
            </w:tcBorders>
            <w:tcMar>
              <w:top w:w="0" w:type="dxa"/>
              <w:left w:w="108" w:type="dxa"/>
              <w:bottom w:w="0" w:type="dxa"/>
              <w:right w:w="108" w:type="dxa"/>
            </w:tcMar>
            <w:vAlign w:val="center"/>
          </w:tcPr>
          <w:p w:rsidRPr="00D62D9D" w:rsidR="00D62D9D" w:rsidP="00D62D9D" w:rsidRDefault="00D62D9D" w14:paraId="0CCAA4C4" w14:textId="77777777">
            <w:pPr>
              <w:tabs>
                <w:tab w:val="left" w:pos="284"/>
              </w:tabs>
            </w:pPr>
            <w:r w:rsidRPr="00D62D9D">
              <w:t>21</w:t>
            </w:r>
          </w:p>
        </w:tc>
        <w:tc>
          <w:tcPr>
            <w:tcW w:w="1104" w:type="dxa"/>
            <w:tcBorders>
              <w:top w:val="single" w:color="156082" w:sz="8" w:space="0"/>
              <w:bottom w:val="single" w:color="156082" w:sz="8" w:space="0"/>
              <w:right w:val="single" w:color="auto" w:sz="4" w:space="0"/>
            </w:tcBorders>
            <w:tcMar>
              <w:top w:w="0" w:type="dxa"/>
              <w:left w:w="108" w:type="dxa"/>
              <w:bottom w:w="0" w:type="dxa"/>
              <w:right w:w="108" w:type="dxa"/>
            </w:tcMar>
            <w:vAlign w:val="center"/>
          </w:tcPr>
          <w:p w:rsidRPr="00D62D9D" w:rsidR="00D62D9D" w:rsidP="00D62D9D" w:rsidRDefault="00D62D9D" w14:paraId="551FA3D5" w14:textId="77777777">
            <w:pPr>
              <w:tabs>
                <w:tab w:val="left" w:pos="284"/>
              </w:tabs>
            </w:pPr>
            <w:r w:rsidRPr="00D62D9D">
              <w:t>21</w:t>
            </w:r>
          </w:p>
        </w:tc>
      </w:tr>
      <w:tr w:rsidRPr="00D62D9D" w:rsidR="00D62D9D" w:rsidTr="00D62D9D" w14:paraId="31B03363" w14:textId="77777777">
        <w:trPr>
          <w:trHeight w:val="134"/>
        </w:trPr>
        <w:tc>
          <w:tcPr>
            <w:tcW w:w="2565" w:type="dxa"/>
            <w:tcBorders>
              <w:top w:val="single" w:color="156082" w:sz="8" w:space="0"/>
              <w:left w:val="single" w:color="156082" w:sz="8" w:space="0"/>
              <w:bottom w:val="single" w:color="auto" w:sz="4" w:space="0"/>
              <w:right w:val="nil"/>
            </w:tcBorders>
            <w:tcMar>
              <w:top w:w="0" w:type="dxa"/>
              <w:left w:w="108" w:type="dxa"/>
              <w:bottom w:w="0" w:type="dxa"/>
              <w:right w:w="108" w:type="dxa"/>
            </w:tcMar>
            <w:hideMark/>
          </w:tcPr>
          <w:p w:rsidRPr="00D62D9D" w:rsidR="00D62D9D" w:rsidP="00D62D9D" w:rsidRDefault="00D62D9D" w14:paraId="6D1B29A5" w14:textId="77777777">
            <w:pPr>
              <w:tabs>
                <w:tab w:val="left" w:pos="284"/>
              </w:tabs>
            </w:pPr>
            <w:r w:rsidRPr="00D62D9D">
              <w:t>TOTAAL</w:t>
            </w:r>
          </w:p>
        </w:tc>
        <w:tc>
          <w:tcPr>
            <w:tcW w:w="790"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D62D9D" w:rsidR="00D62D9D" w:rsidP="00D62D9D" w:rsidRDefault="00D62D9D" w14:paraId="4619854B" w14:textId="77777777">
            <w:pPr>
              <w:tabs>
                <w:tab w:val="left" w:pos="284"/>
              </w:tabs>
            </w:pPr>
            <w:r w:rsidRPr="00D62D9D">
              <w:t>2</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D62D9D" w:rsidR="00D62D9D" w:rsidP="00D62D9D" w:rsidRDefault="00D62D9D" w14:paraId="5C1B6CE1" w14:textId="77777777">
            <w:pPr>
              <w:tabs>
                <w:tab w:val="left" w:pos="284"/>
              </w:tabs>
            </w:pPr>
            <w:r w:rsidRPr="00D62D9D">
              <w:t>1</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D62D9D" w:rsidR="00D62D9D" w:rsidP="00D62D9D" w:rsidRDefault="00D62D9D" w14:paraId="232CDD64" w14:textId="77777777">
            <w:pPr>
              <w:tabs>
                <w:tab w:val="left" w:pos="284"/>
              </w:tabs>
            </w:pPr>
            <w:r w:rsidRPr="00D62D9D">
              <w:t>1</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D62D9D" w:rsidR="00D62D9D" w:rsidP="00D62D9D" w:rsidRDefault="00D62D9D" w14:paraId="0B35FD27" w14:textId="77777777">
            <w:pPr>
              <w:tabs>
                <w:tab w:val="left" w:pos="284"/>
              </w:tabs>
            </w:pPr>
            <w:r w:rsidRPr="00D62D9D">
              <w:t>0</w:t>
            </w:r>
          </w:p>
        </w:tc>
        <w:tc>
          <w:tcPr>
            <w:tcW w:w="728" w:type="dxa"/>
            <w:tcBorders>
              <w:top w:val="single" w:color="156082" w:sz="8" w:space="0"/>
              <w:left w:val="nil"/>
              <w:bottom w:val="single" w:color="auto" w:sz="4" w:space="0"/>
              <w:right w:val="nil"/>
            </w:tcBorders>
            <w:tcMar>
              <w:top w:w="0" w:type="dxa"/>
              <w:left w:w="108" w:type="dxa"/>
              <w:bottom w:w="0" w:type="dxa"/>
              <w:right w:w="108" w:type="dxa"/>
            </w:tcMar>
            <w:vAlign w:val="center"/>
          </w:tcPr>
          <w:p w:rsidRPr="00D62D9D" w:rsidR="00D62D9D" w:rsidP="00D62D9D" w:rsidRDefault="00D62D9D" w14:paraId="313D8102" w14:textId="77777777">
            <w:pPr>
              <w:tabs>
                <w:tab w:val="left" w:pos="284"/>
              </w:tabs>
            </w:pPr>
            <w:r w:rsidRPr="00D62D9D">
              <w:t>-1</w:t>
            </w:r>
          </w:p>
        </w:tc>
        <w:tc>
          <w:tcPr>
            <w:tcW w:w="1104" w:type="dxa"/>
            <w:tcBorders>
              <w:top w:val="single" w:color="156082" w:sz="8" w:space="0"/>
              <w:left w:val="nil"/>
              <w:bottom w:val="single" w:color="auto" w:sz="4" w:space="0"/>
              <w:right w:val="single" w:color="auto" w:sz="4" w:space="0"/>
            </w:tcBorders>
            <w:tcMar>
              <w:top w:w="0" w:type="dxa"/>
              <w:left w:w="108" w:type="dxa"/>
              <w:bottom w:w="0" w:type="dxa"/>
              <w:right w:w="108" w:type="dxa"/>
            </w:tcMar>
            <w:vAlign w:val="center"/>
          </w:tcPr>
          <w:p w:rsidRPr="00D62D9D" w:rsidR="00D62D9D" w:rsidP="00D62D9D" w:rsidRDefault="00D62D9D" w14:paraId="1F8AFA47" w14:textId="77777777">
            <w:pPr>
              <w:tabs>
                <w:tab w:val="left" w:pos="284"/>
              </w:tabs>
            </w:pPr>
            <w:r w:rsidRPr="00D62D9D">
              <w:t>-1</w:t>
            </w:r>
          </w:p>
        </w:tc>
      </w:tr>
      <w:bookmarkEnd w:id="3"/>
    </w:tbl>
    <w:p w:rsidRPr="00D62D9D" w:rsidR="00D62D9D" w:rsidP="00D62D9D" w:rsidRDefault="00D62D9D" w14:paraId="48465920" w14:textId="77777777">
      <w:pPr>
        <w:tabs>
          <w:tab w:val="left" w:pos="284"/>
        </w:tabs>
      </w:pPr>
    </w:p>
    <w:p w:rsidR="00D62D9D" w:rsidP="00D62D9D" w:rsidRDefault="00D62D9D" w14:paraId="19EA823E" w14:textId="77777777">
      <w:pPr>
        <w:tabs>
          <w:tab w:val="left" w:pos="284"/>
        </w:tabs>
        <w:rPr>
          <w:i/>
          <w:iCs/>
        </w:rPr>
      </w:pPr>
    </w:p>
    <w:p w:rsidR="00D62D9D" w:rsidP="00D62D9D" w:rsidRDefault="00D62D9D" w14:paraId="32FFB9D3" w14:textId="77777777">
      <w:pPr>
        <w:tabs>
          <w:tab w:val="left" w:pos="284"/>
        </w:tabs>
        <w:rPr>
          <w:i/>
          <w:iCs/>
        </w:rPr>
      </w:pPr>
    </w:p>
    <w:p w:rsidR="00D62D9D" w:rsidP="00D62D9D" w:rsidRDefault="00D62D9D" w14:paraId="6D193E9F" w14:textId="77777777">
      <w:pPr>
        <w:tabs>
          <w:tab w:val="left" w:pos="284"/>
        </w:tabs>
        <w:rPr>
          <w:i/>
          <w:iCs/>
        </w:rPr>
      </w:pPr>
    </w:p>
    <w:p w:rsidR="00D62D9D" w:rsidP="00D62D9D" w:rsidRDefault="00D62D9D" w14:paraId="7A938076" w14:textId="77777777">
      <w:pPr>
        <w:tabs>
          <w:tab w:val="left" w:pos="284"/>
        </w:tabs>
        <w:rPr>
          <w:i/>
          <w:iCs/>
        </w:rPr>
      </w:pPr>
    </w:p>
    <w:p w:rsidR="00D62D9D" w:rsidP="00D62D9D" w:rsidRDefault="00D62D9D" w14:paraId="233CFCCB" w14:textId="77777777">
      <w:pPr>
        <w:tabs>
          <w:tab w:val="left" w:pos="284"/>
        </w:tabs>
        <w:rPr>
          <w:i/>
          <w:iCs/>
        </w:rPr>
      </w:pPr>
    </w:p>
    <w:p w:rsidR="00D62D9D" w:rsidP="00D62D9D" w:rsidRDefault="00D62D9D" w14:paraId="1721C60B" w14:textId="77777777">
      <w:pPr>
        <w:tabs>
          <w:tab w:val="left" w:pos="284"/>
        </w:tabs>
        <w:rPr>
          <w:i/>
          <w:iCs/>
        </w:rPr>
      </w:pPr>
    </w:p>
    <w:p w:rsidR="00D62D9D" w:rsidP="00D62D9D" w:rsidRDefault="00D62D9D" w14:paraId="64C4AD0A" w14:textId="77777777">
      <w:pPr>
        <w:tabs>
          <w:tab w:val="left" w:pos="284"/>
        </w:tabs>
        <w:rPr>
          <w:i/>
          <w:iCs/>
        </w:rPr>
      </w:pPr>
    </w:p>
    <w:p w:rsidR="00D62D9D" w:rsidP="00D62D9D" w:rsidRDefault="00D62D9D" w14:paraId="77DDC489" w14:textId="77777777">
      <w:pPr>
        <w:tabs>
          <w:tab w:val="left" w:pos="284"/>
        </w:tabs>
        <w:rPr>
          <w:i/>
          <w:iCs/>
        </w:rPr>
      </w:pPr>
    </w:p>
    <w:p w:rsidR="00D62D9D" w:rsidP="00D62D9D" w:rsidRDefault="00D62D9D" w14:paraId="04178761" w14:textId="77777777">
      <w:pPr>
        <w:tabs>
          <w:tab w:val="left" w:pos="284"/>
        </w:tabs>
        <w:rPr>
          <w:i/>
          <w:iCs/>
        </w:rPr>
      </w:pPr>
    </w:p>
    <w:p w:rsidR="00D62D9D" w:rsidP="00D62D9D" w:rsidRDefault="00D62D9D" w14:paraId="4D21A8C4" w14:textId="77777777">
      <w:pPr>
        <w:tabs>
          <w:tab w:val="left" w:pos="284"/>
        </w:tabs>
        <w:rPr>
          <w:i/>
          <w:iCs/>
        </w:rPr>
      </w:pPr>
    </w:p>
    <w:p w:rsidRPr="00D62D9D" w:rsidR="00D62D9D" w:rsidP="00D62D9D" w:rsidRDefault="00D62D9D" w14:paraId="4DD60BC6" w14:textId="15B147F1">
      <w:pPr>
        <w:tabs>
          <w:tab w:val="left" w:pos="284"/>
        </w:tabs>
        <w:rPr>
          <w:i/>
          <w:iCs/>
        </w:rPr>
      </w:pPr>
      <w:r w:rsidRPr="00D62D9D">
        <w:rPr>
          <w:i/>
          <w:iCs/>
        </w:rPr>
        <w:t>Uitvoeringsgevolgen Belastingdienst</w:t>
      </w:r>
    </w:p>
    <w:p w:rsidRPr="00D62D9D" w:rsidR="00D62D9D" w:rsidP="00D62D9D" w:rsidRDefault="00D62D9D" w14:paraId="278E7B08" w14:textId="77777777">
      <w:pPr>
        <w:tabs>
          <w:tab w:val="left" w:pos="284"/>
        </w:tabs>
      </w:pPr>
      <w:bookmarkStart w:name="_Hlk214541641" w:id="4"/>
      <w:r w:rsidRPr="00D62D9D">
        <w:t>De nota van wijziging is beoordeeld met de uitvoeringstoets. Daaruit blijkt dat de wijzigingen met ingang van 1 januari 2026 uitvoerbaar zijn.</w:t>
      </w:r>
    </w:p>
    <w:bookmarkEnd w:id="4"/>
    <w:p w:rsidRPr="00D62D9D" w:rsidR="00D62D9D" w:rsidP="00D62D9D" w:rsidRDefault="00D62D9D" w14:paraId="20129C0E" w14:textId="77777777">
      <w:pPr>
        <w:tabs>
          <w:tab w:val="left" w:pos="284"/>
        </w:tabs>
      </w:pPr>
    </w:p>
    <w:p w:rsidRPr="00D62D9D" w:rsidR="00D62D9D" w:rsidP="00D62D9D" w:rsidRDefault="00D62D9D" w14:paraId="04F976C4" w14:textId="77777777">
      <w:pPr>
        <w:tabs>
          <w:tab w:val="left" w:pos="284"/>
        </w:tabs>
        <w:rPr>
          <w:i/>
          <w:iCs/>
        </w:rPr>
      </w:pPr>
      <w:r w:rsidRPr="00D62D9D">
        <w:rPr>
          <w:i/>
          <w:iCs/>
        </w:rPr>
        <w:t>Gevolgen voor burgers en het bedrijfsleven</w:t>
      </w:r>
    </w:p>
    <w:p w:rsidRPr="00D62D9D" w:rsidR="00D62D9D" w:rsidP="00D62D9D" w:rsidRDefault="00D62D9D" w14:paraId="714E0116" w14:textId="77777777">
      <w:pPr>
        <w:tabs>
          <w:tab w:val="left" w:pos="284"/>
        </w:tabs>
      </w:pPr>
      <w:r w:rsidRPr="00D62D9D">
        <w:t xml:space="preserve">Naar verwachting zal het toepassen van de BOR en DSR ab burgers en bedrijfsleven per saldo niet noemenswaardig meer inspanning kosten door deze nota van wijziging. De vereenvoudiging van de BOR en DSR ab door de beperking van deze twee faciliteiten tot reguliere aandelen vindt enerzijds geen doorgang, anderzijds wordt de BOR en de DSR ab niet complexer door het laten vervallen van de familietoets en de verruiming van de verwateringsregeling. </w:t>
      </w:r>
    </w:p>
    <w:p w:rsidRPr="00D62D9D" w:rsidR="00D62D9D" w:rsidP="00D62D9D" w:rsidRDefault="00D62D9D" w14:paraId="588C988F" w14:textId="77777777">
      <w:pPr>
        <w:tabs>
          <w:tab w:val="left" w:pos="284"/>
        </w:tabs>
      </w:pPr>
    </w:p>
    <w:p w:rsidRPr="00D62D9D" w:rsidR="00D62D9D" w:rsidP="00D62D9D" w:rsidRDefault="00D62D9D" w14:paraId="24C591A0" w14:textId="77777777">
      <w:pPr>
        <w:tabs>
          <w:tab w:val="left" w:pos="284"/>
        </w:tabs>
        <w:rPr>
          <w:b/>
          <w:bCs/>
          <w:i/>
          <w:iCs/>
        </w:rPr>
      </w:pPr>
      <w:r w:rsidRPr="00D62D9D">
        <w:rPr>
          <w:b/>
          <w:bCs/>
          <w:i/>
          <w:iCs/>
        </w:rPr>
        <w:t>2. Onderdeelsgewijze toelichting</w:t>
      </w:r>
    </w:p>
    <w:p w:rsidRPr="00D62D9D" w:rsidR="00D62D9D" w:rsidP="00D62D9D" w:rsidRDefault="00D62D9D" w14:paraId="4A705B46" w14:textId="77777777">
      <w:pPr>
        <w:tabs>
          <w:tab w:val="left" w:pos="284"/>
        </w:tabs>
        <w:rPr>
          <w:i/>
          <w:iCs/>
        </w:rPr>
      </w:pPr>
    </w:p>
    <w:p w:rsidRPr="00D62D9D" w:rsidR="00D62D9D" w:rsidP="00D62D9D" w:rsidRDefault="00D62D9D" w14:paraId="536A7674" w14:textId="77777777">
      <w:pPr>
        <w:tabs>
          <w:tab w:val="left" w:pos="284"/>
        </w:tabs>
        <w:rPr>
          <w:i/>
          <w:iCs/>
        </w:rPr>
      </w:pPr>
      <w:r w:rsidRPr="00D62D9D">
        <w:rPr>
          <w:i/>
          <w:iCs/>
        </w:rPr>
        <w:t>Artikel XXXVIIIB (artikelen II, onderdeel A, en V, van de Wet aanpassing fiscale bedrijfsopvolgingsfaciliteiten 2024)</w:t>
      </w:r>
    </w:p>
    <w:p w:rsidRPr="00D62D9D" w:rsidR="00D62D9D" w:rsidP="00D62D9D" w:rsidRDefault="00D62D9D" w14:paraId="364F1ACE" w14:textId="77777777">
      <w:pPr>
        <w:tabs>
          <w:tab w:val="left" w:pos="284"/>
        </w:tabs>
      </w:pPr>
      <w:r w:rsidRPr="00D62D9D">
        <w:t>De zogenoemde familietoetsmaatregel in de BOR en de uitbreiding van de verwateringsregeling in de BOR en de DSR ab zijn geregeld in de WAFB 2024. Met artikel XXXVIIIB van het wetsvoorstel wordt voorgesteld die maatregelen uit de WAFB 2024 te schrappen.</w:t>
      </w:r>
    </w:p>
    <w:p w:rsidRPr="00D62D9D" w:rsidR="00D62D9D" w:rsidP="00D62D9D" w:rsidRDefault="00D62D9D" w14:paraId="13C42270" w14:textId="77777777">
      <w:pPr>
        <w:tabs>
          <w:tab w:val="left" w:pos="284"/>
        </w:tabs>
      </w:pPr>
    </w:p>
    <w:p w:rsidRPr="00D62D9D" w:rsidR="00D62D9D" w:rsidP="00D62D9D" w:rsidRDefault="00D62D9D" w14:paraId="6669CEBE" w14:textId="77777777">
      <w:pPr>
        <w:tabs>
          <w:tab w:val="left" w:pos="284"/>
        </w:tabs>
        <w:rPr>
          <w:i/>
          <w:iCs/>
        </w:rPr>
      </w:pPr>
      <w:r w:rsidRPr="00D62D9D">
        <w:rPr>
          <w:i/>
          <w:iCs/>
        </w:rPr>
        <w:t xml:space="preserve">Artikel </w:t>
      </w:r>
      <w:r w:rsidRPr="00D62D9D">
        <w:t>XX</w:t>
      </w:r>
      <w:r w:rsidRPr="00D62D9D">
        <w:rPr>
          <w:i/>
          <w:iCs/>
        </w:rPr>
        <w:t>XVIIIC (artikelen I, onderdelen A, Aa en B, en III, onderdelen B, Ba en C, van de Wet aanpassing fiscale bedrijfsopvolgingsfaciliteiten 2025)</w:t>
      </w:r>
    </w:p>
    <w:p w:rsidRPr="00D62D9D" w:rsidR="00D62D9D" w:rsidDel="00551D10" w:rsidP="00D62D9D" w:rsidRDefault="00D62D9D" w14:paraId="042D47BD" w14:textId="77777777">
      <w:pPr>
        <w:tabs>
          <w:tab w:val="left" w:pos="284"/>
        </w:tabs>
      </w:pPr>
      <w:r w:rsidRPr="00D62D9D">
        <w:lastRenderedPageBreak/>
        <w:t>De beperking van de toegang tot de BOR en de DSR ab tot reguliere aandelen met een belang van minimaal 5% in het geplaatste kapitaal is geregeld in de WAFB 2025. Met artikel XXXVIIIC wordt voorgesteld die maatregel uit de WAFB 2025 te schrappen.</w:t>
      </w:r>
    </w:p>
    <w:p w:rsidRPr="00D62D9D" w:rsidR="00D62D9D" w:rsidDel="00551D10" w:rsidP="00D62D9D" w:rsidRDefault="00D62D9D" w14:paraId="5825C2AC" w14:textId="77777777">
      <w:pPr>
        <w:tabs>
          <w:tab w:val="left" w:pos="284"/>
        </w:tabs>
        <w:rPr>
          <w:i/>
          <w:iCs/>
        </w:rPr>
      </w:pPr>
    </w:p>
    <w:p w:rsidRPr="00D62D9D" w:rsidR="00D62D9D" w:rsidP="00D62D9D" w:rsidRDefault="00D62D9D" w14:paraId="3BAA3659" w14:textId="77777777">
      <w:pPr>
        <w:tabs>
          <w:tab w:val="left" w:pos="284"/>
        </w:tabs>
      </w:pPr>
      <w:r w:rsidRPr="00D62D9D">
        <w:t xml:space="preserve">De Staatssecretaris van Financiën, </w:t>
      </w:r>
    </w:p>
    <w:p w:rsidR="00D62D9D" w:rsidP="00FE223B" w:rsidRDefault="00D62D9D" w14:paraId="6969635B" w14:textId="3F1E1E79">
      <w:pPr>
        <w:tabs>
          <w:tab w:val="left" w:pos="284"/>
        </w:tabs>
      </w:pPr>
      <w:r>
        <w:t>E.H.J. Heijnen</w:t>
      </w:r>
    </w:p>
    <w:p w:rsidRPr="00D62D9D" w:rsidR="00D62D9D" w:rsidP="00D62D9D" w:rsidRDefault="00D62D9D" w14:paraId="3AF306DC" w14:textId="77777777"/>
    <w:p w:rsidRPr="00D62D9D" w:rsidR="00D62D9D" w:rsidP="00D62D9D" w:rsidRDefault="00D62D9D" w14:paraId="76495684" w14:textId="77777777"/>
    <w:p w:rsidRPr="00D62D9D" w:rsidR="00D62D9D" w:rsidP="00D62D9D" w:rsidRDefault="00D62D9D" w14:paraId="003CCF9D" w14:textId="77777777"/>
    <w:p w:rsidRPr="00D62D9D" w:rsidR="00D62D9D" w:rsidP="00D62D9D" w:rsidRDefault="00D62D9D" w14:paraId="5AF8E8F9" w14:textId="77777777"/>
    <w:p w:rsidRPr="00D62D9D" w:rsidR="00D62D9D" w:rsidP="00D62D9D" w:rsidRDefault="00D62D9D" w14:paraId="387A1151" w14:textId="77777777"/>
    <w:p w:rsidR="00D62D9D" w:rsidP="00D62D9D" w:rsidRDefault="00D62D9D" w14:paraId="4A96ACFC" w14:textId="77777777"/>
    <w:p w:rsidRPr="00D62D9D" w:rsidR="00D62D9D" w:rsidP="00D62D9D" w:rsidRDefault="00D62D9D" w14:paraId="1F77CF43" w14:textId="52570259">
      <w:pPr>
        <w:tabs>
          <w:tab w:val="left" w:pos="2004"/>
        </w:tabs>
      </w:pPr>
      <w:r>
        <w:tab/>
      </w:r>
    </w:p>
    <w:sectPr w:rsidRPr="00D62D9D" w:rsidR="00D62D9D" w:rsidSect="00E71387">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4492" w14:textId="77777777" w:rsidR="00D91528" w:rsidRDefault="00D91528">
      <w:r>
        <w:separator/>
      </w:r>
    </w:p>
  </w:endnote>
  <w:endnote w:type="continuationSeparator" w:id="0">
    <w:p w14:paraId="191C0843" w14:textId="77777777" w:rsidR="00D91528" w:rsidRDefault="00D9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667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7CD12F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D0AC"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FA68" w14:textId="77777777" w:rsidR="00D91528" w:rsidRDefault="00D91528">
      <w:r>
        <w:separator/>
      </w:r>
    </w:p>
  </w:footnote>
  <w:footnote w:type="continuationSeparator" w:id="0">
    <w:p w14:paraId="53C07B64" w14:textId="77777777" w:rsidR="00D91528" w:rsidRDefault="00D91528">
      <w:r>
        <w:continuationSeparator/>
      </w:r>
    </w:p>
  </w:footnote>
  <w:footnote w:id="1">
    <w:p w14:paraId="0BF3C376" w14:textId="77777777" w:rsidR="00D62D9D" w:rsidRPr="00D62D9D" w:rsidRDefault="00D62D9D" w:rsidP="00D62D9D">
      <w:pPr>
        <w:pStyle w:val="Voetnoottekst"/>
        <w:rPr>
          <w:rFonts w:ascii="Times New Roman" w:hAnsi="Times New Roman" w:cs="Times New Roman"/>
        </w:rPr>
      </w:pPr>
      <w:r w:rsidRPr="00D62D9D">
        <w:rPr>
          <w:rStyle w:val="Voetnootmarkering"/>
          <w:rFonts w:ascii="Times New Roman" w:hAnsi="Times New Roman" w:cs="Times New Roman"/>
        </w:rPr>
        <w:footnoteRef/>
      </w:r>
      <w:r w:rsidRPr="00D62D9D">
        <w:rPr>
          <w:rFonts w:ascii="Times New Roman" w:hAnsi="Times New Roman" w:cs="Times New Roman"/>
        </w:rPr>
        <w:t xml:space="preserve"> Kamerstukken II 2025/26, 36812, nr. 16, p. 116-118.</w:t>
      </w:r>
    </w:p>
  </w:footnote>
  <w:footnote w:id="2">
    <w:p w14:paraId="219E3227" w14:textId="77777777" w:rsidR="00D62D9D" w:rsidRPr="001B07B8" w:rsidRDefault="00D62D9D" w:rsidP="00D62D9D">
      <w:pPr>
        <w:pStyle w:val="Voetnoottekst"/>
        <w:rPr>
          <w:sz w:val="13"/>
          <w:szCs w:val="13"/>
        </w:rPr>
      </w:pPr>
      <w:r w:rsidRPr="00D62D9D">
        <w:rPr>
          <w:rStyle w:val="Voetnootmarkering"/>
          <w:rFonts w:ascii="Times New Roman" w:hAnsi="Times New Roman" w:cs="Times New Roman"/>
        </w:rPr>
        <w:footnoteRef/>
      </w:r>
      <w:r w:rsidRPr="00D62D9D">
        <w:rPr>
          <w:rFonts w:ascii="Times New Roman" w:hAnsi="Times New Roman" w:cs="Times New Roman"/>
        </w:rPr>
        <w:t xml:space="preserve"> Ook belangen die enkel een aanmerkelijk belang zijn op grond van de meetrekregeling, bedoeld in artikel 4.10 van de Wet Inkomstenbelasting 2001 kunnen op grond van de familietoets kwalificeren voor de BOR.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9D"/>
    <w:rsid w:val="00236B9D"/>
    <w:rsid w:val="002546AD"/>
    <w:rsid w:val="003B4752"/>
    <w:rsid w:val="004D365A"/>
    <w:rsid w:val="004D5FF9"/>
    <w:rsid w:val="00532A9B"/>
    <w:rsid w:val="007C02C8"/>
    <w:rsid w:val="009833D1"/>
    <w:rsid w:val="00B36DBA"/>
    <w:rsid w:val="00D62D9D"/>
    <w:rsid w:val="00D91528"/>
    <w:rsid w:val="00E7138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F3282"/>
  <w15:docId w15:val="{B42F61D7-1B5B-4ED4-9F8D-77AC6E7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D62D9D"/>
    <w:rPr>
      <w:rFonts w:ascii="Verdana" w:eastAsiaTheme="minorHAnsi" w:hAnsi="Verdana" w:cstheme="minorBidi"/>
      <w:sz w:val="20"/>
      <w:lang w:eastAsia="en-US"/>
    </w:rPr>
  </w:style>
  <w:style w:type="character" w:customStyle="1" w:styleId="VoetnoottekstChar">
    <w:name w:val="Voetnoottekst Char"/>
    <w:basedOn w:val="Standaardalinea-lettertype"/>
    <w:link w:val="Voetnoottekst"/>
    <w:uiPriority w:val="99"/>
    <w:rsid w:val="00D62D9D"/>
    <w:rPr>
      <w:rFonts w:ascii="Verdana" w:eastAsiaTheme="minorHAnsi" w:hAnsi="Verdana" w:cstheme="minorBidi"/>
      <w:lang w:eastAsia="en-US"/>
    </w:rPr>
  </w:style>
  <w:style w:type="character" w:styleId="Voetnootmarkering">
    <w:name w:val="footnote reference"/>
    <w:basedOn w:val="Standaardalinea-lettertype"/>
    <w:uiPriority w:val="99"/>
    <w:unhideWhenUsed/>
    <w:rsid w:val="00D62D9D"/>
    <w:rPr>
      <w:vertAlign w:val="superscript"/>
    </w:rPr>
  </w:style>
  <w:style w:type="paragraph" w:styleId="Koptekst">
    <w:name w:val="header"/>
    <w:basedOn w:val="Standaard"/>
    <w:link w:val="KoptekstChar"/>
    <w:rsid w:val="004D365A"/>
    <w:pPr>
      <w:tabs>
        <w:tab w:val="center" w:pos="4536"/>
        <w:tab w:val="right" w:pos="9072"/>
      </w:tabs>
    </w:pPr>
  </w:style>
  <w:style w:type="character" w:customStyle="1" w:styleId="KoptekstChar">
    <w:name w:val="Koptekst Char"/>
    <w:basedOn w:val="Standaardalinea-lettertype"/>
    <w:link w:val="Koptekst"/>
    <w:rsid w:val="004D36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722</ap:Words>
  <ap:Characters>3976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2025-11-27T10:26:00.0000000Z</dcterms:created>
  <dcterms:modified xsi:type="dcterms:W3CDTF">2025-11-27T10:26:00.0000000Z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