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2025Z20421</w:t>
        <w:br/>
      </w:r>
      <w:proofErr w:type="spellEnd"/>
    </w:p>
    <w:p>
      <w:pPr>
        <w:pStyle w:val="Normal"/>
        <w:rPr>
          <w:b w:val="1"/>
          <w:bCs w:val="1"/>
        </w:rPr>
      </w:pPr>
      <w:r w:rsidR="250AE766">
        <w:rPr>
          <w:b w:val="0"/>
          <w:bCs w:val="0"/>
        </w:rPr>
        <w:t>(ingezonden 25 november 2025)</w:t>
        <w:br/>
      </w:r>
    </w:p>
    <w:p>
      <w:r>
        <w:t xml:space="preserve">Vragen van het lid Oualhadj (D66) aan de minister van Economische Zaken over de situatie omtrent de ingreep bij Nexperia.</w:t>
      </w:r>
      <w:r>
        <w:br/>
      </w:r>
    </w:p>
    <w:p>
      <w:pPr>
        <w:pStyle w:val="ListParagraph"/>
        <w:numPr>
          <w:ilvl w:val="0"/>
          <w:numId w:val="100491230"/>
        </w:numPr>
        <w:ind w:left="360"/>
      </w:pPr>
      <w:r>
        <w:t xml:space="preserve">Kunt u een overzicht geven van de betrokkenheid binnen het kabinet bij het besluit om de Wet beschikbaarheid goederen in te zetten bij Nexperia (wie is wanneer geïnformeerd, welke besluitvorming heeft waar plaatsgevonden)?</w:t>
      </w:r>
      <w:r>
        <w:br/>
      </w:r>
    </w:p>
    <w:p>
      <w:pPr>
        <w:pStyle w:val="ListParagraph"/>
        <w:numPr>
          <w:ilvl w:val="0"/>
          <w:numId w:val="100491230"/>
        </w:numPr>
        <w:ind w:left="360"/>
      </w:pPr>
      <w:r>
        <w:t xml:space="preserve">Kunt u een overzicht geven van de vraag welke landen en Europese instellingen wanneer betrokken zijn geweest bij dit dossier en op welke wijze?</w:t>
      </w:r>
      <w:r>
        <w:br/>
      </w:r>
    </w:p>
    <w:p>
      <w:pPr>
        <w:pStyle w:val="ListParagraph"/>
        <w:numPr>
          <w:ilvl w:val="0"/>
          <w:numId w:val="100491230"/>
        </w:numPr>
        <w:ind w:left="360"/>
      </w:pPr>
      <w:r>
        <w:t xml:space="preserve">Kunt u uiteenzetten welke objectieve criteria en signaleringsindicatoren u heeft gehanteerd om te bepalen dat sprake was van omstandigheden “ter verzekering van het beschikbaar blijven van goederen ter voorbereiding op noodsituaties”, zoals bedoeld in artikel 2, eerste lid, Wet beschikbaarheid goederen?</w:t>
      </w:r>
      <w:r>
        <w:br/>
      </w:r>
    </w:p>
    <w:p>
      <w:pPr>
        <w:pStyle w:val="ListParagraph"/>
        <w:numPr>
          <w:ilvl w:val="0"/>
          <w:numId w:val="100491230"/>
        </w:numPr>
        <w:ind w:left="360"/>
      </w:pPr>
      <w:r>
        <w:t xml:space="preserve">Kon u vooraf bevestigen dat de juridische handhaafbaarheid van het bevel onzeker was en aanvullende rechterlijke inmenging nodig zou zijn om naleving te garanderen, en waarom is desondanks voor dit instrument gekozen?</w:t>
      </w:r>
      <w:r>
        <w:br/>
      </w:r>
    </w:p>
    <w:p>
      <w:pPr>
        <w:pStyle w:val="ListParagraph"/>
        <w:numPr>
          <w:ilvl w:val="0"/>
          <w:numId w:val="100491230"/>
        </w:numPr>
        <w:ind w:left="360"/>
      </w:pPr>
      <w:r>
        <w:t xml:space="preserve">Welke andere instrumenten of interventies zijn overwogen om de risico’s bij Nexperia te beperken, en op welke gronden zijn deze niet ingezet?</w:t>
      </w:r>
      <w:r>
        <w:br/>
      </w:r>
    </w:p>
    <w:p>
      <w:pPr>
        <w:pStyle w:val="ListParagraph"/>
        <w:numPr>
          <w:ilvl w:val="0"/>
          <w:numId w:val="100491230"/>
        </w:numPr>
        <w:ind w:left="360"/>
      </w:pPr>
      <w:r>
        <w:t xml:space="preserve">Welke beoordeling heeft u vooraf gemaakt van het risico dat China het bevel op grond van de Wet beschikbaarheid goederen zou aanmerken als de facto nationalisatie van een Chinees bedrijf en als aanleiding zou zien voor exportmaatregelen?</w:t>
      </w:r>
      <w:r>
        <w:br/>
      </w:r>
    </w:p>
    <w:p>
      <w:pPr>
        <w:pStyle w:val="ListParagraph"/>
        <w:numPr>
          <w:ilvl w:val="0"/>
          <w:numId w:val="100491230"/>
        </w:numPr>
        <w:ind w:left="360"/>
      </w:pPr>
      <w:r>
        <w:t xml:space="preserve">Welke onderbouwing hanteert u voor de proportionaliteit van het Wet beschikbaarheid goederen bevel, gezien de diplomatieke en economische gevolgen, waaronder verstoringen in de levering van halfgeleiders?</w:t>
      </w:r>
      <w:r>
        <w:br/>
      </w:r>
    </w:p>
    <w:p>
      <w:pPr>
        <w:pStyle w:val="ListParagraph"/>
        <w:numPr>
          <w:ilvl w:val="0"/>
          <w:numId w:val="100491230"/>
        </w:numPr>
        <w:ind w:left="360"/>
      </w:pPr>
      <w:r>
        <w:t xml:space="preserve">Waarom is het Wet beschikbaarheid goederen bevel nog zo lang gehandhaafd, nadat de Ondernemingskamer had ingegrepen, de CEO was geschorst en de continuïteit van de onderneming was geborgd?</w:t>
      </w:r>
      <w:r>
        <w:br/>
      </w:r>
    </w:p>
    <w:p>
      <w:pPr>
        <w:pStyle w:val="ListParagraph"/>
        <w:numPr>
          <w:ilvl w:val="0"/>
          <w:numId w:val="100491230"/>
        </w:numPr>
        <w:ind w:left="360"/>
      </w:pPr>
      <w:r>
        <w:t xml:space="preserve">Welke toetsings- en afwegingskaders worden structureel toegepast om te bepalen of en wanneer de Wet beschikbaarheid goederen ook moet worden overwogen bij andere ondernemingen in Nederland die van strategisch belang zijn voor de economische veiligheid?</w:t>
      </w:r>
      <w:r>
        <w:br/>
      </w:r>
    </w:p>
    <w:p>
      <w:pPr>
        <w:pStyle w:val="ListParagraph"/>
        <w:numPr>
          <w:ilvl w:val="0"/>
          <w:numId w:val="100491230"/>
        </w:numPr>
        <w:ind w:left="360"/>
      </w:pPr>
      <w:r>
        <w:t xml:space="preserve">Hoe zorgt u ervoor dat er geen precedent is ontstaan voor de inzet van de Wet beschikbaarheid goederen, maar dat de toepassing van deze wet voorspelbaar, zorgvuldig en uitzonderlijk blijft, zodat de bijdrage van buitenlandse investeringen aan innovatie en strategisch vermogen in Nederland niet wordt ontmoedigd?</w:t>
      </w:r>
      <w:r>
        <w:br/>
      </w:r>
    </w:p>
    <w:p>
      <w:pPr>
        <w:pStyle w:val="ListParagraph"/>
        <w:numPr>
          <w:ilvl w:val="0"/>
          <w:numId w:val="100491230"/>
        </w:numPr>
        <w:ind w:left="360"/>
      </w:pPr>
      <w:r>
        <w:t xml:space="preserve">Welke criteria hanteert u om te beoordelen of herinzet van het bevel noodzakelijk is bij eventuele nieuwe risico’s of gedragingen?</w:t>
      </w:r>
      <w:r>
        <w:br/>
      </w:r>
    </w:p>
    <w:p>
      <w:pPr>
        <w:pStyle w:val="ListParagraph"/>
        <w:numPr>
          <w:ilvl w:val="0"/>
          <w:numId w:val="100491230"/>
        </w:numPr>
        <w:ind w:left="360"/>
      </w:pPr>
      <w:r>
        <w:t xml:space="preserve">Kunt u toelichten in welke mate Europese partners voorafgaand aan uw besluit formeel zijn betrokken bij de risico-analyse, de weging van mogelijke maatregelen en de uiteindelijke besluitvorming over het bevel?</w:t>
      </w:r>
      <w:r>
        <w:br/>
      </w:r>
    </w:p>
    <w:p>
      <w:pPr>
        <w:pStyle w:val="ListParagraph"/>
        <w:numPr>
          <w:ilvl w:val="0"/>
          <w:numId w:val="100491230"/>
        </w:numPr>
        <w:ind w:left="360"/>
      </w:pPr>
      <w:r>
        <w:t xml:space="preserve">Hoe is de structurele coördinatie van diplomatieke acties en strategische communicatie met andere EU-lidstaten en de Europese Commissie richting China ingericht gedurende en na de inzet van de Wet beschikbaarheid goederen?</w:t>
      </w:r>
      <w:r>
        <w:br/>
      </w:r>
    </w:p>
    <w:p>
      <w:pPr>
        <w:pStyle w:val="ListParagraph"/>
        <w:numPr>
          <w:ilvl w:val="0"/>
          <w:numId w:val="100491230"/>
        </w:numPr>
        <w:ind w:left="360"/>
      </w:pPr>
      <w:r>
        <w:t xml:space="preserve">Welke afspraken zijn inmiddels gemaakt binnen de EU om te voorkomen dat nationale maatregelen ter bevordering van Europese strategische autonomie in de toekomst opnieuw kunnen leiden tot acute risico’s voor de leveringszekerheid van cruciale technologieën?</w:t>
      </w:r>
      <w:r>
        <w:br/>
      </w:r>
    </w:p>
    <w:p>
      <w:pPr>
        <w:pStyle w:val="ListParagraph"/>
        <w:numPr>
          <w:ilvl w:val="0"/>
          <w:numId w:val="100491230"/>
        </w:numPr>
        <w:ind w:left="360"/>
      </w:pPr>
      <w:r>
        <w:t xml:space="preserve">Hoe legt u uit dat de inzet van de Wet beschikbaarheid goederen bedoeld is om leveringszekerheid te beschermen, maar op korte termijn heeft geleid tot nieuwe kwetsbaarheden in de waardeketen van halfgeleiders?</w:t>
      </w:r>
      <w:r>
        <w:br/>
      </w:r>
    </w:p>
    <w:p>
      <w:pPr>
        <w:pStyle w:val="ListParagraph"/>
        <w:numPr>
          <w:ilvl w:val="0"/>
          <w:numId w:val="100491230"/>
        </w:numPr>
        <w:ind w:left="360"/>
      </w:pPr>
      <w:r>
        <w:t xml:space="preserve">Wat zijn de economische gevolgen voor Nederland als gevolg van deze ingreep? Wat zijn de langere-termijngevolgen van dit dossier voor het versterken van de Europese strategische autonomie?</w:t>
      </w:r>
      <w:r>
        <w:br/>
      </w:r>
    </w:p>
    <w:p>
      <w:pPr>
        <w:pStyle w:val="ListParagraph"/>
        <w:numPr>
          <w:ilvl w:val="0"/>
          <w:numId w:val="100491230"/>
        </w:numPr>
        <w:ind w:left="360"/>
      </w:pPr>
      <w:r>
        <w:t xml:space="preserve">Welke beleidsmatige lessen trekt u uit dit dossier om toekomstige ingrepen effectiever, voorspelbaarder en diplomatiek minder riskant te maken?</w:t>
      </w:r>
      <w:r>
        <w:br/>
      </w:r>
    </w:p>
    <w:p>
      <w:pPr>
        <w:pStyle w:val="ListParagraph"/>
        <w:numPr>
          <w:ilvl w:val="0"/>
          <w:numId w:val="100491230"/>
        </w:numPr>
        <w:ind w:left="360"/>
      </w:pPr>
      <w:r>
        <w:t xml:space="preserve">Beschikt het ministerie over een structureel beoordelingskader om continu mogelijke risico’s te monitoren op het gebied van (i) cruciale technologie en productiecapaciteit, (ii) strategische afhankelijkheden en (iii) verplaatsing van kennis, intellectueel eigendom of bedrijfsvestigingen uit Nederland of Europa?</w:t>
      </w:r>
      <w:r>
        <w:br/>
      </w:r>
    </w:p>
    <w:p>
      <w:pPr>
        <w:pStyle w:val="ListParagraph"/>
        <w:numPr>
          <w:ilvl w:val="0"/>
          <w:numId w:val="100491230"/>
        </w:numPr>
        <w:ind w:left="360"/>
      </w:pPr>
      <w:r>
        <w:t xml:space="preserve">Welke interdepartementale, internationale en Europese samenwerkingsstructuren worden hierbij gebruikt om dergelijke risico’s tijdig te signaleren en gezamenlijk te adresseren?</w:t>
      </w:r>
      <w:r>
        <w:br/>
      </w:r>
    </w:p>
    <w:p>
      <w:pPr>
        <w:pStyle w:val="ListParagraph"/>
        <w:numPr>
          <w:ilvl w:val="0"/>
          <w:numId w:val="100491230"/>
        </w:numPr>
        <w:ind w:left="360"/>
      </w:pPr>
      <w:r>
        <w:t xml:space="preserve">Bent u bereid het genoemde beoordelingskader, inclusief de gehanteerde criteria voor interventie, publiekelijk of ten minste vertrouwelijk met de Kamer te delen, om de voorspelbaarheid en democratische controle op toekomstige afwegingen onder de Wet beschikbaarheid goederen te vergroten?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