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A1E0742" w14:textId="77777777">
        <w:tc>
          <w:tcPr>
            <w:tcW w:w="6379" w:type="dxa"/>
            <w:gridSpan w:val="2"/>
            <w:tcBorders>
              <w:top w:val="nil"/>
              <w:left w:val="nil"/>
              <w:bottom w:val="nil"/>
              <w:right w:val="nil"/>
            </w:tcBorders>
            <w:vAlign w:val="center"/>
          </w:tcPr>
          <w:p w:rsidR="004330ED" w:rsidP="00EA1CE4" w:rsidRDefault="004330ED" w14:paraId="5BF1292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DC3C30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D517104" w14:textId="77777777">
        <w:trPr>
          <w:cantSplit/>
        </w:trPr>
        <w:tc>
          <w:tcPr>
            <w:tcW w:w="10348" w:type="dxa"/>
            <w:gridSpan w:val="3"/>
            <w:tcBorders>
              <w:top w:val="single" w:color="auto" w:sz="4" w:space="0"/>
              <w:left w:val="nil"/>
              <w:bottom w:val="nil"/>
              <w:right w:val="nil"/>
            </w:tcBorders>
          </w:tcPr>
          <w:p w:rsidR="004330ED" w:rsidP="004A1E29" w:rsidRDefault="004330ED" w14:paraId="1D096AC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E8BDB89" w14:textId="77777777">
        <w:trPr>
          <w:cantSplit/>
        </w:trPr>
        <w:tc>
          <w:tcPr>
            <w:tcW w:w="10348" w:type="dxa"/>
            <w:gridSpan w:val="3"/>
            <w:tcBorders>
              <w:top w:val="nil"/>
              <w:left w:val="nil"/>
              <w:bottom w:val="nil"/>
              <w:right w:val="nil"/>
            </w:tcBorders>
          </w:tcPr>
          <w:p w:rsidR="004330ED" w:rsidP="00BF623B" w:rsidRDefault="004330ED" w14:paraId="08696672" w14:textId="77777777">
            <w:pPr>
              <w:pStyle w:val="Amendement"/>
              <w:tabs>
                <w:tab w:val="clear" w:pos="3310"/>
                <w:tab w:val="clear" w:pos="3600"/>
              </w:tabs>
              <w:rPr>
                <w:rFonts w:ascii="Times New Roman" w:hAnsi="Times New Roman"/>
                <w:b w:val="0"/>
              </w:rPr>
            </w:pPr>
          </w:p>
        </w:tc>
      </w:tr>
      <w:tr w:rsidR="004330ED" w:rsidTr="00EA1CE4" w14:paraId="3C703F1C" w14:textId="77777777">
        <w:trPr>
          <w:cantSplit/>
        </w:trPr>
        <w:tc>
          <w:tcPr>
            <w:tcW w:w="10348" w:type="dxa"/>
            <w:gridSpan w:val="3"/>
            <w:tcBorders>
              <w:top w:val="nil"/>
              <w:left w:val="nil"/>
              <w:bottom w:val="single" w:color="auto" w:sz="4" w:space="0"/>
              <w:right w:val="nil"/>
            </w:tcBorders>
          </w:tcPr>
          <w:p w:rsidR="004330ED" w:rsidP="00BF623B" w:rsidRDefault="004330ED" w14:paraId="6671F27B" w14:textId="77777777">
            <w:pPr>
              <w:pStyle w:val="Amendement"/>
              <w:tabs>
                <w:tab w:val="clear" w:pos="3310"/>
                <w:tab w:val="clear" w:pos="3600"/>
              </w:tabs>
              <w:rPr>
                <w:rFonts w:ascii="Times New Roman" w:hAnsi="Times New Roman"/>
              </w:rPr>
            </w:pPr>
          </w:p>
        </w:tc>
      </w:tr>
      <w:tr w:rsidR="004330ED" w:rsidTr="00EA1CE4" w14:paraId="425D8A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931FAA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D68A3B7" w14:textId="77777777">
            <w:pPr>
              <w:suppressAutoHyphens/>
              <w:ind w:left="-70"/>
              <w:rPr>
                <w:b/>
              </w:rPr>
            </w:pPr>
          </w:p>
        </w:tc>
      </w:tr>
      <w:tr w:rsidR="003C21AC" w:rsidTr="00EA1CE4" w14:paraId="0910F1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A46FC" w14:paraId="198ECE17" w14:textId="2EE8E0E1">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5A46FC" w:rsidR="003C21AC" w:rsidP="005A46FC" w:rsidRDefault="005A46FC" w14:paraId="16850B58" w14:textId="26AC7AB3">
            <w:pPr>
              <w:rPr>
                <w:b/>
                <w:bCs/>
                <w:szCs w:val="24"/>
              </w:rPr>
            </w:pPr>
            <w:r w:rsidRPr="005A46FC">
              <w:rPr>
                <w:b/>
                <w:bCs/>
                <w:szCs w:val="24"/>
              </w:rPr>
              <w:t>Wijziging van enkele belastingwetten en enige andere wetten (Belastingplan 2026)</w:t>
            </w:r>
          </w:p>
        </w:tc>
      </w:tr>
      <w:tr w:rsidR="003C21AC" w:rsidTr="00EA1CE4" w14:paraId="3D66BF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A05277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2C868BB" w14:textId="77777777">
            <w:pPr>
              <w:pStyle w:val="Amendement"/>
              <w:tabs>
                <w:tab w:val="clear" w:pos="3310"/>
                <w:tab w:val="clear" w:pos="3600"/>
              </w:tabs>
              <w:ind w:left="-70"/>
              <w:rPr>
                <w:rFonts w:ascii="Times New Roman" w:hAnsi="Times New Roman"/>
              </w:rPr>
            </w:pPr>
          </w:p>
        </w:tc>
      </w:tr>
      <w:tr w:rsidR="003C21AC" w:rsidTr="00EA1CE4" w14:paraId="75BC6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DF9ED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2DD1006" w14:textId="77777777">
            <w:pPr>
              <w:pStyle w:val="Amendement"/>
              <w:tabs>
                <w:tab w:val="clear" w:pos="3310"/>
                <w:tab w:val="clear" w:pos="3600"/>
              </w:tabs>
              <w:ind w:left="-70"/>
              <w:rPr>
                <w:rFonts w:ascii="Times New Roman" w:hAnsi="Times New Roman"/>
              </w:rPr>
            </w:pPr>
          </w:p>
        </w:tc>
      </w:tr>
      <w:tr w:rsidR="003C21AC" w:rsidTr="00EA1CE4" w14:paraId="53AC14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753AD88" w14:textId="454F0001">
            <w:pPr>
              <w:pStyle w:val="Amendement"/>
              <w:tabs>
                <w:tab w:val="clear" w:pos="3310"/>
                <w:tab w:val="clear" w:pos="3600"/>
              </w:tabs>
              <w:rPr>
                <w:rFonts w:ascii="Times New Roman" w:hAnsi="Times New Roman"/>
              </w:rPr>
            </w:pPr>
            <w:r w:rsidRPr="00C035D4">
              <w:rPr>
                <w:rFonts w:ascii="Times New Roman" w:hAnsi="Times New Roman"/>
              </w:rPr>
              <w:t xml:space="preserve">Nr. </w:t>
            </w:r>
            <w:r w:rsidR="00874337">
              <w:rPr>
                <w:rFonts w:ascii="Times New Roman" w:hAnsi="Times New Roman"/>
                <w:caps/>
              </w:rPr>
              <w:t>64</w:t>
            </w:r>
          </w:p>
        </w:tc>
        <w:tc>
          <w:tcPr>
            <w:tcW w:w="7371" w:type="dxa"/>
            <w:gridSpan w:val="2"/>
          </w:tcPr>
          <w:p w:rsidRPr="00C035D4" w:rsidR="003C21AC" w:rsidP="006E0971" w:rsidRDefault="003C21AC" w14:paraId="4035312B" w14:textId="7E9B04E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A46FC">
              <w:rPr>
                <w:rFonts w:ascii="Times New Roman" w:hAnsi="Times New Roman"/>
                <w:caps/>
              </w:rPr>
              <w:t>dassen</w:t>
            </w:r>
          </w:p>
        </w:tc>
      </w:tr>
      <w:tr w:rsidR="003C21AC" w:rsidTr="00EA1CE4" w14:paraId="74B3E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BA09F2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C05C71A" w14:textId="3CB806E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74337">
              <w:rPr>
                <w:rFonts w:ascii="Times New Roman" w:hAnsi="Times New Roman"/>
                <w:b w:val="0"/>
              </w:rPr>
              <w:t>25 november 2025</w:t>
            </w:r>
          </w:p>
        </w:tc>
      </w:tr>
      <w:tr w:rsidR="00B01BA6" w:rsidTr="00EA1CE4" w14:paraId="63AD03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560D93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F79EE04" w14:textId="77777777">
            <w:pPr>
              <w:pStyle w:val="Amendement"/>
              <w:tabs>
                <w:tab w:val="clear" w:pos="3310"/>
                <w:tab w:val="clear" w:pos="3600"/>
              </w:tabs>
              <w:ind w:left="-70"/>
              <w:rPr>
                <w:rFonts w:ascii="Times New Roman" w:hAnsi="Times New Roman"/>
                <w:b w:val="0"/>
              </w:rPr>
            </w:pPr>
          </w:p>
        </w:tc>
      </w:tr>
      <w:tr w:rsidRPr="00EA69AC" w:rsidR="00B01BA6" w:rsidTr="00EA1CE4" w14:paraId="326DE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7B2601" w14:textId="77777777">
            <w:pPr>
              <w:ind w:firstLine="284"/>
            </w:pPr>
            <w:r w:rsidRPr="00EA69AC">
              <w:t>De ondergetekende stelt het volgende amendement voor:</w:t>
            </w:r>
          </w:p>
        </w:tc>
      </w:tr>
    </w:tbl>
    <w:p w:rsidR="004330ED" w:rsidP="00D774B3" w:rsidRDefault="004330ED" w14:paraId="3E749A0C" w14:textId="77777777"/>
    <w:p w:rsidR="00472B08" w:rsidP="00D774B3" w:rsidRDefault="00472B08" w14:paraId="6A94E566" w14:textId="346F0576">
      <w:r>
        <w:t>I</w:t>
      </w:r>
    </w:p>
    <w:p w:rsidR="00472B08" w:rsidP="00D774B3" w:rsidRDefault="00472B08" w14:paraId="72CBAD70" w14:textId="77777777"/>
    <w:p w:rsidR="00472B08" w:rsidP="00B3056E" w:rsidRDefault="00472B08" w14:paraId="6F57ACC4" w14:textId="5E44024A">
      <w:pPr>
        <w:ind w:firstLine="284"/>
      </w:pPr>
      <w:r>
        <w:t>Na artikel I, onderdeel D, wordt een onderdeel ingevoegd, luidende:</w:t>
      </w:r>
    </w:p>
    <w:p w:rsidR="00472B08" w:rsidP="00D774B3" w:rsidRDefault="00472B08" w14:paraId="76FA849E" w14:textId="77777777"/>
    <w:p w:rsidR="00472B08" w:rsidP="00D774B3" w:rsidRDefault="00472B08" w14:paraId="49875EA0" w14:textId="0AF783E1">
      <w:r>
        <w:t>D</w:t>
      </w:r>
      <w:r w:rsidR="009151B1">
        <w:t>a</w:t>
      </w:r>
    </w:p>
    <w:p w:rsidR="00B3056E" w:rsidP="00D774B3" w:rsidRDefault="00B3056E" w14:paraId="73B88B76" w14:textId="77777777"/>
    <w:p w:rsidR="00472B08" w:rsidP="00B3056E" w:rsidRDefault="007C58E7" w14:paraId="7302DD4E" w14:textId="1849BFEF">
      <w:pPr>
        <w:ind w:firstLine="284"/>
      </w:pPr>
      <w:r w:rsidRPr="007C58E7">
        <w:t xml:space="preserve">Het in artikel 5.13, eerste lid, als eerste genoemde bedrag wordt vervangen door </w:t>
      </w:r>
      <w:r w:rsidR="00654BCE">
        <w:t>“</w:t>
      </w:r>
      <w:r w:rsidRPr="007C58E7">
        <w:t xml:space="preserve">€ </w:t>
      </w:r>
      <w:r w:rsidR="00B8797E">
        <w:t>71.251</w:t>
      </w:r>
      <w:r w:rsidR="00654BCE">
        <w:t>”</w:t>
      </w:r>
      <w:r w:rsidRPr="007C58E7">
        <w:t xml:space="preserve"> en het in dat lid als tweede genoemde bedrag wordt vervangen door </w:t>
      </w:r>
      <w:r w:rsidR="00654BCE">
        <w:t>“</w:t>
      </w:r>
      <w:r w:rsidRPr="007C58E7">
        <w:t xml:space="preserve">€ </w:t>
      </w:r>
      <w:r w:rsidR="00B8797E">
        <w:t>142.502</w:t>
      </w:r>
      <w:r w:rsidR="00654BCE">
        <w:t>”</w:t>
      </w:r>
      <w:r w:rsidRPr="007C58E7">
        <w:t>.</w:t>
      </w:r>
    </w:p>
    <w:p w:rsidR="00472B08" w:rsidP="00D774B3" w:rsidRDefault="00472B08" w14:paraId="45D9E182" w14:textId="77777777"/>
    <w:p w:rsidR="00562853" w:rsidP="00D774B3" w:rsidRDefault="00562853" w14:paraId="1AF5A22F" w14:textId="2A3CEC8B">
      <w:r>
        <w:t>II</w:t>
      </w:r>
    </w:p>
    <w:p w:rsidR="00562853" w:rsidP="00D774B3" w:rsidRDefault="00562853" w14:paraId="7CB99ECA" w14:textId="77777777"/>
    <w:p w:rsidR="00562853" w:rsidP="00B3056E" w:rsidRDefault="009151B1" w14:paraId="13A48272" w14:textId="45110964">
      <w:pPr>
        <w:ind w:firstLine="284"/>
      </w:pPr>
      <w:r>
        <w:t>Voor</w:t>
      </w:r>
      <w:r w:rsidR="00562853">
        <w:t xml:space="preserve"> artikel I, onderdeel </w:t>
      </w:r>
      <w:r>
        <w:t>I</w:t>
      </w:r>
      <w:r w:rsidR="00562853">
        <w:t>, wordt een onderdeel ingevoegd, luidende:</w:t>
      </w:r>
    </w:p>
    <w:p w:rsidR="00562853" w:rsidP="00562853" w:rsidRDefault="00562853" w14:paraId="292CFED9" w14:textId="77777777"/>
    <w:p w:rsidR="00562853" w:rsidP="00562853" w:rsidRDefault="00562853" w14:paraId="3E3988FC" w14:textId="09CB1A97">
      <w:r>
        <w:t>H</w:t>
      </w:r>
      <w:r w:rsidR="009151B1">
        <w:t>a</w:t>
      </w:r>
    </w:p>
    <w:p w:rsidR="00562853" w:rsidP="00D774B3" w:rsidRDefault="00562853" w14:paraId="40AD8CF6" w14:textId="77777777"/>
    <w:p w:rsidR="00562853" w:rsidP="00B3056E" w:rsidRDefault="00562853" w14:paraId="1E89D216" w14:textId="1CC50F4F">
      <w:pPr>
        <w:ind w:firstLine="284"/>
      </w:pPr>
      <w:r>
        <w:t xml:space="preserve">In artikel 8.19, tweede lid, wordt </w:t>
      </w:r>
      <w:r w:rsidR="00654BCE">
        <w:t>“</w:t>
      </w:r>
      <w:r>
        <w:t>0,1%</w:t>
      </w:r>
      <w:r w:rsidR="00654BCE">
        <w:t>”</w:t>
      </w:r>
      <w:r>
        <w:t xml:space="preserve"> vervangen door </w:t>
      </w:r>
      <w:r w:rsidR="00654BCE">
        <w:t>“</w:t>
      </w:r>
      <w:r w:rsidR="00B8797E">
        <w:t>0,7</w:t>
      </w:r>
      <w:r>
        <w:t>%</w:t>
      </w:r>
      <w:r w:rsidR="00654BCE">
        <w:t>”</w:t>
      </w:r>
      <w:r>
        <w:t>.</w:t>
      </w:r>
    </w:p>
    <w:p w:rsidR="00562853" w:rsidP="00D774B3" w:rsidRDefault="00562853" w14:paraId="1910A12C" w14:textId="77777777"/>
    <w:p w:rsidR="00472B08" w:rsidP="00D774B3" w:rsidRDefault="00472B08" w14:paraId="6F565858" w14:textId="202FEAA9">
      <w:r>
        <w:t>II</w:t>
      </w:r>
      <w:r w:rsidR="00562853">
        <w:t>I</w:t>
      </w:r>
    </w:p>
    <w:p w:rsidR="00472B08" w:rsidP="00D774B3" w:rsidRDefault="00472B08" w14:paraId="770A56C4" w14:textId="77777777"/>
    <w:p w:rsidRPr="007E2522" w:rsidR="009151B1" w:rsidP="00B3056E" w:rsidRDefault="009151B1" w14:paraId="6F6191C5" w14:textId="77777777">
      <w:pPr>
        <w:ind w:firstLine="284"/>
      </w:pPr>
      <w:r w:rsidRPr="007E2522">
        <w:t>In artikel I</w:t>
      </w:r>
      <w:r w:rsidRPr="00307A16">
        <w:t>I</w:t>
      </w:r>
      <w:r w:rsidRPr="007E2522">
        <w:t xml:space="preserve"> vervallen de aanhef alsmede de aanduiding “B.” voor het </w:t>
      </w:r>
      <w:r w:rsidRPr="00307A16">
        <w:t>tweede</w:t>
      </w:r>
      <w:r w:rsidRPr="007E2522">
        <w:t xml:space="preserve"> onderdeel en in dat onderdeel wordt “In” vervangen door “In de Wet inkomstenbelasting 2001 wordt met ingang van 1 januari 2027 in”. Voorts wordt “vijfde lid, wordt” vervangen door “vijfde lid,”.</w:t>
      </w:r>
    </w:p>
    <w:p w:rsidR="009151B1" w:rsidP="00D774B3" w:rsidRDefault="009151B1" w14:paraId="336957C6" w14:textId="77777777"/>
    <w:p w:rsidRPr="007E2522" w:rsidR="009151B1" w:rsidP="009151B1" w:rsidRDefault="009151B1" w14:paraId="172F9B5F" w14:textId="77777777">
      <w:r w:rsidRPr="007E2522">
        <w:t>IV</w:t>
      </w:r>
    </w:p>
    <w:p w:rsidR="009151B1" w:rsidP="009151B1" w:rsidRDefault="009151B1" w14:paraId="63020528" w14:textId="77777777"/>
    <w:p w:rsidRPr="007E2522" w:rsidR="009151B1" w:rsidP="00B3056E" w:rsidRDefault="009151B1" w14:paraId="18685073" w14:textId="79664214">
      <w:pPr>
        <w:ind w:firstLine="284"/>
      </w:pPr>
      <w:r w:rsidRPr="007E2522">
        <w:t>Artikel II, onderdeel A, vervalt.</w:t>
      </w:r>
    </w:p>
    <w:p w:rsidRPr="00EA69AC" w:rsidR="00472B08" w:rsidP="00D774B3" w:rsidRDefault="00472B08" w14:paraId="5A5A83A0" w14:textId="77777777"/>
    <w:p w:rsidR="00C56E13" w:rsidP="00C56E13" w:rsidRDefault="00562853" w14:paraId="31951E32" w14:textId="516C1279">
      <w:r>
        <w:t>V</w:t>
      </w:r>
    </w:p>
    <w:p w:rsidR="00BE00F9" w:rsidP="00EA1CE4" w:rsidRDefault="00BE00F9" w14:paraId="5C1FC61A" w14:textId="77777777"/>
    <w:p w:rsidR="00BE00F9" w:rsidP="00EA1CE4" w:rsidRDefault="00BE00F9" w14:paraId="714B73D1" w14:textId="5C5B8F6F">
      <w:r>
        <w:tab/>
        <w:t>Na artikel XXX</w:t>
      </w:r>
      <w:r w:rsidR="000B0835">
        <w:t>III</w:t>
      </w:r>
      <w:r>
        <w:t xml:space="preserve"> wordt een artikel ingevoegd, luidende:</w:t>
      </w:r>
    </w:p>
    <w:p w:rsidRPr="00BE00F9" w:rsidR="00BE00F9" w:rsidP="00EA1CE4" w:rsidRDefault="00BE00F9" w14:paraId="435EA979" w14:textId="77777777">
      <w:pPr>
        <w:rPr>
          <w:b/>
          <w:bCs/>
        </w:rPr>
      </w:pPr>
    </w:p>
    <w:p w:rsidRPr="00BE00F9" w:rsidR="00BE00F9" w:rsidP="00EA1CE4" w:rsidRDefault="00BE00F9" w14:paraId="70418733" w14:textId="1315F662">
      <w:pPr>
        <w:rPr>
          <w:b/>
          <w:bCs/>
        </w:rPr>
      </w:pPr>
      <w:r w:rsidRPr="00BE00F9">
        <w:rPr>
          <w:b/>
          <w:bCs/>
        </w:rPr>
        <w:t>ARTIKEL XXX</w:t>
      </w:r>
      <w:r w:rsidR="000B0835">
        <w:rPr>
          <w:b/>
          <w:bCs/>
        </w:rPr>
        <w:t>IIIA</w:t>
      </w:r>
    </w:p>
    <w:p w:rsidR="00BE00F9" w:rsidP="00EA1CE4" w:rsidRDefault="00BE00F9" w14:paraId="43989B18" w14:textId="77777777"/>
    <w:p w:rsidR="00BE00F9" w:rsidP="00EA1CE4" w:rsidRDefault="00BE00F9" w14:paraId="40392E1F" w14:textId="4EDB7F42">
      <w:r>
        <w:tab/>
      </w:r>
      <w:r w:rsidRPr="005E04D9" w:rsidR="000C0AE6">
        <w:t>In de Wet op de accijns wordt in artikel 27, eerste lid, onderdeel b, “€ 516,25” vervangen door “€ 541,36</w:t>
      </w:r>
      <w:r w:rsidR="00CC320E">
        <w:t>”.</w:t>
      </w:r>
    </w:p>
    <w:p w:rsidR="00BE00F9" w:rsidP="00EA1CE4" w:rsidRDefault="00BE00F9" w14:paraId="44BB2BF0" w14:textId="77777777"/>
    <w:p w:rsidR="00472B08" w:rsidP="00EA1CE4" w:rsidRDefault="00472B08" w14:paraId="30B82A85" w14:textId="4D2B627E">
      <w:r>
        <w:t>V</w:t>
      </w:r>
      <w:r w:rsidR="009151B1">
        <w:t>I</w:t>
      </w:r>
    </w:p>
    <w:p w:rsidR="00472B08" w:rsidP="00EA1CE4" w:rsidRDefault="00472B08" w14:paraId="54529F0D" w14:textId="77777777"/>
    <w:p w:rsidR="00472B08" w:rsidP="00B3056E" w:rsidRDefault="00472B08" w14:paraId="543BA5FD" w14:textId="1E29869F">
      <w:pPr>
        <w:ind w:firstLine="284"/>
      </w:pPr>
      <w:r>
        <w:t>Artikel XXXVIII</w:t>
      </w:r>
      <w:r w:rsidR="007C58E7">
        <w:t xml:space="preserve">, onderdeel B </w:t>
      </w:r>
      <w:r w:rsidR="009151B1">
        <w:t>vervalt.</w:t>
      </w:r>
    </w:p>
    <w:p w:rsidR="00D74866" w:rsidP="007C58E7" w:rsidRDefault="00D74866" w14:paraId="13ECF371" w14:textId="77777777"/>
    <w:p w:rsidR="00D74866" w:rsidP="007C58E7" w:rsidRDefault="00D74866" w14:paraId="4CD1A86E" w14:textId="62A26F4A">
      <w:r>
        <w:t>VII</w:t>
      </w:r>
    </w:p>
    <w:p w:rsidR="00D74866" w:rsidP="007C58E7" w:rsidRDefault="00D74866" w14:paraId="666D351C" w14:textId="77777777"/>
    <w:p w:rsidRPr="005E04D9" w:rsidR="00D74866" w:rsidP="00B3056E" w:rsidRDefault="00D74866" w14:paraId="69302A9A" w14:textId="77777777">
      <w:pPr>
        <w:ind w:firstLine="284"/>
      </w:pPr>
      <w:r w:rsidRPr="005E04D9">
        <w:t>Artikel XXXVIII, onderdeel D, komt te luiden:</w:t>
      </w:r>
    </w:p>
    <w:p w:rsidRPr="005E04D9" w:rsidR="00D74866" w:rsidP="00D74866" w:rsidRDefault="00D74866" w14:paraId="77DF3B65" w14:textId="77777777"/>
    <w:p w:rsidRPr="005E04D9" w:rsidR="00D74866" w:rsidP="00D74866" w:rsidRDefault="00D74866" w14:paraId="49F68FA5" w14:textId="77777777">
      <w:r w:rsidRPr="005E04D9">
        <w:t>D</w:t>
      </w:r>
    </w:p>
    <w:p w:rsidRPr="005E04D9" w:rsidR="00D74866" w:rsidP="00D74866" w:rsidRDefault="00D74866" w14:paraId="12F193D2" w14:textId="77777777"/>
    <w:p w:rsidRPr="00F16CE5" w:rsidR="00D74866" w:rsidP="00B3056E" w:rsidRDefault="00D74866" w14:paraId="58C0A1D3" w14:textId="1E0B4AB1">
      <w:pPr>
        <w:ind w:firstLine="284"/>
      </w:pPr>
      <w:r w:rsidRPr="005E04D9">
        <w:t>In artikel XLIII wordt “1 januari 2026” vervangen door “1 januari 2027” en wordt het bedrag ”€ 516,25” vervangen door “€ 541,36</w:t>
      </w:r>
      <w:r w:rsidR="00CC320E">
        <w:t>”.</w:t>
      </w:r>
      <w:r w:rsidRPr="005E04D9">
        <w:t xml:space="preserve"> Voorts worden de bedragen “€ 973,84”, “€ 635,90” en “€ 425,43” vervangen door respectievelijk “€ 1002,07”, “€ 703,55” en “€ 437,77”.</w:t>
      </w:r>
    </w:p>
    <w:p w:rsidR="0066108E" w:rsidP="007C58E7" w:rsidRDefault="0066108E" w14:paraId="10B63176" w14:textId="77777777"/>
    <w:p w:rsidR="0066108E" w:rsidP="007C58E7" w:rsidRDefault="0066108E" w14:paraId="15A705A9" w14:textId="0C3158EB">
      <w:r>
        <w:t>VI</w:t>
      </w:r>
      <w:r w:rsidR="009151B1">
        <w:t>I</w:t>
      </w:r>
      <w:r w:rsidR="00D74866">
        <w:t>I</w:t>
      </w:r>
    </w:p>
    <w:p w:rsidR="0066108E" w:rsidP="007C58E7" w:rsidRDefault="0066108E" w14:paraId="1B487D26" w14:textId="77777777"/>
    <w:p w:rsidR="0066108E" w:rsidP="00B3056E" w:rsidRDefault="0066108E" w14:paraId="30126828" w14:textId="04FBA309">
      <w:pPr>
        <w:ind w:firstLine="284"/>
      </w:pPr>
      <w:r>
        <w:t>In artikel L</w:t>
      </w:r>
      <w:r w:rsidR="00654BCE">
        <w:t>, eerste lid, onderdeel a,</w:t>
      </w:r>
      <w:r>
        <w:t xml:space="preserve"> wordt</w:t>
      </w:r>
      <w:r w:rsidR="002277E0">
        <w:t xml:space="preserve"> ‘onderdeel A, onder 1,’ vervangen door ‘onderdelen A, onder 1, en D</w:t>
      </w:r>
      <w:r w:rsidR="00B3056E">
        <w:t>a</w:t>
      </w:r>
      <w:r w:rsidR="002277E0">
        <w:t>’.</w:t>
      </w:r>
    </w:p>
    <w:p w:rsidR="00472B08" w:rsidP="00EA1CE4" w:rsidRDefault="00472B08" w14:paraId="6E88A7B9" w14:textId="77777777"/>
    <w:p w:rsidRPr="00EA69AC" w:rsidR="003C21AC" w:rsidP="00EA1CE4" w:rsidRDefault="003C21AC" w14:paraId="7B866ED1" w14:textId="77777777">
      <w:pPr>
        <w:rPr>
          <w:b/>
        </w:rPr>
      </w:pPr>
      <w:r w:rsidRPr="00EA69AC">
        <w:rPr>
          <w:b/>
        </w:rPr>
        <w:t>Toelichting</w:t>
      </w:r>
    </w:p>
    <w:p w:rsidRPr="00EA69AC" w:rsidR="003C21AC" w:rsidP="00BF623B" w:rsidRDefault="003C21AC" w14:paraId="6F565311" w14:textId="77777777"/>
    <w:p w:rsidR="000C0AE6" w:rsidP="005A46FC" w:rsidRDefault="005A46FC" w14:paraId="71A29ACB" w14:textId="703C071B">
      <w:r>
        <w:t xml:space="preserve">Met dit amendement wordt </w:t>
      </w:r>
      <w:r w:rsidR="0008323A">
        <w:t>de afschaffing en versobering van de vrijstelling en heffingskorting groen beleggen</w:t>
      </w:r>
      <w:r>
        <w:t xml:space="preserve"> teruggedraaid</w:t>
      </w:r>
      <w:r w:rsidR="0008323A">
        <w:t>.</w:t>
      </w:r>
      <w:r>
        <w:t xml:space="preserve"> </w:t>
      </w:r>
      <w:r w:rsidR="0008323A">
        <w:t>D</w:t>
      </w:r>
      <w:r>
        <w:t xml:space="preserve">it wordt gedekt door het </w:t>
      </w:r>
      <w:r w:rsidR="000C0AE6">
        <w:t>gedeeltelijk terugdraaien van de korting op</w:t>
      </w:r>
      <w:r>
        <w:t xml:space="preserve"> de dieselaccijns </w:t>
      </w:r>
      <w:r w:rsidR="000C0AE6">
        <w:t xml:space="preserve">in 2026 en het structureel verhogen van de dieselaccijns </w:t>
      </w:r>
      <w:r>
        <w:t xml:space="preserve">met circa </w:t>
      </w:r>
      <w:r w:rsidR="000C0AE6">
        <w:t>5</w:t>
      </w:r>
      <w:r>
        <w:t xml:space="preserve"> cent</w:t>
      </w:r>
      <w:r w:rsidR="000C0AE6">
        <w:t xml:space="preserve"> per liter (ten opzichte van het basispad) vanaf 1 januari 2027</w:t>
      </w:r>
      <w:r>
        <w:t xml:space="preserve">. </w:t>
      </w:r>
      <w:r w:rsidR="000C0AE6">
        <w:t xml:space="preserve">Daarbij is rekening gehouden met de effecten van de grondslagerosie, wat ervoor zorgt dat de extra opbrengsten van de verhoging van de dieselaccijns per jaar afnemen. Bij het gekozen accijnstarief resulteert dit in een tijdelijke overdekking in de eerste periode, gevolgd door een structurele dekking van de maatregel. </w:t>
      </w:r>
    </w:p>
    <w:p w:rsidR="000C0AE6" w:rsidP="005A46FC" w:rsidRDefault="000C0AE6" w14:paraId="0F17F666" w14:textId="77777777"/>
    <w:p w:rsidR="005A46FC" w:rsidP="005A46FC" w:rsidRDefault="0008323A" w14:paraId="2D45B8BC" w14:textId="2C04D328">
      <w:r>
        <w:t xml:space="preserve">Vanaf 2028 is een bedrag van € 159 miljoen taakstellend opgenomen om een vergelijkbare regeling voor groenprojecten in het nieuwe (op werkelijk rendement gebaseerde) box 3-stelsel te creëren. Als dit amendement wordt aangenomen, </w:t>
      </w:r>
      <w:r w:rsidR="00E9058A">
        <w:t>kan</w:t>
      </w:r>
      <w:r>
        <w:t xml:space="preserve"> dit nog door middel van een nota van wijziging </w:t>
      </w:r>
      <w:r w:rsidR="00E9058A">
        <w:t xml:space="preserve">worden </w:t>
      </w:r>
      <w:r>
        <w:t>verwerkt in het wetsvoorstel Wet werkelijk rendement box 3.</w:t>
      </w:r>
    </w:p>
    <w:p w:rsidR="005A46FC" w:rsidP="005A46FC" w:rsidRDefault="005A46FC" w14:paraId="66CCE062" w14:textId="77777777"/>
    <w:p w:rsidR="005A46FC" w:rsidP="005A46FC" w:rsidRDefault="005A46FC" w14:paraId="5CC8F281" w14:textId="77777777">
      <w:r>
        <w:t xml:space="preserve">Groen beleggen is één van de weinige fiscale regelingen die doelmatig en doeltreffend zijn bevonden. Het heeft als doel om kapitaal van particuliere spaarders en beleggers aan te trekken voor innovatieve duurzame projecten. Vanwege het hoge risicokarakter van deze beleggingen en om deze innovatieve duurzame beleggingen te stimuleren is er een belastingvoordeel vanuit de overheid beschikbaar gesteld. Zo krijgen spaarders en investeerders een tegemoetkoming voor het vaak lagere rendement op groene beleggingen ten opzichte van “gewone” beleggingen. </w:t>
      </w:r>
    </w:p>
    <w:p w:rsidR="005A46FC" w:rsidP="005A46FC" w:rsidRDefault="005A46FC" w14:paraId="240C3614" w14:textId="77777777"/>
    <w:p w:rsidR="005A46FC" w:rsidP="005A46FC" w:rsidRDefault="005A46FC" w14:paraId="0383505F" w14:textId="77777777">
      <w:r>
        <w:t xml:space="preserve">Het </w:t>
      </w:r>
      <w:r>
        <w:rPr>
          <w:rFonts w:eastAsiaTheme="majorEastAsia"/>
        </w:rPr>
        <w:t>onderzoek van de Rijksdienst voor Ondernemend Nederland (</w:t>
      </w:r>
      <w:r>
        <w:t xml:space="preserve">RVO) laat zien dat het versoberen van de fiscale regeling aanzienlijke negatieve effecten heeft. De halvering van de vrijstelling leidt volgens RVO tot een </w:t>
      </w:r>
      <w:r>
        <w:rPr>
          <w:rFonts w:eastAsiaTheme="majorEastAsia"/>
        </w:rPr>
        <w:t>daling van het ingelegde vermogen met 30 tot 37 procent</w:t>
      </w:r>
      <w:r>
        <w:t xml:space="preserve">, van circa </w:t>
      </w:r>
      <w:r>
        <w:rPr>
          <w:rFonts w:eastAsiaTheme="majorEastAsia"/>
        </w:rPr>
        <w:t>€ 6,7 miljard naar € 4,2 miljard</w:t>
      </w:r>
      <w:r>
        <w:t>. Daarmee komt de financiering van tal van duurzame projecten zoals zonneparken, warmtenetten, innovatief agrarisch beheer en circulaire bouw, direct onder druk te staan.</w:t>
      </w:r>
    </w:p>
    <w:p w:rsidR="005A46FC" w:rsidP="005A46FC" w:rsidRDefault="005A46FC" w14:paraId="5FAEFB57" w14:textId="77777777"/>
    <w:p w:rsidR="005A46FC" w:rsidP="005A46FC" w:rsidRDefault="005A46FC" w14:paraId="56ED2699" w14:textId="77777777">
      <w:r>
        <w:t xml:space="preserve">Indiener acht het behoud en de versterking van deze regeling daarom </w:t>
      </w:r>
      <w:r>
        <w:rPr>
          <w:rFonts w:eastAsiaTheme="majorEastAsia"/>
        </w:rPr>
        <w:t>noodzakelijk om de private investeringsstroom richting groene en innovatieve projecten op peil te houden</w:t>
      </w:r>
      <w:r>
        <w:t xml:space="preserve">. Dit is cruciaal voor het behalen van de </w:t>
      </w:r>
      <w:r>
        <w:rPr>
          <w:rFonts w:eastAsiaTheme="majorEastAsia"/>
        </w:rPr>
        <w:t>klimaatdoelen, het versterken van het Nederlandse verdienvermogen</w:t>
      </w:r>
      <w:r>
        <w:t xml:space="preserve"> en het </w:t>
      </w:r>
      <w:r>
        <w:rPr>
          <w:rFonts w:eastAsiaTheme="majorEastAsia"/>
        </w:rPr>
        <w:t>versnellen van de energietransitie</w:t>
      </w:r>
      <w:r>
        <w:t>.</w:t>
      </w:r>
    </w:p>
    <w:p w:rsidR="005A46FC" w:rsidP="005A46FC" w:rsidRDefault="005A46FC" w14:paraId="62EEAE4C" w14:textId="77777777"/>
    <w:p w:rsidR="005A46FC" w:rsidP="005A46FC" w:rsidRDefault="005A46FC" w14:paraId="79A176F8" w14:textId="77777777">
      <w:r>
        <w:t xml:space="preserve">Door de vrijstelling te behouden en te versterken wordt voorkomen dat particuliere investeerders zich terugtrekken uit duurzame projecten en dat de publieke financieringsdruk verder oploopt. De dekking door een lichte verhoging van de dieselaccijns sluit bovendien aan bij de klimaatdoelstelling om vervuiling </w:t>
      </w:r>
      <w:r>
        <w:lastRenderedPageBreak/>
        <w:t>zwaarder te belasten dan verduurzaming.</w:t>
      </w:r>
    </w:p>
    <w:p w:rsidR="00CC3EC4" w:rsidP="005A46FC" w:rsidRDefault="00CC3EC4" w14:paraId="47791B75" w14:textId="77777777"/>
    <w:p w:rsidRPr="00866902" w:rsidR="000C0AE6" w:rsidP="005A46FC" w:rsidRDefault="000C0AE6" w14:paraId="6CC5E722" w14:textId="76DB8C29">
      <w:pPr>
        <w:rPr>
          <w:b/>
          <w:bCs/>
        </w:rPr>
      </w:pPr>
      <w:r w:rsidRPr="004267B7">
        <w:rPr>
          <w:b/>
          <w:bCs/>
        </w:rPr>
        <w:t>Budgettaire effecten (in miljoen euro, prijzen 2025</w:t>
      </w:r>
      <w:r>
        <w:rPr>
          <w:b/>
          <w:bCs/>
        </w:rPr>
        <w:t>, inclusief btw</w:t>
      </w:r>
      <w:r w:rsidRPr="004267B7">
        <w:rPr>
          <w:b/>
          <w:bCs/>
        </w:rPr>
        <w:t>, + is saldoverbeterend)</w:t>
      </w:r>
    </w:p>
    <w:tbl>
      <w:tblPr>
        <w:tblStyle w:val="Tabelraster"/>
        <w:tblW w:w="10726" w:type="dxa"/>
        <w:tblLook w:val="04A0" w:firstRow="1" w:lastRow="0" w:firstColumn="1" w:lastColumn="0" w:noHBand="0" w:noVBand="1"/>
      </w:tblPr>
      <w:tblGrid>
        <w:gridCol w:w="4229"/>
        <w:gridCol w:w="830"/>
        <w:gridCol w:w="714"/>
        <w:gridCol w:w="713"/>
        <w:gridCol w:w="714"/>
        <w:gridCol w:w="696"/>
        <w:gridCol w:w="696"/>
        <w:gridCol w:w="683"/>
        <w:gridCol w:w="1451"/>
      </w:tblGrid>
      <w:tr w:rsidRPr="00CC3EC4" w:rsidR="000C0AE6" w:rsidTr="00866902" w14:paraId="074AF2C2" w14:textId="19B3B680">
        <w:trPr>
          <w:trHeight w:val="298"/>
        </w:trPr>
        <w:tc>
          <w:tcPr>
            <w:tcW w:w="4393"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3E71C099" w14:textId="77777777"/>
        </w:tc>
        <w:tc>
          <w:tcPr>
            <w:tcW w:w="838"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2CF68134" w14:textId="77777777">
            <w:r w:rsidRPr="00CC3EC4">
              <w:t>2026</w:t>
            </w:r>
          </w:p>
        </w:tc>
        <w:tc>
          <w:tcPr>
            <w:tcW w:w="715"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07C776A5" w14:textId="77777777">
            <w:r w:rsidRPr="00CC3EC4">
              <w:t>2027</w:t>
            </w:r>
          </w:p>
        </w:tc>
        <w:tc>
          <w:tcPr>
            <w:tcW w:w="714"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0A1F47C0" w14:textId="77777777">
            <w:r w:rsidRPr="00CC3EC4">
              <w:t>2028</w:t>
            </w:r>
          </w:p>
        </w:tc>
        <w:tc>
          <w:tcPr>
            <w:tcW w:w="715"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6D103FE1" w14:textId="77777777">
            <w:r w:rsidRPr="00CC3EC4">
              <w:t>2029</w:t>
            </w:r>
          </w:p>
        </w:tc>
        <w:tc>
          <w:tcPr>
            <w:tcW w:w="620"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3B544E11" w14:textId="2124504E">
            <w:r>
              <w:t>2030</w:t>
            </w:r>
          </w:p>
        </w:tc>
        <w:tc>
          <w:tcPr>
            <w:tcW w:w="620"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7CBCC114" w14:textId="7D777060">
            <w:r>
              <w:t>2031</w:t>
            </w:r>
          </w:p>
        </w:tc>
        <w:tc>
          <w:tcPr>
            <w:tcW w:w="620"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236F7E3F" w14:textId="0ED42C86">
            <w:r w:rsidRPr="00CC3EC4">
              <w:t>struc</w:t>
            </w:r>
          </w:p>
        </w:tc>
        <w:tc>
          <w:tcPr>
            <w:tcW w:w="1491"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1E6D0F7D" w14:textId="559673AD">
            <w:r>
              <w:t>Struc. in</w:t>
            </w:r>
          </w:p>
        </w:tc>
      </w:tr>
      <w:tr w:rsidRPr="00CC3EC4" w:rsidR="000C0AE6" w:rsidTr="00866902" w14:paraId="6A0A2B50" w14:textId="58F7F0B8">
        <w:trPr>
          <w:trHeight w:val="298"/>
        </w:trPr>
        <w:tc>
          <w:tcPr>
            <w:tcW w:w="4393"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614FB4F9" w14:textId="502568F7">
            <w:r>
              <w:t>Korting dieselaccijns gedeeltelijk terugdraaien 2026</w:t>
            </w:r>
          </w:p>
        </w:tc>
        <w:tc>
          <w:tcPr>
            <w:tcW w:w="838"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49DE8CA6" w14:textId="4638B7DA">
            <w:r>
              <w:t>111</w:t>
            </w:r>
          </w:p>
        </w:tc>
        <w:tc>
          <w:tcPr>
            <w:tcW w:w="715"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79C68E20" w14:textId="08F20429">
            <w:r>
              <w:t>0</w:t>
            </w:r>
          </w:p>
        </w:tc>
        <w:tc>
          <w:tcPr>
            <w:tcW w:w="714"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514748F3" w14:textId="479643D4">
            <w:r>
              <w:t>0</w:t>
            </w:r>
          </w:p>
        </w:tc>
        <w:tc>
          <w:tcPr>
            <w:tcW w:w="715"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36C67EB3" w14:textId="6AB4F8ED">
            <w:r>
              <w:t>0</w:t>
            </w:r>
          </w:p>
        </w:tc>
        <w:tc>
          <w:tcPr>
            <w:tcW w:w="620" w:type="dxa"/>
            <w:tcBorders>
              <w:top w:val="single" w:color="auto" w:sz="4" w:space="0"/>
              <w:left w:val="single" w:color="auto" w:sz="4" w:space="0"/>
              <w:bottom w:val="single" w:color="auto" w:sz="4" w:space="0"/>
              <w:right w:val="single" w:color="auto" w:sz="4" w:space="0"/>
            </w:tcBorders>
          </w:tcPr>
          <w:p w:rsidR="000C0AE6" w:rsidDel="000C0AE6" w:rsidP="00CC3EC4" w:rsidRDefault="000C0AE6" w14:paraId="3A381DAA" w14:textId="030ACC7B">
            <w:r>
              <w:t>0</w:t>
            </w:r>
          </w:p>
        </w:tc>
        <w:tc>
          <w:tcPr>
            <w:tcW w:w="620" w:type="dxa"/>
            <w:tcBorders>
              <w:top w:val="single" w:color="auto" w:sz="4" w:space="0"/>
              <w:left w:val="single" w:color="auto" w:sz="4" w:space="0"/>
              <w:bottom w:val="single" w:color="auto" w:sz="4" w:space="0"/>
              <w:right w:val="single" w:color="auto" w:sz="4" w:space="0"/>
            </w:tcBorders>
          </w:tcPr>
          <w:p w:rsidR="000C0AE6" w:rsidDel="000C0AE6" w:rsidP="00CC3EC4" w:rsidRDefault="000C0AE6" w14:paraId="1B6D22D7" w14:textId="76E2049F">
            <w:r>
              <w:t>0</w:t>
            </w:r>
          </w:p>
        </w:tc>
        <w:tc>
          <w:tcPr>
            <w:tcW w:w="620"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77F76C7F" w14:textId="3BBE7EEE">
            <w:r>
              <w:t>0</w:t>
            </w:r>
          </w:p>
        </w:tc>
        <w:tc>
          <w:tcPr>
            <w:tcW w:w="1491" w:type="dxa"/>
            <w:tcBorders>
              <w:top w:val="single" w:color="auto" w:sz="4" w:space="0"/>
              <w:left w:val="single" w:color="auto" w:sz="4" w:space="0"/>
              <w:bottom w:val="single" w:color="auto" w:sz="4" w:space="0"/>
              <w:right w:val="single" w:color="auto" w:sz="4" w:space="0"/>
            </w:tcBorders>
          </w:tcPr>
          <w:p w:rsidR="000C0AE6" w:rsidDel="000C0AE6" w:rsidP="00CC3EC4" w:rsidRDefault="000C0AE6" w14:paraId="3ADAB988" w14:textId="0F70A98C">
            <w:r>
              <w:t>2027</w:t>
            </w:r>
          </w:p>
        </w:tc>
      </w:tr>
      <w:tr w:rsidRPr="00CC3EC4" w:rsidR="000C0AE6" w:rsidTr="00866902" w14:paraId="16152587" w14:textId="740C6574">
        <w:trPr>
          <w:trHeight w:val="298"/>
        </w:trPr>
        <w:tc>
          <w:tcPr>
            <w:tcW w:w="4393" w:type="dxa"/>
            <w:tcBorders>
              <w:top w:val="single" w:color="auto" w:sz="4" w:space="0"/>
              <w:left w:val="single" w:color="auto" w:sz="4" w:space="0"/>
              <w:bottom w:val="single" w:color="auto" w:sz="4" w:space="0"/>
              <w:right w:val="single" w:color="auto" w:sz="4" w:space="0"/>
            </w:tcBorders>
          </w:tcPr>
          <w:p w:rsidR="000C0AE6" w:rsidP="00CC3EC4" w:rsidRDefault="000C0AE6" w14:paraId="2061CAD2" w14:textId="2F9B634B">
            <w:r>
              <w:t>Dieselaccijns verhogen vanaf 2027</w:t>
            </w:r>
          </w:p>
        </w:tc>
        <w:tc>
          <w:tcPr>
            <w:tcW w:w="838" w:type="dxa"/>
            <w:tcBorders>
              <w:top w:val="single" w:color="auto" w:sz="4" w:space="0"/>
              <w:left w:val="single" w:color="auto" w:sz="4" w:space="0"/>
              <w:bottom w:val="single" w:color="auto" w:sz="4" w:space="0"/>
              <w:right w:val="single" w:color="auto" w:sz="4" w:space="0"/>
            </w:tcBorders>
          </w:tcPr>
          <w:p w:rsidR="000C0AE6" w:rsidP="00CC3EC4" w:rsidRDefault="000C0AE6" w14:paraId="62AEA9DC" w14:textId="23B17E2B">
            <w:r>
              <w:t>0</w:t>
            </w:r>
          </w:p>
        </w:tc>
        <w:tc>
          <w:tcPr>
            <w:tcW w:w="715" w:type="dxa"/>
            <w:tcBorders>
              <w:top w:val="single" w:color="auto" w:sz="4" w:space="0"/>
              <w:left w:val="single" w:color="auto" w:sz="4" w:space="0"/>
              <w:bottom w:val="single" w:color="auto" w:sz="4" w:space="0"/>
              <w:right w:val="single" w:color="auto" w:sz="4" w:space="0"/>
            </w:tcBorders>
          </w:tcPr>
          <w:p w:rsidR="000C0AE6" w:rsidP="00CC3EC4" w:rsidRDefault="000C0AE6" w14:paraId="61B75960" w14:textId="5908BD5D">
            <w:r>
              <w:t>206</w:t>
            </w:r>
          </w:p>
        </w:tc>
        <w:tc>
          <w:tcPr>
            <w:tcW w:w="714" w:type="dxa"/>
            <w:tcBorders>
              <w:top w:val="single" w:color="auto" w:sz="4" w:space="0"/>
              <w:left w:val="single" w:color="auto" w:sz="4" w:space="0"/>
              <w:bottom w:val="single" w:color="auto" w:sz="4" w:space="0"/>
              <w:right w:val="single" w:color="auto" w:sz="4" w:space="0"/>
            </w:tcBorders>
          </w:tcPr>
          <w:p w:rsidR="000C0AE6" w:rsidP="00CC3EC4" w:rsidRDefault="000C0AE6" w14:paraId="51ECACC3" w14:textId="6088D03B">
            <w:r>
              <w:t>200</w:t>
            </w:r>
          </w:p>
        </w:tc>
        <w:tc>
          <w:tcPr>
            <w:tcW w:w="715" w:type="dxa"/>
            <w:tcBorders>
              <w:top w:val="single" w:color="auto" w:sz="4" w:space="0"/>
              <w:left w:val="single" w:color="auto" w:sz="4" w:space="0"/>
              <w:bottom w:val="single" w:color="auto" w:sz="4" w:space="0"/>
              <w:right w:val="single" w:color="auto" w:sz="4" w:space="0"/>
            </w:tcBorders>
          </w:tcPr>
          <w:p w:rsidR="000C0AE6" w:rsidP="00CC3EC4" w:rsidRDefault="000C0AE6" w14:paraId="7FAC9C76" w14:textId="711CCA9B">
            <w:r>
              <w:t>189</w:t>
            </w:r>
          </w:p>
        </w:tc>
        <w:tc>
          <w:tcPr>
            <w:tcW w:w="620" w:type="dxa"/>
            <w:tcBorders>
              <w:top w:val="single" w:color="auto" w:sz="4" w:space="0"/>
              <w:left w:val="single" w:color="auto" w:sz="4" w:space="0"/>
              <w:bottom w:val="single" w:color="auto" w:sz="4" w:space="0"/>
              <w:right w:val="single" w:color="auto" w:sz="4" w:space="0"/>
            </w:tcBorders>
          </w:tcPr>
          <w:p w:rsidR="000C0AE6" w:rsidP="00CC3EC4" w:rsidRDefault="000C0AE6" w14:paraId="6ED9AB40" w14:textId="5EFBC0A9">
            <w:r>
              <w:t>179</w:t>
            </w:r>
          </w:p>
        </w:tc>
        <w:tc>
          <w:tcPr>
            <w:tcW w:w="620" w:type="dxa"/>
            <w:tcBorders>
              <w:top w:val="single" w:color="auto" w:sz="4" w:space="0"/>
              <w:left w:val="single" w:color="auto" w:sz="4" w:space="0"/>
              <w:bottom w:val="single" w:color="auto" w:sz="4" w:space="0"/>
              <w:right w:val="single" w:color="auto" w:sz="4" w:space="0"/>
            </w:tcBorders>
          </w:tcPr>
          <w:p w:rsidR="000C0AE6" w:rsidP="00CC3EC4" w:rsidRDefault="000C0AE6" w14:paraId="20E356FD" w14:textId="7BAC13AD">
            <w:r>
              <w:t>168</w:t>
            </w:r>
          </w:p>
        </w:tc>
        <w:tc>
          <w:tcPr>
            <w:tcW w:w="620" w:type="dxa"/>
            <w:tcBorders>
              <w:top w:val="single" w:color="auto" w:sz="4" w:space="0"/>
              <w:left w:val="single" w:color="auto" w:sz="4" w:space="0"/>
              <w:bottom w:val="single" w:color="auto" w:sz="4" w:space="0"/>
              <w:right w:val="single" w:color="auto" w:sz="4" w:space="0"/>
            </w:tcBorders>
          </w:tcPr>
          <w:p w:rsidR="000C0AE6" w:rsidP="00CC3EC4" w:rsidRDefault="000C0AE6" w14:paraId="1BFB6317" w14:textId="7E657CF0">
            <w:r>
              <w:t>159</w:t>
            </w:r>
          </w:p>
        </w:tc>
        <w:tc>
          <w:tcPr>
            <w:tcW w:w="1491" w:type="dxa"/>
            <w:tcBorders>
              <w:top w:val="single" w:color="auto" w:sz="4" w:space="0"/>
              <w:left w:val="single" w:color="auto" w:sz="4" w:space="0"/>
              <w:bottom w:val="single" w:color="auto" w:sz="4" w:space="0"/>
              <w:right w:val="single" w:color="auto" w:sz="4" w:space="0"/>
            </w:tcBorders>
          </w:tcPr>
          <w:p w:rsidR="000C0AE6" w:rsidP="00CC3EC4" w:rsidRDefault="000C0AE6" w14:paraId="1A9D052F" w14:textId="34488317">
            <w:r>
              <w:t>2032</w:t>
            </w:r>
          </w:p>
        </w:tc>
      </w:tr>
      <w:tr w:rsidRPr="00CC3EC4" w:rsidR="000C0AE6" w:rsidTr="00866902" w14:paraId="50927F79" w14:textId="14DCA13C">
        <w:trPr>
          <w:trHeight w:val="298"/>
        </w:trPr>
        <w:tc>
          <w:tcPr>
            <w:tcW w:w="4393"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232C7A8D" w14:textId="77777777">
            <w:r w:rsidRPr="00CC3EC4">
              <w:t>Terugdraaien groen beleggen naar niveau 2024</w:t>
            </w:r>
          </w:p>
        </w:tc>
        <w:tc>
          <w:tcPr>
            <w:tcW w:w="838"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7C662891" w14:textId="77777777">
            <w:r w:rsidRPr="00CC3EC4">
              <w:t>- 111</w:t>
            </w:r>
          </w:p>
        </w:tc>
        <w:tc>
          <w:tcPr>
            <w:tcW w:w="715"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762F4F77" w14:textId="77777777">
            <w:r w:rsidRPr="00CC3EC4">
              <w:t>-159</w:t>
            </w:r>
          </w:p>
        </w:tc>
        <w:tc>
          <w:tcPr>
            <w:tcW w:w="714"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10086DC3" w14:textId="77777777">
            <w:r w:rsidRPr="00CC3EC4">
              <w:t>-159</w:t>
            </w:r>
          </w:p>
        </w:tc>
        <w:tc>
          <w:tcPr>
            <w:tcW w:w="715"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2E678A1D" w14:textId="77777777">
            <w:r w:rsidRPr="00CC3EC4">
              <w:t>-159</w:t>
            </w:r>
          </w:p>
        </w:tc>
        <w:tc>
          <w:tcPr>
            <w:tcW w:w="620"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1DD212AA" w14:textId="038FCD92">
            <w:r>
              <w:t>-159</w:t>
            </w:r>
          </w:p>
        </w:tc>
        <w:tc>
          <w:tcPr>
            <w:tcW w:w="620"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56051164" w14:textId="662E39F2">
            <w:r>
              <w:t>-159</w:t>
            </w:r>
          </w:p>
        </w:tc>
        <w:tc>
          <w:tcPr>
            <w:tcW w:w="620"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552A3DD2" w14:textId="4C8CF0F7">
            <w:r w:rsidRPr="00CC3EC4">
              <w:t>-159</w:t>
            </w:r>
          </w:p>
        </w:tc>
        <w:tc>
          <w:tcPr>
            <w:tcW w:w="1491"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6F22475F" w14:textId="2347D8F0">
            <w:r>
              <w:t>2027</w:t>
            </w:r>
          </w:p>
        </w:tc>
      </w:tr>
    </w:tbl>
    <w:p w:rsidR="00CC3EC4" w:rsidP="005A46FC" w:rsidRDefault="00CC3EC4" w14:paraId="315A7015" w14:textId="77777777"/>
    <w:p w:rsidRPr="00EA69AC" w:rsidR="00B4708A" w:rsidP="00EA1CE4" w:rsidRDefault="005A46FC" w14:paraId="3A38739C" w14:textId="037DB2D7">
      <w:r>
        <w:t>Dassen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FA3CC" w14:textId="77777777" w:rsidR="008131A7" w:rsidRDefault="008131A7">
      <w:pPr>
        <w:spacing w:line="20" w:lineRule="exact"/>
      </w:pPr>
    </w:p>
  </w:endnote>
  <w:endnote w:type="continuationSeparator" w:id="0">
    <w:p w14:paraId="2F3E14EA" w14:textId="77777777" w:rsidR="008131A7" w:rsidRDefault="008131A7">
      <w:pPr>
        <w:pStyle w:val="Amendement"/>
      </w:pPr>
      <w:r>
        <w:rPr>
          <w:b w:val="0"/>
        </w:rPr>
        <w:t xml:space="preserve"> </w:t>
      </w:r>
    </w:p>
  </w:endnote>
  <w:endnote w:type="continuationNotice" w:id="1">
    <w:p w14:paraId="719683B5" w14:textId="77777777" w:rsidR="008131A7" w:rsidRDefault="008131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F2E4" w14:textId="77777777" w:rsidR="008131A7" w:rsidRDefault="008131A7">
      <w:pPr>
        <w:pStyle w:val="Amendement"/>
      </w:pPr>
      <w:r>
        <w:rPr>
          <w:b w:val="0"/>
        </w:rPr>
        <w:separator/>
      </w:r>
    </w:p>
  </w:footnote>
  <w:footnote w:type="continuationSeparator" w:id="0">
    <w:p w14:paraId="3E1A77D4" w14:textId="77777777" w:rsidR="008131A7" w:rsidRDefault="00813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6FC"/>
    <w:rsid w:val="00004BC2"/>
    <w:rsid w:val="00052244"/>
    <w:rsid w:val="0007471A"/>
    <w:rsid w:val="0008323A"/>
    <w:rsid w:val="000B0835"/>
    <w:rsid w:val="000C0AE6"/>
    <w:rsid w:val="000C237C"/>
    <w:rsid w:val="000D17BF"/>
    <w:rsid w:val="000E72B5"/>
    <w:rsid w:val="001372A4"/>
    <w:rsid w:val="00157CAF"/>
    <w:rsid w:val="00162141"/>
    <w:rsid w:val="001656EE"/>
    <w:rsid w:val="0016653D"/>
    <w:rsid w:val="00191A7F"/>
    <w:rsid w:val="001D56AF"/>
    <w:rsid w:val="001E0E21"/>
    <w:rsid w:val="001F0AB3"/>
    <w:rsid w:val="00212E0A"/>
    <w:rsid w:val="002153B0"/>
    <w:rsid w:val="0021777F"/>
    <w:rsid w:val="002277E0"/>
    <w:rsid w:val="00241DD0"/>
    <w:rsid w:val="002447F2"/>
    <w:rsid w:val="0027322C"/>
    <w:rsid w:val="002A0713"/>
    <w:rsid w:val="00374BBE"/>
    <w:rsid w:val="003A4D6C"/>
    <w:rsid w:val="003A6C7D"/>
    <w:rsid w:val="003C21AC"/>
    <w:rsid w:val="003C38F1"/>
    <w:rsid w:val="003C5218"/>
    <w:rsid w:val="003C7876"/>
    <w:rsid w:val="003E2308"/>
    <w:rsid w:val="003E2F98"/>
    <w:rsid w:val="00413B00"/>
    <w:rsid w:val="0042574B"/>
    <w:rsid w:val="004330ED"/>
    <w:rsid w:val="00472B08"/>
    <w:rsid w:val="00481C91"/>
    <w:rsid w:val="004911E3"/>
    <w:rsid w:val="00497D57"/>
    <w:rsid w:val="004A1E29"/>
    <w:rsid w:val="004A7DD4"/>
    <w:rsid w:val="004B47C6"/>
    <w:rsid w:val="004B50D8"/>
    <w:rsid w:val="004B5B90"/>
    <w:rsid w:val="00501109"/>
    <w:rsid w:val="0050740E"/>
    <w:rsid w:val="00507757"/>
    <w:rsid w:val="00511BE6"/>
    <w:rsid w:val="00540493"/>
    <w:rsid w:val="00562853"/>
    <w:rsid w:val="005703C9"/>
    <w:rsid w:val="00597703"/>
    <w:rsid w:val="005A46FC"/>
    <w:rsid w:val="005A6097"/>
    <w:rsid w:val="005A78A8"/>
    <w:rsid w:val="005B1DCC"/>
    <w:rsid w:val="005B7323"/>
    <w:rsid w:val="005C25B9"/>
    <w:rsid w:val="006267E6"/>
    <w:rsid w:val="00654BCE"/>
    <w:rsid w:val="006558D2"/>
    <w:rsid w:val="0066108E"/>
    <w:rsid w:val="00672D25"/>
    <w:rsid w:val="006738BC"/>
    <w:rsid w:val="006D3E69"/>
    <w:rsid w:val="006E0971"/>
    <w:rsid w:val="007200D0"/>
    <w:rsid w:val="007709F6"/>
    <w:rsid w:val="00783215"/>
    <w:rsid w:val="007965FC"/>
    <w:rsid w:val="007B7411"/>
    <w:rsid w:val="007C58E7"/>
    <w:rsid w:val="007D2608"/>
    <w:rsid w:val="007D6F0A"/>
    <w:rsid w:val="007E7D6E"/>
    <w:rsid w:val="0080427C"/>
    <w:rsid w:val="008131A7"/>
    <w:rsid w:val="008164E5"/>
    <w:rsid w:val="00830081"/>
    <w:rsid w:val="008467D7"/>
    <w:rsid w:val="00852541"/>
    <w:rsid w:val="00865D47"/>
    <w:rsid w:val="00866902"/>
    <w:rsid w:val="00874337"/>
    <w:rsid w:val="0088452C"/>
    <w:rsid w:val="008D3A50"/>
    <w:rsid w:val="008D7DCB"/>
    <w:rsid w:val="009055DB"/>
    <w:rsid w:val="00905ECB"/>
    <w:rsid w:val="009151B1"/>
    <w:rsid w:val="009602AD"/>
    <w:rsid w:val="0096165D"/>
    <w:rsid w:val="00993E91"/>
    <w:rsid w:val="009A409F"/>
    <w:rsid w:val="009B5845"/>
    <w:rsid w:val="009C0C1F"/>
    <w:rsid w:val="009C30C5"/>
    <w:rsid w:val="00A10505"/>
    <w:rsid w:val="00A1288B"/>
    <w:rsid w:val="00A30920"/>
    <w:rsid w:val="00A53203"/>
    <w:rsid w:val="00A772EB"/>
    <w:rsid w:val="00AC0C09"/>
    <w:rsid w:val="00AC1B81"/>
    <w:rsid w:val="00B01BA6"/>
    <w:rsid w:val="00B3056E"/>
    <w:rsid w:val="00B36DBA"/>
    <w:rsid w:val="00B4708A"/>
    <w:rsid w:val="00B8797E"/>
    <w:rsid w:val="00BE00F9"/>
    <w:rsid w:val="00BF1E09"/>
    <w:rsid w:val="00BF623B"/>
    <w:rsid w:val="00C035D4"/>
    <w:rsid w:val="00C56E13"/>
    <w:rsid w:val="00C679BF"/>
    <w:rsid w:val="00C81BBD"/>
    <w:rsid w:val="00CB6D58"/>
    <w:rsid w:val="00CC320E"/>
    <w:rsid w:val="00CC3EC4"/>
    <w:rsid w:val="00CD3132"/>
    <w:rsid w:val="00CE27CD"/>
    <w:rsid w:val="00D134F3"/>
    <w:rsid w:val="00D47D01"/>
    <w:rsid w:val="00D74866"/>
    <w:rsid w:val="00D774B3"/>
    <w:rsid w:val="00DA317E"/>
    <w:rsid w:val="00DA79CD"/>
    <w:rsid w:val="00DD35A5"/>
    <w:rsid w:val="00DE2948"/>
    <w:rsid w:val="00DF08D3"/>
    <w:rsid w:val="00DF0CAB"/>
    <w:rsid w:val="00DF68BE"/>
    <w:rsid w:val="00DF712A"/>
    <w:rsid w:val="00E25DF4"/>
    <w:rsid w:val="00E3485D"/>
    <w:rsid w:val="00E456C4"/>
    <w:rsid w:val="00E6619B"/>
    <w:rsid w:val="00E9058A"/>
    <w:rsid w:val="00E908D7"/>
    <w:rsid w:val="00EA1CE4"/>
    <w:rsid w:val="00EA69AC"/>
    <w:rsid w:val="00EB40A1"/>
    <w:rsid w:val="00EC3112"/>
    <w:rsid w:val="00ED5E57"/>
    <w:rsid w:val="00EE1BD8"/>
    <w:rsid w:val="00EF5640"/>
    <w:rsid w:val="00F46D5D"/>
    <w:rsid w:val="00FA5BBE"/>
    <w:rsid w:val="00FA6750"/>
    <w:rsid w:val="00FD5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33AA7"/>
  <w15:docId w15:val="{3CEB8EBD-1FDA-41BB-B43B-6793C892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E00F9"/>
    <w:rPr>
      <w:sz w:val="16"/>
      <w:szCs w:val="16"/>
    </w:rPr>
  </w:style>
  <w:style w:type="paragraph" w:styleId="Tekstopmerking">
    <w:name w:val="annotation text"/>
    <w:basedOn w:val="Standaard"/>
    <w:link w:val="TekstopmerkingChar"/>
    <w:unhideWhenUsed/>
    <w:rsid w:val="00BE00F9"/>
    <w:rPr>
      <w:sz w:val="20"/>
    </w:rPr>
  </w:style>
  <w:style w:type="character" w:customStyle="1" w:styleId="TekstopmerkingChar">
    <w:name w:val="Tekst opmerking Char"/>
    <w:basedOn w:val="Standaardalinea-lettertype"/>
    <w:link w:val="Tekstopmerking"/>
    <w:rsid w:val="00BE00F9"/>
  </w:style>
  <w:style w:type="paragraph" w:styleId="Onderwerpvanopmerking">
    <w:name w:val="annotation subject"/>
    <w:basedOn w:val="Tekstopmerking"/>
    <w:next w:val="Tekstopmerking"/>
    <w:link w:val="OnderwerpvanopmerkingChar"/>
    <w:semiHidden/>
    <w:unhideWhenUsed/>
    <w:rsid w:val="00BE00F9"/>
    <w:rPr>
      <w:b/>
      <w:bCs/>
    </w:rPr>
  </w:style>
  <w:style w:type="character" w:customStyle="1" w:styleId="OnderwerpvanopmerkingChar">
    <w:name w:val="Onderwerp van opmerking Char"/>
    <w:basedOn w:val="TekstopmerkingChar"/>
    <w:link w:val="Onderwerpvanopmerking"/>
    <w:semiHidden/>
    <w:rsid w:val="00BE00F9"/>
    <w:rPr>
      <w:b/>
      <w:bCs/>
    </w:rPr>
  </w:style>
  <w:style w:type="paragraph" w:styleId="Revisie">
    <w:name w:val="Revision"/>
    <w:hidden/>
    <w:uiPriority w:val="99"/>
    <w:semiHidden/>
    <w:rsid w:val="00472B08"/>
    <w:rPr>
      <w:sz w:val="24"/>
    </w:rPr>
  </w:style>
  <w:style w:type="table" w:styleId="Tabelraster">
    <w:name w:val="Table Grid"/>
    <w:basedOn w:val="Standaardtabel"/>
    <w:rsid w:val="00CC3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43399">
      <w:bodyDiv w:val="1"/>
      <w:marLeft w:val="0"/>
      <w:marRight w:val="0"/>
      <w:marTop w:val="0"/>
      <w:marBottom w:val="0"/>
      <w:divBdr>
        <w:top w:val="none" w:sz="0" w:space="0" w:color="auto"/>
        <w:left w:val="none" w:sz="0" w:space="0" w:color="auto"/>
        <w:bottom w:val="none" w:sz="0" w:space="0" w:color="auto"/>
        <w:right w:val="none" w:sz="0" w:space="0" w:color="auto"/>
      </w:divBdr>
    </w:div>
    <w:div w:id="184669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737</ap:Words>
  <ap:Characters>4058</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2025-11-25T13:52:00.0000000Z</dcterms:created>
  <dcterms:modified xsi:type="dcterms:W3CDTF">2025-11-26T07:53:00.0000000Z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SIP_Label_b2aa6e22-2c82-48c6-bf24-1790f4b9c128_Enabled">
    <vt:lpwstr>true</vt:lpwstr>
  </property>
  <property fmtid="{D5CDD505-2E9C-101B-9397-08002B2CF9AE}" pid="4" name="MSIP_Label_b2aa6e22-2c82-48c6-bf24-1790f4b9c128_SetDate">
    <vt:lpwstr>2025-11-17T11:39:54Z</vt:lpwstr>
  </property>
  <property fmtid="{D5CDD505-2E9C-101B-9397-08002B2CF9AE}" pid="5" name="MSIP_Label_b2aa6e22-2c82-48c6-bf24-1790f4b9c128_Method">
    <vt:lpwstr>Standard</vt:lpwstr>
  </property>
  <property fmtid="{D5CDD505-2E9C-101B-9397-08002B2CF9AE}" pid="6" name="MSIP_Label_b2aa6e22-2c82-48c6-bf24-1790f4b9c128_Name">
    <vt:lpwstr>FIN-DGFZ-Rijksoverheid</vt:lpwstr>
  </property>
  <property fmtid="{D5CDD505-2E9C-101B-9397-08002B2CF9AE}" pid="7" name="MSIP_Label_b2aa6e22-2c82-48c6-bf24-1790f4b9c128_SiteId">
    <vt:lpwstr>84712536-f524-40a0-913b-5d25ba502732</vt:lpwstr>
  </property>
  <property fmtid="{D5CDD505-2E9C-101B-9397-08002B2CF9AE}" pid="8" name="MSIP_Label_b2aa6e22-2c82-48c6-bf24-1790f4b9c128_ActionId">
    <vt:lpwstr>d425662a-5b6a-4dbf-9da4-a1a060309281</vt:lpwstr>
  </property>
  <property fmtid="{D5CDD505-2E9C-101B-9397-08002B2CF9AE}" pid="9" name="MSIP_Label_b2aa6e22-2c82-48c6-bf24-1790f4b9c128_ContentBits">
    <vt:lpwstr>0</vt:lpwstr>
  </property>
  <property fmtid="{D5CDD505-2E9C-101B-9397-08002B2CF9AE}" pid="10" name="MSIP_Label_b2aa6e22-2c82-48c6-bf24-1790f4b9c128_Tag">
    <vt:lpwstr>10, 3, 0, 1</vt:lpwstr>
  </property>
  <property fmtid="{D5CDD505-2E9C-101B-9397-08002B2CF9AE}" pid="11" name="MediaServiceImageTags">
    <vt:lpwstr/>
  </property>
</Properties>
</file>