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250B" w:rsidP="001227D5" w:rsidRDefault="00EC250B" w14:paraId="75421B9E" w14:textId="37C410B3">
      <w:r w:rsidRPr="5AA6D23D">
        <w:t xml:space="preserve">Naast mijn inzet om </w:t>
      </w:r>
      <w:r>
        <w:t xml:space="preserve">ervoor te zorgen dat </w:t>
      </w:r>
      <w:r w:rsidRPr="5AA6D23D">
        <w:t xml:space="preserve">iedereen in Nederland </w:t>
      </w:r>
      <w:r>
        <w:t>kan meedoen</w:t>
      </w:r>
      <w:r w:rsidRPr="5AA6D23D">
        <w:t xml:space="preserve">, is van belang dat dit </w:t>
      </w:r>
      <w:r>
        <w:t xml:space="preserve">op een </w:t>
      </w:r>
      <w:r w:rsidRPr="5AA6D23D">
        <w:t>gezond</w:t>
      </w:r>
      <w:r>
        <w:t>e</w:t>
      </w:r>
      <w:r w:rsidRPr="5AA6D23D">
        <w:t xml:space="preserve"> en veilig</w:t>
      </w:r>
      <w:r>
        <w:t xml:space="preserve">e manier </w:t>
      </w:r>
      <w:r w:rsidRPr="5AA6D23D">
        <w:t>gaat. Jaarlijks overlijden ongeveer 3</w:t>
      </w:r>
      <w:r w:rsidR="002824D2">
        <w:t>.</w:t>
      </w:r>
      <w:r w:rsidRPr="5AA6D23D">
        <w:t>000 mensen voortijdig door het werken met gevaarlijke stoffen en word</w:t>
      </w:r>
      <w:r>
        <w:t xml:space="preserve">en nog meer </w:t>
      </w:r>
      <w:r w:rsidRPr="5AA6D23D">
        <w:t xml:space="preserve">mensen ziek. Om dit </w:t>
      </w:r>
      <w:r>
        <w:t>aanzienlijk te verminderen</w:t>
      </w:r>
      <w:r w:rsidRPr="5AA6D23D">
        <w:t xml:space="preserve">, zet ik mij </w:t>
      </w:r>
      <w:r>
        <w:t xml:space="preserve">actief </w:t>
      </w:r>
      <w:r w:rsidRPr="5AA6D23D">
        <w:t xml:space="preserve">in voor preventie. </w:t>
      </w:r>
      <w:r>
        <w:t>Helaas zijn er</w:t>
      </w:r>
      <w:r w:rsidRPr="5AA6D23D">
        <w:t xml:space="preserve"> mensen die </w:t>
      </w:r>
      <w:r>
        <w:t xml:space="preserve">toch </w:t>
      </w:r>
      <w:r w:rsidRPr="5AA6D23D">
        <w:t xml:space="preserve">ziek zijn geworden door het werken met </w:t>
      </w:r>
      <w:r>
        <w:t xml:space="preserve">gevaarlijke </w:t>
      </w:r>
      <w:r w:rsidRPr="5AA6D23D">
        <w:t xml:space="preserve">stoffen. Voor deze mensen is het lastig om </w:t>
      </w:r>
      <w:r>
        <w:t xml:space="preserve">daarvoor </w:t>
      </w:r>
      <w:r w:rsidRPr="5AA6D23D">
        <w:t xml:space="preserve">erkenning te krijgen. Juridische procedures kosten veel tijd en geld, en het bewijzen </w:t>
      </w:r>
      <w:r>
        <w:t xml:space="preserve">dat de ziekte door het werk is ontstaan </w:t>
      </w:r>
      <w:r w:rsidRPr="5AA6D23D">
        <w:t xml:space="preserve">is moeilijk. Om mensen afgezien van het aansprakelijkheidsrecht toch erkenning te bieden, is er de regeling tegemoetkoming </w:t>
      </w:r>
      <w:r w:rsidRPr="5AA6D23D" w:rsidR="00A967EC">
        <w:t>stoffen gerelateerde</w:t>
      </w:r>
      <w:r w:rsidRPr="5AA6D23D">
        <w:t xml:space="preserve"> beroepszieken (TSB). Sinds de start van de TSB, op 1 januari 2023, is deze volop in ontwikkeling. In deze brief blik ik terug </w:t>
      </w:r>
      <w:r>
        <w:t xml:space="preserve">op </w:t>
      </w:r>
      <w:r w:rsidRPr="5AA6D23D">
        <w:t xml:space="preserve">de afgelopen drie jaar, en geef ik een beeld van de eerste effecten sinds de </w:t>
      </w:r>
      <w:r>
        <w:t>uitwerking</w:t>
      </w:r>
      <w:r w:rsidRPr="5AA6D23D">
        <w:t xml:space="preserve"> van het verbeterplan en de uitbreiding van de regeling van 1 juli 2025.</w:t>
      </w:r>
      <w:r w:rsidR="00EF5E83">
        <w:t xml:space="preserve"> Hiermee geef ik invulling aan de toezegging om uw Kamer te informeren over de </w:t>
      </w:r>
      <w:proofErr w:type="gramStart"/>
      <w:r w:rsidR="00EF5E83">
        <w:t>voortgang</w:t>
      </w:r>
      <w:proofErr w:type="gramEnd"/>
      <w:r w:rsidR="00EF5E83">
        <w:t xml:space="preserve"> van de regeling</w:t>
      </w:r>
      <w:r w:rsidR="00EF5E83">
        <w:rPr>
          <w:rStyle w:val="Voetnootmarkering"/>
        </w:rPr>
        <w:footnoteReference w:id="1"/>
      </w:r>
      <w:r w:rsidR="00EF5E83">
        <w:t>.</w:t>
      </w:r>
    </w:p>
    <w:p w:rsidRPr="00AC2DF1" w:rsidR="00EC250B" w:rsidP="00EC250B" w:rsidRDefault="00EC250B" w14:paraId="042A8526" w14:textId="77777777">
      <w:pPr>
        <w:spacing w:line="240" w:lineRule="auto"/>
      </w:pPr>
    </w:p>
    <w:p w:rsidRPr="00B91030" w:rsidR="00EC250B" w:rsidP="002824D2" w:rsidRDefault="00EC250B" w14:paraId="6E42A2F2" w14:textId="77777777">
      <w:pPr>
        <w:rPr>
          <w:i/>
          <w:iCs/>
        </w:rPr>
      </w:pPr>
      <w:r>
        <w:rPr>
          <w:i/>
          <w:iCs/>
        </w:rPr>
        <w:t>Verbeterplan</w:t>
      </w:r>
      <w:r>
        <w:rPr>
          <w:i/>
          <w:iCs/>
        </w:rPr>
        <w:br/>
      </w:r>
      <w:r>
        <w:t xml:space="preserve">In het eerste jaar was het aantal aanvragen en het toekenningspercentage lager dan verwacht. De regeling voldeed daarmee onvoldoende aan haar doelstelling. In een uitzending van </w:t>
      </w:r>
      <w:proofErr w:type="spellStart"/>
      <w:r>
        <w:t>EenVandaag</w:t>
      </w:r>
      <w:proofErr w:type="spellEnd"/>
      <w:r>
        <w:t xml:space="preserve"> in april 2024</w:t>
      </w:r>
      <w:r w:rsidRPr="002824D2">
        <w:rPr>
          <w:vertAlign w:val="superscript"/>
        </w:rPr>
        <w:footnoteReference w:id="2"/>
      </w:r>
      <w:r>
        <w:t xml:space="preserve"> is hier aandacht aan besteed. Er werden Kamervragen gesteld, gericht op mogelijke verbeteringen van de regeling. Mijn ambtsvoorganger stelde, samen met de betrokken uitvoerders, een verbeterplan op. Het verbeterplan was opgebouwd langs de volgende drie sporen</w:t>
      </w:r>
      <w:r>
        <w:rPr>
          <w:rStyle w:val="Voetnootmarkering"/>
        </w:rPr>
        <w:footnoteReference w:id="3"/>
      </w:r>
      <w:r>
        <w:t>:</w:t>
      </w:r>
    </w:p>
    <w:p w:rsidRPr="0072559A" w:rsidR="00EC250B" w:rsidP="002824D2" w:rsidRDefault="00EC250B" w14:paraId="0D721B33" w14:textId="77777777">
      <w:pPr>
        <w:pStyle w:val="Lijstalinea"/>
        <w:numPr>
          <w:ilvl w:val="0"/>
          <w:numId w:val="9"/>
        </w:numPr>
        <w:spacing w:after="0" w:line="240" w:lineRule="atLeast"/>
        <w:rPr>
          <w:rFonts w:ascii="Verdana" w:hAnsi="Verdana"/>
          <w:sz w:val="18"/>
          <w:szCs w:val="18"/>
        </w:rPr>
      </w:pPr>
      <w:r w:rsidRPr="0072559A">
        <w:rPr>
          <w:rFonts w:ascii="Verdana" w:hAnsi="Verdana"/>
          <w:sz w:val="18"/>
          <w:szCs w:val="18"/>
        </w:rPr>
        <w:t>Het verhogen van het aantal aanvragen, door het intensiveren van de communicatie richting doelgroepen van de regeling en medische professionals.</w:t>
      </w:r>
    </w:p>
    <w:p w:rsidRPr="0072559A" w:rsidR="00EC250B" w:rsidP="002824D2" w:rsidRDefault="00EC250B" w14:paraId="6D8A1B9D" w14:textId="77777777">
      <w:pPr>
        <w:pStyle w:val="Lijstalinea"/>
        <w:numPr>
          <w:ilvl w:val="0"/>
          <w:numId w:val="9"/>
        </w:numPr>
        <w:spacing w:after="0" w:line="240" w:lineRule="atLeast"/>
        <w:rPr>
          <w:rFonts w:ascii="Verdana" w:hAnsi="Verdana"/>
          <w:sz w:val="18"/>
          <w:szCs w:val="18"/>
        </w:rPr>
      </w:pPr>
      <w:r w:rsidRPr="0072559A">
        <w:rPr>
          <w:rFonts w:ascii="Verdana" w:hAnsi="Verdana"/>
          <w:sz w:val="18"/>
          <w:szCs w:val="18"/>
        </w:rPr>
        <w:t>Het vergroten van de kans op een toekenning, door een herziening van de protocollen waarmee aanvragen worden beoordeeld.</w:t>
      </w:r>
    </w:p>
    <w:p w:rsidRPr="0072559A" w:rsidR="00EC250B" w:rsidP="002824D2" w:rsidRDefault="00EC250B" w14:paraId="665236B1" w14:textId="77777777">
      <w:pPr>
        <w:pStyle w:val="Lijstalinea"/>
        <w:numPr>
          <w:ilvl w:val="0"/>
          <w:numId w:val="9"/>
        </w:numPr>
        <w:spacing w:after="0" w:line="240" w:lineRule="atLeast"/>
        <w:rPr>
          <w:rFonts w:ascii="Verdana" w:hAnsi="Verdana"/>
          <w:sz w:val="18"/>
          <w:szCs w:val="18"/>
        </w:rPr>
      </w:pPr>
      <w:r w:rsidRPr="0072559A">
        <w:rPr>
          <w:rFonts w:ascii="Verdana" w:hAnsi="Verdana"/>
          <w:sz w:val="18"/>
          <w:szCs w:val="18"/>
        </w:rPr>
        <w:t>Het verbeteren van de uitvoering, bijvoorbeeld door het beter op elkaar afstemmen van de verschillende taken van de betrokken uitvoerders.</w:t>
      </w:r>
    </w:p>
    <w:p w:rsidR="002824D2" w:rsidP="002824D2" w:rsidRDefault="002824D2" w14:paraId="56E818D3" w14:textId="77777777"/>
    <w:p w:rsidR="00BE117B" w:rsidRDefault="00BE117B" w14:paraId="6ADE9495" w14:textId="77777777">
      <w:pPr>
        <w:spacing w:line="240" w:lineRule="auto"/>
      </w:pPr>
      <w:r>
        <w:br w:type="page"/>
      </w:r>
    </w:p>
    <w:p w:rsidR="00EC250B" w:rsidP="002824D2" w:rsidRDefault="00EC250B" w14:paraId="7B090A6D" w14:textId="4893D852">
      <w:r w:rsidRPr="04EAF1A7">
        <w:lastRenderedPageBreak/>
        <w:t xml:space="preserve">Per spoor geef ik aan tot welke effecten het verbeterplan tot nu toe heeft geleid. Sommige effecten nemen nog verder toe. Zo is de bekendheid van de regeling steeds beter, </w:t>
      </w:r>
      <w:r>
        <w:t>wat van belang is voor het aantal aanvragen</w:t>
      </w:r>
      <w:r w:rsidRPr="04EAF1A7">
        <w:t>. De meest recente cijfers (aanvragen en toekenningspercentage) laten een verbetering zien, die ik graag met u deel.</w:t>
      </w:r>
    </w:p>
    <w:p w:rsidR="00EC250B" w:rsidP="002824D2" w:rsidRDefault="00EC250B" w14:paraId="24E1E78B" w14:textId="77777777"/>
    <w:p w:rsidRPr="00B91030" w:rsidR="00EC250B" w:rsidP="002824D2" w:rsidRDefault="00EC250B" w14:paraId="097C815D" w14:textId="58620885">
      <w:pPr>
        <w:rPr>
          <w:b/>
          <w:bCs/>
        </w:rPr>
      </w:pPr>
      <w:r w:rsidRPr="00AC09B6">
        <w:rPr>
          <w:b/>
          <w:bCs/>
        </w:rPr>
        <w:t>Spoor 1: Verhoging van het aantal aanvragen</w:t>
      </w:r>
      <w:r>
        <w:rPr>
          <w:b/>
          <w:bCs/>
        </w:rPr>
        <w:br/>
      </w:r>
      <w:r w:rsidRPr="5AA6D23D">
        <w:t xml:space="preserve">Sinds maart 2025 ligt het aantal aanvragen voor de regeling maandelijks structureel hoger dan in diezelfde maanden </w:t>
      </w:r>
      <w:r>
        <w:t>in het jaar ervoor</w:t>
      </w:r>
      <w:r w:rsidRPr="5AA6D23D">
        <w:t xml:space="preserve">. In de onderstaande grafiek is een relatief grote piek zichtbaar in juli 2025. Deze </w:t>
      </w:r>
      <w:r>
        <w:t xml:space="preserve">stijging </w:t>
      </w:r>
      <w:r w:rsidRPr="5AA6D23D">
        <w:t>heeft meerdere oorzaken.</w:t>
      </w:r>
      <w:r w:rsidRPr="00132D3B">
        <w:t xml:space="preserve"> </w:t>
      </w:r>
      <w:r w:rsidRPr="5AA6D23D">
        <w:t xml:space="preserve">Er was landelijke media-aandacht voor de TSB-regeling, zoals </w:t>
      </w:r>
      <w:r w:rsidR="002824D2">
        <w:t xml:space="preserve">in </w:t>
      </w:r>
      <w:r w:rsidRPr="5AA6D23D">
        <w:t>een artikel in de Telegraaf</w:t>
      </w:r>
      <w:r w:rsidRPr="5AA6D23D">
        <w:rPr>
          <w:rStyle w:val="Voetnootmarkering"/>
        </w:rPr>
        <w:footnoteReference w:id="4"/>
      </w:r>
      <w:r>
        <w:t xml:space="preserve"> en andere media. </w:t>
      </w:r>
      <w:r w:rsidRPr="5AA6D23D">
        <w:t xml:space="preserve">Per 1 juli </w:t>
      </w:r>
      <w:r w:rsidR="002824D2">
        <w:t xml:space="preserve">2025 </w:t>
      </w:r>
      <w:r w:rsidRPr="5AA6D23D">
        <w:t>is de regeling uitgebreid met nieuwe</w:t>
      </w:r>
      <w:r>
        <w:t xml:space="preserve"> </w:t>
      </w:r>
      <w:r w:rsidRPr="5AA6D23D">
        <w:t>ziekten</w:t>
      </w:r>
      <w:r w:rsidR="002824D2">
        <w:t>.</w:t>
      </w:r>
      <w:r>
        <w:rPr>
          <w:rStyle w:val="Voetnootmarkering"/>
        </w:rPr>
        <w:footnoteReference w:id="5"/>
      </w:r>
      <w:r w:rsidRPr="5AA6D23D">
        <w:t xml:space="preserve"> Voor de nieuw toegevoegde ziekten</w:t>
      </w:r>
      <w:r>
        <w:t xml:space="preserve"> zijn op het moment van schrijven meer dan 85</w:t>
      </w:r>
      <w:r w:rsidRPr="5AA6D23D">
        <w:t xml:space="preserve"> aanvragen ingediend. Daarnaast </w:t>
      </w:r>
      <w:r>
        <w:t xml:space="preserve">kregen </w:t>
      </w:r>
      <w:r w:rsidRPr="5AA6D23D">
        <w:t xml:space="preserve">mensen die eerder waren afgewezen (tussen de start van de regeling en </w:t>
      </w:r>
      <w:r w:rsidR="002824D2">
        <w:br/>
      </w:r>
      <w:r w:rsidRPr="5AA6D23D">
        <w:t>1 juli 2025) de mogelijkheid opnieuw een aanvraag in te dienen. Deze mogelijkheid werd geboden per 1 juli 2025</w:t>
      </w:r>
      <w:r>
        <w:t>, omdat de protocollen waarmee aanvragen worden beoordeeld toen werden bijgesteld (zie spoor 2)</w:t>
      </w:r>
      <w:r w:rsidRPr="5AA6D23D">
        <w:t xml:space="preserve">. Tot nu toe hebben </w:t>
      </w:r>
      <w:r>
        <w:t>meer dan honderd</w:t>
      </w:r>
      <w:r w:rsidRPr="5AA6D23D">
        <w:t xml:space="preserve"> eerder afgewezen aanvragers een nieuwe aanvraag ingediend.</w:t>
      </w:r>
    </w:p>
    <w:p w:rsidR="002824D2" w:rsidP="002824D2" w:rsidRDefault="002824D2" w14:paraId="13B0B070" w14:textId="77777777"/>
    <w:p w:rsidRPr="005F0809" w:rsidR="00EC250B" w:rsidP="002824D2" w:rsidRDefault="00EC250B" w14:paraId="087B734D" w14:textId="210D3B82">
      <w:pPr>
        <w:rPr>
          <w:rStyle w:val="Voetnootmarkering"/>
        </w:rPr>
      </w:pPr>
      <w:r>
        <w:t>Los van de uitbreiding en herziening, lijkt er een opwaartse beweging te zijn ingezet in het aantal aanvragen (zie grafiek 1). De versterkte communicatie-inzet rondom de regeling heeft hier mede aan bijgedragen. De focus is gelegd op de mensen rondom potentiële aanvragers, zoals patiëntenverenigingen, vakbonden en zorgprofessionals. Zo heeft het campagneteam congressen van relevante medisch professionals bezocht om de aandacht voor de TSB te vergroten. De slogan die centraal staat, is de vraag</w:t>
      </w:r>
      <w:r w:rsidRPr="5AA6D23D">
        <w:t xml:space="preserve"> </w:t>
      </w:r>
      <w:r>
        <w:t>die vaker aan patiënten zou moeten worden gesteld: “Wat voor werk doet u?”. Hiervoor is nieuw campagnemateriaal ontwikkeld, zijn medische praktijken actief geïnformeerd en wordt er in (na)scholingen van zorgverleners aandacht gegeven aan de TSB-regeling.</w:t>
      </w:r>
    </w:p>
    <w:p w:rsidR="002824D2" w:rsidP="002824D2" w:rsidRDefault="002824D2" w14:paraId="0DFDABDF" w14:textId="77777777"/>
    <w:p w:rsidR="00EC250B" w:rsidP="002824D2" w:rsidRDefault="00EC250B" w14:paraId="03031264" w14:textId="154F4765">
      <w:r w:rsidRPr="04EAF1A7">
        <w:t xml:space="preserve">Er is goede hoop dat deze </w:t>
      </w:r>
      <w:r>
        <w:t xml:space="preserve">opwaartse </w:t>
      </w:r>
      <w:r w:rsidRPr="04EAF1A7">
        <w:t xml:space="preserve">ontwikkeling doorzet, maar </w:t>
      </w:r>
      <w:r>
        <w:t>het is ook</w:t>
      </w:r>
      <w:r w:rsidR="002824D2">
        <w:t xml:space="preserve"> </w:t>
      </w:r>
      <w:r>
        <w:t>mogelijk</w:t>
      </w:r>
      <w:r w:rsidRPr="04EAF1A7">
        <w:t xml:space="preserve"> dat het aantal aanvragen op korte termijn weer</w:t>
      </w:r>
      <w:r>
        <w:t xml:space="preserve"> daalt</w:t>
      </w:r>
      <w:r w:rsidRPr="04EAF1A7">
        <w:t xml:space="preserve"> tot het niveau van </w:t>
      </w:r>
      <w:r>
        <w:t>2024</w:t>
      </w:r>
      <w:r w:rsidRPr="04EAF1A7">
        <w:t xml:space="preserve">. </w:t>
      </w:r>
      <w:r>
        <w:t xml:space="preserve">Het zou namelijk kunnen dat alle potentiële aanvragers op een gegeven moment bij de regeling geweest zijn. Er worden nog steeds mensen ziek, maar dat zal niet leiden tot het niveau van aanvragen dat we nu zien. </w:t>
      </w:r>
      <w:r w:rsidRPr="04EAF1A7">
        <w:t xml:space="preserve">Daarnaast is het aantal aanvragen nog lang niet op het niveau dat werd verwacht voor de start van de regeling. </w:t>
      </w:r>
      <w:r>
        <w:t>Waarschijnlijk waren de</w:t>
      </w:r>
      <w:r w:rsidRPr="04EAF1A7">
        <w:t xml:space="preserve"> verwachtingen te hoog</w:t>
      </w:r>
      <w:r w:rsidR="006D4C71">
        <w:t>.</w:t>
      </w:r>
      <w:r>
        <w:t xml:space="preserve"> Dit is</w:t>
      </w:r>
      <w:r w:rsidRPr="04EAF1A7">
        <w:t xml:space="preserve"> voorstelbaar vanwege de onzekerheid waar die verwachtingen op </w:t>
      </w:r>
      <w:r>
        <w:t>waren</w:t>
      </w:r>
      <w:r w:rsidRPr="04EAF1A7">
        <w:t xml:space="preserve"> gebaseerd.</w:t>
      </w:r>
      <w:r>
        <w:t xml:space="preserve"> Voor de start van de regeling waren enkel gegevens uit het buitenland beschikbaar, die rekenkundig zijn vertaald naar Nederland</w:t>
      </w:r>
      <w:r w:rsidR="001B7241">
        <w:t xml:space="preserve"> Andere landen hebben voor beroepsziekten vaak specifieke uitkeringen. Daarom wordt er meer aandacht besteed aan de vaststelling van </w:t>
      </w:r>
      <w:proofErr w:type="spellStart"/>
      <w:r w:rsidR="001B7241">
        <w:t>werkgerelateerdheid</w:t>
      </w:r>
      <w:proofErr w:type="spellEnd"/>
      <w:r w:rsidR="001B7241">
        <w:t xml:space="preserve"> van ziekten.</w:t>
      </w:r>
      <w:r w:rsidR="00B508DA">
        <w:t xml:space="preserve"> In Nederland besta</w:t>
      </w:r>
      <w:r w:rsidR="001B7241">
        <w:t>at het onderscheid van die specifieke uitkeringen niet</w:t>
      </w:r>
      <w:r w:rsidR="00B508DA">
        <w:t>.</w:t>
      </w:r>
      <w:r w:rsidR="00AD2FF7">
        <w:t xml:space="preserve"> Toch is ook in het buitenland de ervaring dat het aantal aanvragen bij vergelijkbare regelingen lager is dan verwacht.</w:t>
      </w:r>
    </w:p>
    <w:p w:rsidR="00EC250B" w:rsidP="00EC250B" w:rsidRDefault="00EC250B" w14:paraId="27E52965" w14:textId="77777777"/>
    <w:p w:rsidR="00EC250B" w:rsidP="00EC250B" w:rsidRDefault="00B26E16" w14:paraId="1D71E1D6" w14:textId="68AD0F42">
      <w:pPr>
        <w:jc w:val="center"/>
      </w:pPr>
      <w:r>
        <w:rPr>
          <w:noProof/>
        </w:rPr>
        <w:lastRenderedPageBreak/>
        <w:drawing>
          <wp:inline distT="0" distB="0" distL="0" distR="0">
            <wp:extent cx="4067251" cy="2538375"/>
            <wp:effectExtent l="0" t="0" r="9525" b="14605"/>
            <wp:docPr id="96056907" name="Grafiek 1">
              <a:extLst xmlns:a="http://schemas.openxmlformats.org/drawingml/2006/main">
                <a:ext uri="{FF2B5EF4-FFF2-40B4-BE49-F238E27FC236}">
                  <a16:creationId xmlns:a16="http://schemas.microsoft.com/office/drawing/2014/main" id="{984BEA5A-198E-41C7-4E8C-6F155324F9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C42D7B" w:rsidR="00EC250B" w:rsidP="002824D2" w:rsidRDefault="00EC250B" w14:paraId="34F18691" w14:textId="77777777">
      <w:pPr>
        <w:jc w:val="center"/>
        <w:rPr>
          <w:sz w:val="16"/>
          <w:szCs w:val="16"/>
        </w:rPr>
      </w:pPr>
      <w:r>
        <w:rPr>
          <w:sz w:val="16"/>
          <w:szCs w:val="16"/>
        </w:rPr>
        <w:t>Grafiek 1: Maandelijkse ontwikkeling aanvragen in 2024 en 2025. Bron: ISBG</w:t>
      </w:r>
    </w:p>
    <w:p w:rsidR="00EC250B" w:rsidP="00EC250B" w:rsidRDefault="00EC250B" w14:paraId="30C42884" w14:textId="77777777">
      <w:pPr>
        <w:rPr>
          <w:b/>
          <w:bCs/>
        </w:rPr>
      </w:pPr>
    </w:p>
    <w:p w:rsidR="00B508DA" w:rsidP="00EC250B" w:rsidRDefault="00EC250B" w14:paraId="293C1ABB" w14:textId="723432C7">
      <w:r>
        <w:rPr>
          <w:b/>
          <w:bCs/>
        </w:rPr>
        <w:t>Spoor 2: Vergroten van de kans op een toekenning</w:t>
      </w:r>
      <w:r>
        <w:rPr>
          <w:b/>
          <w:bCs/>
        </w:rPr>
        <w:br/>
      </w:r>
      <w:r>
        <w:t>Ook in het percentage toekenningen is een stijgende lijn zichtbaar (zie grafiek 2). Dit percentage schommelt door het lager aantal aanvragen in bepaalde maanden. Dit vertekent het beeld enigszins</w:t>
      </w:r>
      <w:r w:rsidR="002824D2">
        <w:t>.</w:t>
      </w:r>
      <w:r>
        <w:rPr>
          <w:rStyle w:val="Voetnootmarkering"/>
        </w:rPr>
        <w:footnoteReference w:id="6"/>
      </w:r>
      <w:r>
        <w:t xml:space="preserve"> Ondanks de grote verschillen per maand, is de trendlijn positief. Ik verwacht dat deze ontwikkeling zich doorzet, hoewel er afwijzingen zullen blijven voorkomen. Niet bij iedere aanvrager is de ziekte te relateren aan het werk volgens het ‘voorshands aannemelijk-principe’</w:t>
      </w:r>
      <w:r>
        <w:rPr>
          <w:rStyle w:val="Voetnootmarkering"/>
        </w:rPr>
        <w:footnoteReference w:id="7"/>
      </w:r>
      <w:r>
        <w:t xml:space="preserve"> van de TSB. Een belangrijke kanttekening is dat de gevolgen van de herziene protocollen nog niet volledig in de cijfers te zien zijn. Dit komt doordat het grootste deel van de aanvragen die met de herziene protocollen worden beoordeeld, nog in behandeling </w:t>
      </w:r>
      <w:r w:rsidR="000D5953">
        <w:t>is</w:t>
      </w:r>
      <w:r>
        <w:t>. In de komende maanden wordt het volledige effect zichtbaar.</w:t>
      </w:r>
      <w:r w:rsidR="00B508DA">
        <w:t xml:space="preserve"> De eerste uitkomsten </w:t>
      </w:r>
      <w:r w:rsidR="007567A0">
        <w:t xml:space="preserve">staan in de onderstaande tabel. </w:t>
      </w:r>
      <w:r w:rsidR="006246FF">
        <w:t>Hierin valt met name het toekenningspercentage op van 58% bij longkanker. Dit komt door de verlaging van de vereiste blootstelling aan asbest en het feit dat blootstelling aan silica (steenstof) nu ook is meegeteld bij de blootstelling.</w:t>
      </w:r>
      <w:r w:rsidRPr="001B7241" w:rsidR="001B7241">
        <w:t xml:space="preserve"> </w:t>
      </w:r>
      <w:r w:rsidR="001B7241">
        <w:t>Per ziekte geldt een ander protocol voor de beoordeling van aanvragen. Daarom verschilt het aantal toekenningen per ziekte sterk. Dit komt voor CSE mede doordat die ziekte lastig vast te stellen is, aangezien deze lijkt op psychische aandoeningen zoals dementie. Voor een diagnose van CSE moeten die andere ziekten eerst worden uitgesloten, wat niet altijd mogelijk is. Bij allergisch beroepsastma is de link met een allergeen op de werkvloer vaak lastig aantoonbaar, wat wel een vereiste is voor een toekenning.</w:t>
      </w:r>
    </w:p>
    <w:p w:rsidR="006246FF" w:rsidP="00EC250B" w:rsidRDefault="006246FF" w14:paraId="1A7EF934" w14:textId="77777777"/>
    <w:p w:rsidR="00B508DA" w:rsidP="00EC250B" w:rsidRDefault="00B508DA" w14:paraId="576CD8F8" w14:textId="77777777"/>
    <w:p w:rsidR="00A967EC" w:rsidP="00EC250B" w:rsidRDefault="00A967EC" w14:paraId="1B58D60A" w14:textId="77777777"/>
    <w:p w:rsidR="00A967EC" w:rsidP="00EC250B" w:rsidRDefault="00A967EC" w14:paraId="46583083" w14:textId="77777777"/>
    <w:p w:rsidR="00A967EC" w:rsidP="00EC250B" w:rsidRDefault="00A967EC" w14:paraId="6F9D23D6" w14:textId="77777777"/>
    <w:tbl>
      <w:tblPr>
        <w:tblStyle w:val="Tabelraster"/>
        <w:tblW w:w="0" w:type="auto"/>
        <w:tblLook w:val="04A0" w:firstRow="1" w:lastRow="0" w:firstColumn="1" w:lastColumn="0" w:noHBand="0" w:noVBand="1"/>
      </w:tblPr>
      <w:tblGrid>
        <w:gridCol w:w="2510"/>
        <w:gridCol w:w="2510"/>
        <w:gridCol w:w="2511"/>
      </w:tblGrid>
      <w:tr w:rsidR="00B508DA" w:rsidTr="00B508DA" w14:paraId="1879F72E" w14:textId="77777777">
        <w:tc>
          <w:tcPr>
            <w:tcW w:w="2510" w:type="dxa"/>
          </w:tcPr>
          <w:p w:rsidRPr="0022223E" w:rsidR="00B508DA" w:rsidP="00EC250B" w:rsidRDefault="00B508DA" w14:paraId="274F7C59" w14:textId="5A65B363">
            <w:pPr>
              <w:rPr>
                <w:b/>
                <w:bCs/>
                <w:sz w:val="16"/>
                <w:szCs w:val="16"/>
              </w:rPr>
            </w:pPr>
            <w:r w:rsidRPr="0022223E">
              <w:rPr>
                <w:b/>
                <w:bCs/>
                <w:sz w:val="16"/>
                <w:szCs w:val="16"/>
              </w:rPr>
              <w:lastRenderedPageBreak/>
              <w:t>Ziekte</w:t>
            </w:r>
          </w:p>
        </w:tc>
        <w:tc>
          <w:tcPr>
            <w:tcW w:w="2510" w:type="dxa"/>
          </w:tcPr>
          <w:p w:rsidRPr="0022223E" w:rsidR="00B508DA" w:rsidP="00EC250B" w:rsidRDefault="00B508DA" w14:paraId="2F622D43" w14:textId="40C9D5C0">
            <w:pPr>
              <w:rPr>
                <w:b/>
                <w:bCs/>
                <w:sz w:val="16"/>
                <w:szCs w:val="16"/>
              </w:rPr>
            </w:pPr>
            <w:r w:rsidRPr="0022223E">
              <w:rPr>
                <w:b/>
                <w:bCs/>
                <w:sz w:val="16"/>
                <w:szCs w:val="16"/>
              </w:rPr>
              <w:t xml:space="preserve">Aantal </w:t>
            </w:r>
            <w:r w:rsidRPr="0022223E" w:rsidR="006246FF">
              <w:rPr>
                <w:b/>
                <w:bCs/>
                <w:sz w:val="16"/>
                <w:szCs w:val="16"/>
              </w:rPr>
              <w:t xml:space="preserve">afgehandelde </w:t>
            </w:r>
            <w:r w:rsidRPr="0022223E">
              <w:rPr>
                <w:b/>
                <w:bCs/>
                <w:sz w:val="16"/>
                <w:szCs w:val="16"/>
              </w:rPr>
              <w:t>opnieuw ingediend</w:t>
            </w:r>
            <w:r w:rsidRPr="0022223E" w:rsidR="006246FF">
              <w:rPr>
                <w:b/>
                <w:bCs/>
                <w:sz w:val="16"/>
                <w:szCs w:val="16"/>
              </w:rPr>
              <w:t>e aanvragen</w:t>
            </w:r>
          </w:p>
        </w:tc>
        <w:tc>
          <w:tcPr>
            <w:tcW w:w="2511" w:type="dxa"/>
          </w:tcPr>
          <w:p w:rsidRPr="0022223E" w:rsidR="00B508DA" w:rsidP="00EC250B" w:rsidRDefault="00B508DA" w14:paraId="646F2F64" w14:textId="784C8C43">
            <w:pPr>
              <w:rPr>
                <w:b/>
                <w:bCs/>
                <w:sz w:val="16"/>
                <w:szCs w:val="16"/>
              </w:rPr>
            </w:pPr>
            <w:r w:rsidRPr="0022223E">
              <w:rPr>
                <w:b/>
                <w:bCs/>
                <w:sz w:val="16"/>
                <w:szCs w:val="16"/>
              </w:rPr>
              <w:t xml:space="preserve">Aantal </w:t>
            </w:r>
            <w:r w:rsidRPr="0022223E" w:rsidR="006246FF">
              <w:rPr>
                <w:b/>
                <w:bCs/>
                <w:sz w:val="16"/>
                <w:szCs w:val="16"/>
              </w:rPr>
              <w:t>daarvan</w:t>
            </w:r>
            <w:r w:rsidRPr="0022223E">
              <w:rPr>
                <w:b/>
                <w:bCs/>
                <w:sz w:val="16"/>
                <w:szCs w:val="16"/>
              </w:rPr>
              <w:t xml:space="preserve"> toegekend</w:t>
            </w:r>
          </w:p>
        </w:tc>
      </w:tr>
      <w:tr w:rsidR="00B508DA" w:rsidTr="00B508DA" w14:paraId="430949CE" w14:textId="77777777">
        <w:tc>
          <w:tcPr>
            <w:tcW w:w="2510" w:type="dxa"/>
          </w:tcPr>
          <w:p w:rsidRPr="0022223E" w:rsidR="00B508DA" w:rsidP="00EC250B" w:rsidRDefault="00B508DA" w14:paraId="1A0C701D" w14:textId="1278B350">
            <w:pPr>
              <w:rPr>
                <w:sz w:val="16"/>
                <w:szCs w:val="16"/>
              </w:rPr>
            </w:pPr>
            <w:r w:rsidRPr="0022223E">
              <w:rPr>
                <w:sz w:val="16"/>
                <w:szCs w:val="16"/>
              </w:rPr>
              <w:t>Allergisch beroepsastma</w:t>
            </w:r>
          </w:p>
        </w:tc>
        <w:tc>
          <w:tcPr>
            <w:tcW w:w="2510" w:type="dxa"/>
          </w:tcPr>
          <w:p w:rsidRPr="0022223E" w:rsidR="00B508DA" w:rsidP="0022223E" w:rsidRDefault="006246FF" w14:paraId="6A35B830" w14:textId="558F31DB">
            <w:pPr>
              <w:jc w:val="center"/>
              <w:rPr>
                <w:sz w:val="16"/>
                <w:szCs w:val="16"/>
              </w:rPr>
            </w:pPr>
            <w:r w:rsidRPr="0022223E">
              <w:rPr>
                <w:sz w:val="16"/>
                <w:szCs w:val="16"/>
              </w:rPr>
              <w:t>50</w:t>
            </w:r>
          </w:p>
        </w:tc>
        <w:tc>
          <w:tcPr>
            <w:tcW w:w="2511" w:type="dxa"/>
          </w:tcPr>
          <w:p w:rsidRPr="0022223E" w:rsidR="00B508DA" w:rsidP="0022223E" w:rsidRDefault="006246FF" w14:paraId="29E7F75C" w14:textId="03FA06C5">
            <w:pPr>
              <w:jc w:val="center"/>
              <w:rPr>
                <w:sz w:val="16"/>
                <w:szCs w:val="16"/>
              </w:rPr>
            </w:pPr>
            <w:r w:rsidRPr="0022223E">
              <w:rPr>
                <w:sz w:val="16"/>
                <w:szCs w:val="16"/>
              </w:rPr>
              <w:t>7</w:t>
            </w:r>
          </w:p>
        </w:tc>
      </w:tr>
      <w:tr w:rsidR="00B508DA" w:rsidTr="00B508DA" w14:paraId="40418CBD" w14:textId="77777777">
        <w:tc>
          <w:tcPr>
            <w:tcW w:w="2510" w:type="dxa"/>
          </w:tcPr>
          <w:p w:rsidRPr="0022223E" w:rsidR="00B508DA" w:rsidP="00EC250B" w:rsidRDefault="00B508DA" w14:paraId="56614551" w14:textId="1863759F">
            <w:pPr>
              <w:rPr>
                <w:sz w:val="16"/>
                <w:szCs w:val="16"/>
              </w:rPr>
            </w:pPr>
            <w:r w:rsidRPr="0022223E">
              <w:rPr>
                <w:sz w:val="16"/>
                <w:szCs w:val="16"/>
              </w:rPr>
              <w:t>CSE</w:t>
            </w:r>
          </w:p>
        </w:tc>
        <w:tc>
          <w:tcPr>
            <w:tcW w:w="2510" w:type="dxa"/>
          </w:tcPr>
          <w:p w:rsidRPr="0022223E" w:rsidR="00B508DA" w:rsidP="0022223E" w:rsidRDefault="006246FF" w14:paraId="6CAD1A53" w14:textId="5CF1959D">
            <w:pPr>
              <w:jc w:val="center"/>
              <w:rPr>
                <w:sz w:val="16"/>
                <w:szCs w:val="16"/>
              </w:rPr>
            </w:pPr>
            <w:r w:rsidRPr="0022223E">
              <w:rPr>
                <w:sz w:val="16"/>
                <w:szCs w:val="16"/>
              </w:rPr>
              <w:t>6</w:t>
            </w:r>
          </w:p>
        </w:tc>
        <w:tc>
          <w:tcPr>
            <w:tcW w:w="2511" w:type="dxa"/>
          </w:tcPr>
          <w:p w:rsidRPr="0022223E" w:rsidR="00B508DA" w:rsidP="0022223E" w:rsidRDefault="007567A0" w14:paraId="47D7E38E" w14:textId="0C0428EA">
            <w:pPr>
              <w:jc w:val="center"/>
              <w:rPr>
                <w:sz w:val="16"/>
                <w:szCs w:val="16"/>
              </w:rPr>
            </w:pPr>
            <w:r w:rsidRPr="0022223E">
              <w:rPr>
                <w:sz w:val="16"/>
                <w:szCs w:val="16"/>
              </w:rPr>
              <w:t>0</w:t>
            </w:r>
          </w:p>
        </w:tc>
      </w:tr>
      <w:tr w:rsidR="00B508DA" w:rsidTr="00B508DA" w14:paraId="6C525D1F" w14:textId="77777777">
        <w:tc>
          <w:tcPr>
            <w:tcW w:w="2510" w:type="dxa"/>
          </w:tcPr>
          <w:p w:rsidRPr="0022223E" w:rsidR="00B508DA" w:rsidP="00EC250B" w:rsidRDefault="007567A0" w14:paraId="2DC0F372" w14:textId="3AB77F3E">
            <w:pPr>
              <w:rPr>
                <w:sz w:val="16"/>
                <w:szCs w:val="16"/>
              </w:rPr>
            </w:pPr>
            <w:r w:rsidRPr="0022223E">
              <w:rPr>
                <w:sz w:val="16"/>
                <w:szCs w:val="16"/>
              </w:rPr>
              <w:t>Longkanker door asbest</w:t>
            </w:r>
          </w:p>
        </w:tc>
        <w:tc>
          <w:tcPr>
            <w:tcW w:w="2510" w:type="dxa"/>
          </w:tcPr>
          <w:p w:rsidRPr="0022223E" w:rsidR="00B508DA" w:rsidP="0022223E" w:rsidRDefault="006246FF" w14:paraId="5E482C83" w14:textId="0635F1DD">
            <w:pPr>
              <w:jc w:val="center"/>
              <w:rPr>
                <w:sz w:val="16"/>
                <w:szCs w:val="16"/>
              </w:rPr>
            </w:pPr>
            <w:r w:rsidRPr="0022223E">
              <w:rPr>
                <w:sz w:val="16"/>
                <w:szCs w:val="16"/>
              </w:rPr>
              <w:t>31</w:t>
            </w:r>
          </w:p>
        </w:tc>
        <w:tc>
          <w:tcPr>
            <w:tcW w:w="2511" w:type="dxa"/>
          </w:tcPr>
          <w:p w:rsidRPr="0022223E" w:rsidR="00B508DA" w:rsidP="0022223E" w:rsidRDefault="007567A0" w14:paraId="11E07E1A" w14:textId="1AA94176">
            <w:pPr>
              <w:jc w:val="center"/>
              <w:rPr>
                <w:sz w:val="16"/>
                <w:szCs w:val="16"/>
              </w:rPr>
            </w:pPr>
            <w:r w:rsidRPr="0022223E">
              <w:rPr>
                <w:sz w:val="16"/>
                <w:szCs w:val="16"/>
              </w:rPr>
              <w:t>1</w:t>
            </w:r>
            <w:r w:rsidRPr="0022223E" w:rsidR="006246FF">
              <w:rPr>
                <w:sz w:val="16"/>
                <w:szCs w:val="16"/>
              </w:rPr>
              <w:t>8</w:t>
            </w:r>
          </w:p>
        </w:tc>
      </w:tr>
    </w:tbl>
    <w:p w:rsidRPr="00B91030" w:rsidR="00EC250B" w:rsidP="00EC250B" w:rsidRDefault="00EC250B" w14:paraId="70532080" w14:textId="1D729DB9">
      <w:pPr>
        <w:rPr>
          <w:b/>
          <w:bCs/>
        </w:rPr>
      </w:pPr>
    </w:p>
    <w:p w:rsidR="002824D2" w:rsidP="00EC250B" w:rsidRDefault="002824D2" w14:paraId="19DC121C" w14:textId="77777777"/>
    <w:p w:rsidR="00EC250B" w:rsidP="00EC250B" w:rsidRDefault="00EC250B" w14:paraId="4012B274" w14:textId="77C9F57F">
      <w:r w:rsidRPr="04EAF1A7">
        <w:t xml:space="preserve">De herziening van de protocollen is niet de enige factor die het toekenningspercentage verhoogt. Wat waarschijnlijk ook helpt, is de verbeterde bekendheid van de regeling onder </w:t>
      </w:r>
      <w:r>
        <w:t>zorgprofessionals</w:t>
      </w:r>
      <w:r w:rsidRPr="04EAF1A7">
        <w:t>. Doordat zij de regeling beter kennen, weten zij beter welke patiënten zij het beste kunnen attenderen op het bestaan van de TSB.</w:t>
      </w:r>
    </w:p>
    <w:p w:rsidRPr="009864E0" w:rsidR="00EC250B" w:rsidP="00EC250B" w:rsidRDefault="00EC250B" w14:paraId="2854F1F8" w14:textId="77777777"/>
    <w:p w:rsidR="00EC250B" w:rsidP="00EC250B" w:rsidRDefault="00B26E16" w14:paraId="5DD38B29" w14:textId="78E9764F">
      <w:pPr>
        <w:jc w:val="center"/>
      </w:pPr>
      <w:r>
        <w:rPr>
          <w:noProof/>
        </w:rPr>
        <w:drawing>
          <wp:inline distT="0" distB="0" distL="0" distR="0">
            <wp:extent cx="4572000" cy="2743200"/>
            <wp:effectExtent l="0" t="0" r="0" b="0"/>
            <wp:docPr id="323570326" name="Grafiek 1">
              <a:extLst xmlns:a="http://schemas.openxmlformats.org/drawingml/2006/main">
                <a:ext uri="{FF2B5EF4-FFF2-40B4-BE49-F238E27FC236}">
                  <a16:creationId xmlns:a16="http://schemas.microsoft.com/office/drawing/2014/main" id="{E3C7437B-7DFC-3074-4D0F-B4443AD349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6D2943" w:rsidR="00EC250B" w:rsidP="002824D2" w:rsidRDefault="00EC250B" w14:paraId="178E9C75" w14:textId="77777777">
      <w:pPr>
        <w:jc w:val="center"/>
        <w:rPr>
          <w:sz w:val="16"/>
          <w:szCs w:val="16"/>
        </w:rPr>
      </w:pPr>
      <w:r>
        <w:rPr>
          <w:sz w:val="16"/>
          <w:szCs w:val="16"/>
        </w:rPr>
        <w:t>Grafiek 2: Ontwikkeling van het toekenningspercentage in 2024 en 2025. Bron: ISBG</w:t>
      </w:r>
    </w:p>
    <w:p w:rsidRPr="00126690" w:rsidR="00EC250B" w:rsidP="00EC250B" w:rsidRDefault="00EC250B" w14:paraId="5514F1F2" w14:textId="77777777">
      <w:pPr>
        <w:rPr>
          <w:b/>
          <w:bCs/>
        </w:rPr>
      </w:pPr>
    </w:p>
    <w:p w:rsidRPr="00B91030" w:rsidR="00EC250B" w:rsidP="002824D2" w:rsidRDefault="00EC250B" w14:paraId="1F92A8A8" w14:textId="316B1956">
      <w:pPr>
        <w:rPr>
          <w:b/>
          <w:bCs/>
        </w:rPr>
      </w:pPr>
      <w:r>
        <w:rPr>
          <w:b/>
          <w:bCs/>
        </w:rPr>
        <w:t>Spoor 3: Verbeterde uitvoering</w:t>
      </w:r>
      <w:r>
        <w:rPr>
          <w:b/>
          <w:bCs/>
        </w:rPr>
        <w:br/>
      </w:r>
      <w:r w:rsidRPr="04EAF1A7">
        <w:t xml:space="preserve">De evaluatie en verbetering van de uitvoering is een </w:t>
      </w:r>
      <w:r>
        <w:t>continu</w:t>
      </w:r>
      <w:r w:rsidRPr="04EAF1A7">
        <w:t xml:space="preserve"> proces. SZW heeft regelmatig overleg met de ketenpartners over de voortgang van de regeling</w:t>
      </w:r>
      <w:r>
        <w:t xml:space="preserve">. Daarbij </w:t>
      </w:r>
      <w:r w:rsidRPr="04EAF1A7">
        <w:t xml:space="preserve">evalueert </w:t>
      </w:r>
      <w:r w:rsidR="00A967EC">
        <w:t>SZW-periodiek</w:t>
      </w:r>
      <w:r w:rsidRPr="04EAF1A7">
        <w:t xml:space="preserve"> wat er beter kan en verbindt daar acties aan. In het verbeterplan was het centrale uitgangspunt om ‘de basis op orde te brengen’. Het was noodzakelijk om eerst voortgang te boeken met het realiseren van een stabiel fundament, voordat een verdere uitbreiding van de regeling plaats kon vinden. Er is de afgelopen periode hard gewerkt om dat punt met succes te bereiken. De al intensieve samenwerking tussen de uitvoerders van de regeling is verder versterkt. Dit is noodzakelijk vanwege de verschillende expertises die samenkomen bij het behandelen van aanvragen. De uitvoerders dragen ieder vanuit hun eigen specialisme bij aan de uitvoering van de TSB. Het menselijk contact via het ISBG bij de aanvraag, de medische en blootstellingskundige kennis bij het </w:t>
      </w:r>
      <w:r>
        <w:t xml:space="preserve">Bureau </w:t>
      </w:r>
      <w:proofErr w:type="spellStart"/>
      <w:r w:rsidRPr="04EAF1A7">
        <w:t>Lexces</w:t>
      </w:r>
      <w:proofErr w:type="spellEnd"/>
      <w:r w:rsidRPr="04EAF1A7">
        <w:t xml:space="preserve"> en het Deskundigenpanel, en de</w:t>
      </w:r>
      <w:r>
        <w:t xml:space="preserve"> uitvoerings</w:t>
      </w:r>
      <w:r w:rsidRPr="04EAF1A7">
        <w:t>ervaring van de SVB komen samen tot een effectieve ketensamenwerking.</w:t>
      </w:r>
    </w:p>
    <w:p w:rsidR="002824D2" w:rsidP="002824D2" w:rsidRDefault="002824D2" w14:paraId="3B050690" w14:textId="77777777"/>
    <w:p w:rsidR="00A967EC" w:rsidP="002824D2" w:rsidRDefault="00A967EC" w14:paraId="6B7C129C" w14:textId="77777777"/>
    <w:p w:rsidR="00A967EC" w:rsidP="002824D2" w:rsidRDefault="00A967EC" w14:paraId="46E6C151" w14:textId="77777777"/>
    <w:p w:rsidR="00EC250B" w:rsidP="002824D2" w:rsidRDefault="00EC250B" w14:paraId="585D0368" w14:textId="11E2DA8B">
      <w:r w:rsidRPr="00C25264">
        <w:lastRenderedPageBreak/>
        <w:t xml:space="preserve">De keten stelt zich open en lerend op en in dat kader </w:t>
      </w:r>
      <w:r w:rsidR="00896494">
        <w:t xml:space="preserve">start </w:t>
      </w:r>
      <w:r w:rsidRPr="00C25264">
        <w:t xml:space="preserve">dit najaar een klankbordgroep met patiëntenorganisaties, medische en blootstellingsdeskundige experts en sociale partners. De klankbordgroep kan meedenken over zaken die relevant zijn voor het goed functioneren van de regeling. Dit vergroot </w:t>
      </w:r>
      <w:r>
        <w:t xml:space="preserve">ook </w:t>
      </w:r>
      <w:r w:rsidRPr="00C25264">
        <w:t>het draagvlak en de bekendheid van de regeling.</w:t>
      </w:r>
      <w:r w:rsidRPr="00C25264">
        <w:rPr>
          <w:sz w:val="20"/>
          <w:szCs w:val="20"/>
        </w:rPr>
        <w:t xml:space="preserve"> </w:t>
      </w:r>
      <w:r w:rsidRPr="00C25264">
        <w:t xml:space="preserve">Overwegingen uit de klankbordgroep </w:t>
      </w:r>
      <w:r>
        <w:t>neemt SZW mee</w:t>
      </w:r>
      <w:r w:rsidRPr="00C25264">
        <w:t xml:space="preserve"> bij </w:t>
      </w:r>
      <w:r>
        <w:t>de beleidsvorming</w:t>
      </w:r>
      <w:r w:rsidRPr="00C25264">
        <w:t xml:space="preserve"> </w:t>
      </w:r>
      <w:r>
        <w:t>over</w:t>
      </w:r>
      <w:r w:rsidRPr="00C25264">
        <w:t xml:space="preserve"> de TSB-regeling.</w:t>
      </w:r>
    </w:p>
    <w:p w:rsidR="00EC250B" w:rsidP="002824D2" w:rsidRDefault="00EC250B" w14:paraId="03588679" w14:textId="77777777"/>
    <w:p w:rsidRPr="00B91030" w:rsidR="00EC250B" w:rsidP="0022223E" w:rsidRDefault="00EC250B" w14:paraId="762B93B0" w14:textId="6ECA41EC">
      <w:pPr>
        <w:spacing w:line="240" w:lineRule="auto"/>
        <w:rPr>
          <w:i/>
          <w:iCs/>
        </w:rPr>
      </w:pPr>
      <w:r>
        <w:rPr>
          <w:i/>
          <w:iCs/>
        </w:rPr>
        <w:t>Concluderend</w:t>
      </w:r>
      <w:r>
        <w:rPr>
          <w:i/>
          <w:iCs/>
        </w:rPr>
        <w:br/>
      </w:r>
      <w:r w:rsidRPr="5AA6D23D">
        <w:t xml:space="preserve">Met deze verbeteringen en ontwikkelingen doet de regeling (steeds beter) waar hij voor bedoeld is: erkenning geven aan mensen die ernstig ziek zijn geworden door het werken met gevaarlijke stoffen. Ik houd uw Kamer op de hoogte van ontwikkelingen, zoals een volgende uitbreiding met andere </w:t>
      </w:r>
      <w:r w:rsidRPr="5AA6D23D" w:rsidR="00A967EC">
        <w:t>stoffen gerelateerde</w:t>
      </w:r>
      <w:r w:rsidRPr="5AA6D23D">
        <w:t xml:space="preserve"> beroepsziekten. In dat kader verwacht ik in het voorjaar een advies van de Adviescommissie Lijst Beroepsziekten over de mogelijkheid om Parkinson door gewasbeschermingsmiddelen op termijn in de TSB op te nemen</w:t>
      </w:r>
      <w:r w:rsidR="002824D2">
        <w:t>.</w:t>
      </w:r>
      <w:r>
        <w:rPr>
          <w:rStyle w:val="Voetnootmarkering"/>
        </w:rPr>
        <w:footnoteReference w:id="8"/>
      </w:r>
      <w:r w:rsidRPr="5AA6D23D">
        <w:t xml:space="preserve"> Ik zal dat advies delen met uw Kamer. Op dat moment kan ik u ook informeren over</w:t>
      </w:r>
      <w:r>
        <w:t xml:space="preserve"> de voortgang en</w:t>
      </w:r>
      <w:r w:rsidRPr="5AA6D23D">
        <w:t xml:space="preserve"> een volgend streefmoment van uitbreiding van de regeling.</w:t>
      </w:r>
    </w:p>
    <w:p w:rsidR="009A7221" w:rsidP="002824D2" w:rsidRDefault="009A7221" w14:paraId="1858FB02" w14:textId="5AFEA40E"/>
    <w:p w:rsidR="009A7221" w:rsidP="002824D2" w:rsidRDefault="009A7221" w14:paraId="1858FB03" w14:textId="77777777">
      <w:pPr>
        <w:pStyle w:val="WitregelW1bodytekst"/>
        <w:spacing w:line="240" w:lineRule="atLeast"/>
      </w:pPr>
    </w:p>
    <w:p w:rsidR="002824D2" w:rsidP="002824D2" w:rsidRDefault="00EC250B" w14:paraId="65051562" w14:textId="77777777">
      <w:r>
        <w:t xml:space="preserve">De Staatssecretaris </w:t>
      </w:r>
      <w:r w:rsidR="001227D5">
        <w:t>Participatie</w:t>
      </w:r>
    </w:p>
    <w:p w:rsidR="009A7221" w:rsidP="002824D2" w:rsidRDefault="001227D5" w14:paraId="1858FB04" w14:textId="76423556">
      <w:proofErr w:type="gramStart"/>
      <w:r>
        <w:t>en</w:t>
      </w:r>
      <w:proofErr w:type="gramEnd"/>
      <w:r>
        <w:t xml:space="preserve"> Integratie</w:t>
      </w:r>
      <w:r w:rsidR="00EC250B">
        <w:t>,</w:t>
      </w:r>
    </w:p>
    <w:p w:rsidR="009A7221" w:rsidP="002824D2" w:rsidRDefault="009A7221" w14:paraId="1858FB05" w14:textId="77777777"/>
    <w:p w:rsidR="009A7221" w:rsidP="002824D2" w:rsidRDefault="009A7221" w14:paraId="1858FB06" w14:textId="77777777"/>
    <w:p w:rsidR="009A7221" w:rsidP="002824D2" w:rsidRDefault="009A7221" w14:paraId="1858FB07" w14:textId="77777777"/>
    <w:p w:rsidR="009A7221" w:rsidP="002824D2" w:rsidRDefault="009A7221" w14:paraId="1858FB08" w14:textId="77777777"/>
    <w:p w:rsidR="009A7221" w:rsidP="002824D2" w:rsidRDefault="009A7221" w14:paraId="1858FB09" w14:textId="77777777"/>
    <w:p w:rsidR="009A7221" w:rsidP="002824D2" w:rsidRDefault="00EC250B" w14:paraId="1858FB0A" w14:textId="77777777">
      <w:r>
        <w:t>J.N.J. Nobel</w:t>
      </w:r>
    </w:p>
    <w:sectPr w:rsidR="009A7221">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8FB13" w14:textId="77777777" w:rsidR="00EC250B" w:rsidRDefault="00EC250B">
      <w:pPr>
        <w:spacing w:line="240" w:lineRule="auto"/>
      </w:pPr>
      <w:r>
        <w:separator/>
      </w:r>
    </w:p>
  </w:endnote>
  <w:endnote w:type="continuationSeparator" w:id="0">
    <w:p w14:paraId="1858FB15" w14:textId="77777777" w:rsidR="00EC250B" w:rsidRDefault="00EC2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00000000"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B6E2D" w14:textId="77777777" w:rsidR="00FE5642" w:rsidRDefault="00FE56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C58B" w14:textId="77777777" w:rsidR="00FE5642" w:rsidRDefault="00FE56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E5AB5" w14:textId="77777777" w:rsidR="00FE5642" w:rsidRDefault="00FE56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8FB0F" w14:textId="77777777" w:rsidR="00EC250B" w:rsidRDefault="00EC250B">
      <w:pPr>
        <w:spacing w:line="240" w:lineRule="auto"/>
      </w:pPr>
      <w:r>
        <w:separator/>
      </w:r>
    </w:p>
  </w:footnote>
  <w:footnote w:type="continuationSeparator" w:id="0">
    <w:p w14:paraId="1858FB11" w14:textId="77777777" w:rsidR="00EC250B" w:rsidRDefault="00EC250B">
      <w:pPr>
        <w:spacing w:line="240" w:lineRule="auto"/>
      </w:pPr>
      <w:r>
        <w:continuationSeparator/>
      </w:r>
    </w:p>
  </w:footnote>
  <w:footnote w:id="1">
    <w:p w14:paraId="57AF3F27" w14:textId="5A40DE47" w:rsidR="00EF5E83" w:rsidRPr="0022223E" w:rsidRDefault="00EF5E83">
      <w:pPr>
        <w:pStyle w:val="Voetnoottekst"/>
        <w:rPr>
          <w:rFonts w:ascii="Verdana" w:hAnsi="Verdana"/>
          <w:sz w:val="16"/>
          <w:szCs w:val="16"/>
        </w:rPr>
      </w:pPr>
      <w:r w:rsidRPr="0022223E">
        <w:rPr>
          <w:rStyle w:val="Voetnootmarkering"/>
          <w:rFonts w:ascii="Verdana" w:hAnsi="Verdana"/>
          <w:sz w:val="16"/>
          <w:szCs w:val="16"/>
        </w:rPr>
        <w:footnoteRef/>
      </w:r>
      <w:r w:rsidRPr="0022223E">
        <w:rPr>
          <w:rFonts w:ascii="Verdana" w:hAnsi="Verdana"/>
          <w:sz w:val="16"/>
          <w:szCs w:val="16"/>
        </w:rPr>
        <w:t xml:space="preserve"> In het commissiedebat Gezond en Veilig Werken, van 11 juni 2025.</w:t>
      </w:r>
    </w:p>
  </w:footnote>
  <w:footnote w:id="2">
    <w:p w14:paraId="7F1E5A00" w14:textId="77777777" w:rsidR="00EC250B" w:rsidRPr="00EF5E83" w:rsidRDefault="00EC250B" w:rsidP="00EC250B">
      <w:pPr>
        <w:pStyle w:val="Voetnoottekst"/>
        <w:rPr>
          <w:rFonts w:ascii="Verdana" w:hAnsi="Verdana"/>
          <w:sz w:val="16"/>
          <w:szCs w:val="16"/>
        </w:rPr>
      </w:pPr>
      <w:r w:rsidRPr="00EF5E83">
        <w:rPr>
          <w:rStyle w:val="Voetnootmarkering"/>
          <w:rFonts w:ascii="Verdana" w:hAnsi="Verdana"/>
          <w:sz w:val="16"/>
          <w:szCs w:val="16"/>
        </w:rPr>
        <w:footnoteRef/>
      </w:r>
      <w:r w:rsidRPr="00EF5E83">
        <w:rPr>
          <w:rFonts w:ascii="Verdana" w:hAnsi="Verdana"/>
          <w:sz w:val="16"/>
          <w:szCs w:val="16"/>
        </w:rPr>
        <w:t xml:space="preserve"> </w:t>
      </w:r>
      <w:hyperlink r:id="rId1" w:history="1">
        <w:r w:rsidRPr="00EF5E83">
          <w:rPr>
            <w:rStyle w:val="Hyperlink"/>
            <w:rFonts w:ascii="Verdana" w:hAnsi="Verdana"/>
            <w:sz w:val="16"/>
            <w:szCs w:val="16"/>
          </w:rPr>
          <w:t xml:space="preserve">Regeling die mensen met beroepsziekten moest tegemoetkomen pakt verkeerd uit: 'Ik ben weggezet als leugenaar' | </w:t>
        </w:r>
        <w:proofErr w:type="spellStart"/>
        <w:r w:rsidRPr="00EF5E83">
          <w:rPr>
            <w:rStyle w:val="Hyperlink"/>
            <w:rFonts w:ascii="Verdana" w:hAnsi="Verdana"/>
            <w:sz w:val="16"/>
            <w:szCs w:val="16"/>
          </w:rPr>
          <w:t>EenVandaag</w:t>
        </w:r>
        <w:proofErr w:type="spellEnd"/>
      </w:hyperlink>
    </w:p>
  </w:footnote>
  <w:footnote w:id="3">
    <w:p w14:paraId="4A6FB6D9" w14:textId="77777777" w:rsidR="00EC250B" w:rsidRPr="002824D2" w:rsidRDefault="00EC250B" w:rsidP="00EC250B">
      <w:pPr>
        <w:pStyle w:val="Voetnoottekst"/>
        <w:rPr>
          <w:rFonts w:ascii="Verdana" w:hAnsi="Verdana"/>
          <w:sz w:val="16"/>
          <w:szCs w:val="16"/>
        </w:rPr>
      </w:pPr>
      <w:r w:rsidRPr="00EF5E83">
        <w:rPr>
          <w:rStyle w:val="Voetnootmarkering"/>
          <w:rFonts w:ascii="Verdana" w:hAnsi="Verdana"/>
          <w:sz w:val="16"/>
          <w:szCs w:val="16"/>
        </w:rPr>
        <w:footnoteRef/>
      </w:r>
      <w:r w:rsidRPr="00EF5E83">
        <w:rPr>
          <w:rFonts w:ascii="Verdana" w:hAnsi="Verdana"/>
          <w:sz w:val="16"/>
          <w:szCs w:val="16"/>
        </w:rPr>
        <w:t xml:space="preserve"> </w:t>
      </w:r>
      <w:hyperlink r:id="rId2" w:history="1">
        <w:r w:rsidRPr="00EF5E83">
          <w:rPr>
            <w:rStyle w:val="Hyperlink"/>
            <w:rFonts w:ascii="Verdana" w:hAnsi="Verdana"/>
            <w:sz w:val="16"/>
            <w:szCs w:val="16"/>
          </w:rPr>
          <w:t>Kamerbrief over regeling TSB | Kamerstuk | Rijksoverheid.nl</w:t>
        </w:r>
      </w:hyperlink>
    </w:p>
  </w:footnote>
  <w:footnote w:id="4">
    <w:p w14:paraId="3AC67E9F" w14:textId="77777777" w:rsidR="00EC250B" w:rsidRPr="002824D2" w:rsidRDefault="00EC250B" w:rsidP="00EC250B">
      <w:pPr>
        <w:pStyle w:val="Voetnoottekst"/>
        <w:rPr>
          <w:rFonts w:ascii="Verdana" w:hAnsi="Verdana"/>
          <w:sz w:val="16"/>
          <w:szCs w:val="16"/>
        </w:rPr>
      </w:pPr>
      <w:r w:rsidRPr="002824D2">
        <w:rPr>
          <w:rStyle w:val="Voetnootmarkering"/>
          <w:rFonts w:ascii="Verdana" w:hAnsi="Verdana"/>
          <w:sz w:val="16"/>
          <w:szCs w:val="16"/>
        </w:rPr>
        <w:footnoteRef/>
      </w:r>
      <w:r w:rsidRPr="002824D2">
        <w:rPr>
          <w:rFonts w:ascii="Verdana" w:hAnsi="Verdana"/>
          <w:sz w:val="16"/>
          <w:szCs w:val="16"/>
        </w:rPr>
        <w:t xml:space="preserve"> </w:t>
      </w:r>
      <w:hyperlink r:id="rId3">
        <w:r w:rsidRPr="002824D2">
          <w:rPr>
            <w:rStyle w:val="Hyperlink"/>
            <w:rFonts w:ascii="Verdana" w:hAnsi="Verdana"/>
            <w:sz w:val="16"/>
            <w:szCs w:val="16"/>
          </w:rPr>
          <w:t xml:space="preserve">Flinke toename aantal vergoedingen </w:t>
        </w:r>
        <w:proofErr w:type="spellStart"/>
        <w:r w:rsidRPr="002824D2">
          <w:rPr>
            <w:rStyle w:val="Hyperlink"/>
            <w:rFonts w:ascii="Verdana" w:hAnsi="Verdana"/>
            <w:sz w:val="16"/>
            <w:szCs w:val="16"/>
          </w:rPr>
          <w:t>beroepsgerelateerde</w:t>
        </w:r>
        <w:proofErr w:type="spellEnd"/>
        <w:r w:rsidRPr="002824D2">
          <w:rPr>
            <w:rStyle w:val="Hyperlink"/>
            <w:rFonts w:ascii="Verdana" w:hAnsi="Verdana"/>
            <w:sz w:val="16"/>
            <w:szCs w:val="16"/>
          </w:rPr>
          <w:t xml:space="preserve"> ziekten | De Telegraaf</w:t>
        </w:r>
      </w:hyperlink>
    </w:p>
  </w:footnote>
  <w:footnote w:id="5">
    <w:p w14:paraId="6BF460CB" w14:textId="77777777" w:rsidR="00EC250B" w:rsidRPr="002824D2" w:rsidRDefault="00EC250B" w:rsidP="00EC250B">
      <w:pPr>
        <w:pStyle w:val="Voetnoottekst"/>
        <w:rPr>
          <w:rFonts w:ascii="Verdana" w:hAnsi="Verdana"/>
          <w:sz w:val="16"/>
          <w:szCs w:val="16"/>
        </w:rPr>
      </w:pPr>
      <w:r w:rsidRPr="002824D2">
        <w:rPr>
          <w:rStyle w:val="Voetnootmarkering"/>
          <w:rFonts w:ascii="Verdana" w:hAnsi="Verdana"/>
          <w:sz w:val="16"/>
          <w:szCs w:val="16"/>
        </w:rPr>
        <w:footnoteRef/>
      </w:r>
      <w:r w:rsidRPr="002824D2">
        <w:rPr>
          <w:rFonts w:ascii="Verdana" w:hAnsi="Verdana"/>
          <w:sz w:val="16"/>
          <w:szCs w:val="16"/>
        </w:rPr>
        <w:t xml:space="preserve"> Namelijk met de ziekten neuskanker door houtstof, longkanker door silica en silicose.</w:t>
      </w:r>
    </w:p>
  </w:footnote>
  <w:footnote w:id="6">
    <w:p w14:paraId="19322D15" w14:textId="77777777" w:rsidR="00EC250B" w:rsidRPr="002824D2" w:rsidRDefault="00EC250B" w:rsidP="00EC250B">
      <w:pPr>
        <w:pStyle w:val="Voetnoottekst"/>
        <w:rPr>
          <w:rFonts w:ascii="Verdana" w:hAnsi="Verdana"/>
          <w:sz w:val="16"/>
          <w:szCs w:val="16"/>
        </w:rPr>
      </w:pPr>
      <w:r w:rsidRPr="002824D2">
        <w:rPr>
          <w:rStyle w:val="Voetnootmarkering"/>
          <w:rFonts w:ascii="Verdana" w:hAnsi="Verdana"/>
          <w:sz w:val="16"/>
          <w:szCs w:val="16"/>
        </w:rPr>
        <w:footnoteRef/>
      </w:r>
      <w:r w:rsidRPr="002824D2">
        <w:rPr>
          <w:rFonts w:ascii="Verdana" w:hAnsi="Verdana"/>
          <w:sz w:val="16"/>
          <w:szCs w:val="16"/>
        </w:rPr>
        <w:t xml:space="preserve"> Dit is met name het geval in de eerste maanden van 2024, omdat het aantal beslissingen toen lager was, wat zorgt voor grotere schommelingen in het toekenningspercentage.</w:t>
      </w:r>
    </w:p>
  </w:footnote>
  <w:footnote w:id="7">
    <w:p w14:paraId="34F8304F" w14:textId="77777777" w:rsidR="00EC250B" w:rsidRPr="002824D2" w:rsidRDefault="00EC250B" w:rsidP="00EC250B">
      <w:pPr>
        <w:pStyle w:val="Voetnoottekst"/>
        <w:rPr>
          <w:rFonts w:ascii="Verdana" w:hAnsi="Verdana"/>
          <w:sz w:val="16"/>
          <w:szCs w:val="16"/>
        </w:rPr>
      </w:pPr>
      <w:r w:rsidRPr="002824D2">
        <w:rPr>
          <w:rStyle w:val="Voetnootmarkering"/>
          <w:rFonts w:ascii="Verdana" w:hAnsi="Verdana"/>
          <w:sz w:val="16"/>
          <w:szCs w:val="16"/>
        </w:rPr>
        <w:footnoteRef/>
      </w:r>
      <w:r w:rsidRPr="002824D2">
        <w:rPr>
          <w:rFonts w:ascii="Verdana" w:hAnsi="Verdana"/>
          <w:sz w:val="16"/>
          <w:szCs w:val="16"/>
        </w:rPr>
        <w:t xml:space="preserve"> Anders dan in het aansprakelijkheidsrecht, hoeft het verband tussen de ziekte en blootstelling op het werk niet volledig te worden bewezen. Per ziekte is een niveau van waarschijnlijkheid uitgewerkt, waaraan een aanvraag dient te voldoen. Dit heet het voorshands aannemelijk-principe.</w:t>
      </w:r>
    </w:p>
  </w:footnote>
  <w:footnote w:id="8">
    <w:p w14:paraId="30620A96" w14:textId="77777777" w:rsidR="00EC250B" w:rsidRPr="002824D2" w:rsidRDefault="00EC250B" w:rsidP="00EC250B">
      <w:pPr>
        <w:pStyle w:val="Voetnoottekst"/>
        <w:rPr>
          <w:rFonts w:ascii="Verdana" w:hAnsi="Verdana"/>
          <w:sz w:val="16"/>
          <w:szCs w:val="16"/>
        </w:rPr>
      </w:pPr>
      <w:r w:rsidRPr="002824D2">
        <w:rPr>
          <w:rStyle w:val="Voetnootmarkering"/>
          <w:rFonts w:ascii="Verdana" w:hAnsi="Verdana"/>
          <w:sz w:val="16"/>
          <w:szCs w:val="16"/>
        </w:rPr>
        <w:footnoteRef/>
      </w:r>
      <w:r w:rsidRPr="002824D2">
        <w:rPr>
          <w:rFonts w:ascii="Verdana" w:hAnsi="Verdana"/>
          <w:sz w:val="16"/>
          <w:szCs w:val="16"/>
        </w:rPr>
        <w:t xml:space="preserve"> In lijn met de motie </w:t>
      </w:r>
      <w:proofErr w:type="spellStart"/>
      <w:r w:rsidRPr="002824D2">
        <w:rPr>
          <w:rFonts w:ascii="Verdana" w:hAnsi="Verdana"/>
          <w:sz w:val="16"/>
          <w:szCs w:val="16"/>
        </w:rPr>
        <w:t>Podt-Grinwis</w:t>
      </w:r>
      <w:proofErr w:type="spellEnd"/>
      <w:r w:rsidRPr="002824D2">
        <w:rPr>
          <w:rFonts w:ascii="Verdana" w:hAnsi="Verdana"/>
          <w:sz w:val="16"/>
          <w:szCs w:val="16"/>
        </w:rPr>
        <w:t xml:space="preserve">, Kamerstuknummer 27858-670: </w:t>
      </w:r>
      <w:hyperlink r:id="rId4" w:history="1">
        <w:r w:rsidRPr="002824D2">
          <w:rPr>
            <w:rStyle w:val="Hyperlink"/>
            <w:rFonts w:ascii="Verdana" w:hAnsi="Verdana"/>
            <w:sz w:val="16"/>
            <w:szCs w:val="16"/>
          </w:rPr>
          <w:t>Gewasbeschermingsbeleid | Tweede Kamer der Staten-Generaal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8C06" w14:textId="77777777" w:rsidR="00FE5642" w:rsidRDefault="00FE56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B0B" w14:textId="77777777" w:rsidR="009A7221" w:rsidRDefault="00EC250B">
    <w:r>
      <w:rPr>
        <w:noProof/>
      </w:rPr>
      <mc:AlternateContent>
        <mc:Choice Requires="wps">
          <w:drawing>
            <wp:anchor distT="0" distB="0" distL="0" distR="0" simplePos="0" relativeHeight="251654144" behindDoc="0" locked="1" layoutInCell="1" allowOverlap="1" wp14:anchorId="1858FB0F" wp14:editId="1858FB1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858FB3F" w14:textId="77777777" w:rsidR="009A7221" w:rsidRDefault="00EC250B">
                          <w:pPr>
                            <w:pStyle w:val="Referentiegegevenskopjes"/>
                          </w:pPr>
                          <w:r>
                            <w:t>Datum</w:t>
                          </w:r>
                        </w:p>
                        <w:p w14:paraId="320DD154" w14:textId="7F81BA96" w:rsidR="002122B8" w:rsidRDefault="00A967EC">
                          <w:pPr>
                            <w:pStyle w:val="Referentiegegevens"/>
                          </w:pPr>
                          <w:r>
                            <w:t>25-11-2025</w:t>
                          </w:r>
                          <w:r w:rsidR="005F45A2">
                            <w:fldChar w:fldCharType="begin"/>
                          </w:r>
                          <w:r w:rsidR="005F45A2">
                            <w:instrText xml:space="preserve"> DOCPROPERTY  "iDatum"  \* MERGEFORMAT </w:instrText>
                          </w:r>
                          <w:r w:rsidR="005F45A2">
                            <w:fldChar w:fldCharType="end"/>
                          </w:r>
                        </w:p>
                        <w:p w14:paraId="1858FB41" w14:textId="77777777" w:rsidR="009A7221" w:rsidRDefault="009A7221">
                          <w:pPr>
                            <w:pStyle w:val="WitregelW1"/>
                          </w:pPr>
                        </w:p>
                        <w:p w14:paraId="1858FB42" w14:textId="77777777" w:rsidR="009A7221" w:rsidRDefault="00EC250B">
                          <w:pPr>
                            <w:pStyle w:val="Referentiegegevenskopjes"/>
                          </w:pPr>
                          <w:r>
                            <w:t>Onze referentie</w:t>
                          </w:r>
                        </w:p>
                        <w:p w14:paraId="57245496" w14:textId="63F21ECE" w:rsidR="002122B8" w:rsidRDefault="005F45A2">
                          <w:pPr>
                            <w:pStyle w:val="ReferentiegegevensHL"/>
                          </w:pPr>
                          <w:r>
                            <w:fldChar w:fldCharType="begin"/>
                          </w:r>
                          <w:r>
                            <w:instrText xml:space="preserve"> DOCPROPERTY  "iOnsKenmerk"  \* MERGEFORMAT </w:instrText>
                          </w:r>
                          <w:r>
                            <w:fldChar w:fldCharType="separate"/>
                          </w:r>
                          <w:r>
                            <w:t>2025-0000262789</w:t>
                          </w:r>
                          <w:r>
                            <w:fldChar w:fldCharType="end"/>
                          </w:r>
                        </w:p>
                      </w:txbxContent>
                    </wps:txbx>
                    <wps:bodyPr vert="horz" wrap="square" lIns="0" tIns="0" rIns="0" bIns="0" anchor="t" anchorCtr="0"/>
                  </wps:wsp>
                </a:graphicData>
              </a:graphic>
            </wp:anchor>
          </w:drawing>
        </mc:Choice>
        <mc:Fallback>
          <w:pict>
            <v:shapetype w14:anchorId="1858FB0F"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858FB3F" w14:textId="77777777" w:rsidR="009A7221" w:rsidRDefault="00EC250B">
                    <w:pPr>
                      <w:pStyle w:val="Referentiegegevenskopjes"/>
                    </w:pPr>
                    <w:r>
                      <w:t>Datum</w:t>
                    </w:r>
                  </w:p>
                  <w:p w14:paraId="320DD154" w14:textId="7F81BA96" w:rsidR="002122B8" w:rsidRDefault="00A967EC">
                    <w:pPr>
                      <w:pStyle w:val="Referentiegegevens"/>
                    </w:pPr>
                    <w:r>
                      <w:t>25-11-2025</w:t>
                    </w:r>
                    <w:r w:rsidR="005F45A2">
                      <w:fldChar w:fldCharType="begin"/>
                    </w:r>
                    <w:r w:rsidR="005F45A2">
                      <w:instrText xml:space="preserve"> DOCPROPERTY  "iDatum"  \* MERGEFORMAT </w:instrText>
                    </w:r>
                    <w:r w:rsidR="005F45A2">
                      <w:fldChar w:fldCharType="end"/>
                    </w:r>
                  </w:p>
                  <w:p w14:paraId="1858FB41" w14:textId="77777777" w:rsidR="009A7221" w:rsidRDefault="009A7221">
                    <w:pPr>
                      <w:pStyle w:val="WitregelW1"/>
                    </w:pPr>
                  </w:p>
                  <w:p w14:paraId="1858FB42" w14:textId="77777777" w:rsidR="009A7221" w:rsidRDefault="00EC250B">
                    <w:pPr>
                      <w:pStyle w:val="Referentiegegevenskopjes"/>
                    </w:pPr>
                    <w:r>
                      <w:t>Onze referentie</w:t>
                    </w:r>
                  </w:p>
                  <w:p w14:paraId="57245496" w14:textId="63F21ECE" w:rsidR="002122B8" w:rsidRDefault="005F45A2">
                    <w:pPr>
                      <w:pStyle w:val="ReferentiegegevensHL"/>
                    </w:pPr>
                    <w:r>
                      <w:fldChar w:fldCharType="begin"/>
                    </w:r>
                    <w:r>
                      <w:instrText xml:space="preserve"> DOCPROPERTY  "iOnsKenmerk"  \* MERGEFORMAT </w:instrText>
                    </w:r>
                    <w:r>
                      <w:fldChar w:fldCharType="separate"/>
                    </w:r>
                    <w:r>
                      <w:t>2025-0000262789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858FB11" wp14:editId="1858FB1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6F27EA8" w14:textId="77777777" w:rsidR="002122B8" w:rsidRDefault="005F45A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58FB1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6F27EA8" w14:textId="77777777" w:rsidR="002122B8" w:rsidRDefault="005F45A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8FB0D" w14:textId="77777777" w:rsidR="009A7221" w:rsidRDefault="00EC250B">
    <w:pPr>
      <w:spacing w:after="7029" w:line="14" w:lineRule="exact"/>
    </w:pPr>
    <w:r>
      <w:rPr>
        <w:noProof/>
      </w:rPr>
      <mc:AlternateContent>
        <mc:Choice Requires="wps">
          <w:drawing>
            <wp:anchor distT="0" distB="0" distL="0" distR="0" simplePos="0" relativeHeight="251656192" behindDoc="0" locked="1" layoutInCell="1" allowOverlap="1" wp14:anchorId="1858FB13" wp14:editId="1858FB1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858FB1F" w14:textId="77777777" w:rsidR="009A7221" w:rsidRDefault="00EC250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858FB1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858FB1F" w14:textId="77777777" w:rsidR="009A7221" w:rsidRDefault="00EC250B">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58FB15" wp14:editId="1858FB16">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858FB22" w14:textId="77777777" w:rsidR="009A7221" w:rsidRPr="00BE117B" w:rsidRDefault="00EC250B">
                          <w:pPr>
                            <w:pStyle w:val="Afzendgegevens"/>
                            <w:rPr>
                              <w:lang w:val="de-DE"/>
                            </w:rPr>
                          </w:pPr>
                          <w:r w:rsidRPr="00BE117B">
                            <w:rPr>
                              <w:lang w:val="de-DE"/>
                            </w:rPr>
                            <w:t>Postbus 90801</w:t>
                          </w:r>
                        </w:p>
                        <w:p w14:paraId="1858FB23" w14:textId="77777777" w:rsidR="009A7221" w:rsidRPr="00BE117B" w:rsidRDefault="00EC250B">
                          <w:pPr>
                            <w:pStyle w:val="Afzendgegevens"/>
                            <w:rPr>
                              <w:lang w:val="de-DE"/>
                            </w:rPr>
                          </w:pPr>
                          <w:r w:rsidRPr="00BE117B">
                            <w:rPr>
                              <w:lang w:val="de-DE"/>
                            </w:rPr>
                            <w:t>2509 LV  Den Haag</w:t>
                          </w:r>
                        </w:p>
                        <w:p w14:paraId="1858FB24" w14:textId="77777777" w:rsidR="009A7221" w:rsidRPr="00BE117B" w:rsidRDefault="00EC250B">
                          <w:pPr>
                            <w:pStyle w:val="Afzendgegevens"/>
                            <w:rPr>
                              <w:lang w:val="de-DE"/>
                            </w:rPr>
                          </w:pPr>
                          <w:r w:rsidRPr="00BE117B">
                            <w:rPr>
                              <w:lang w:val="de-DE"/>
                            </w:rPr>
                            <w:t>T   070 333 44 44</w:t>
                          </w:r>
                        </w:p>
                        <w:p w14:paraId="1858FB25" w14:textId="77777777" w:rsidR="009A7221" w:rsidRPr="00BE117B" w:rsidRDefault="009A7221">
                          <w:pPr>
                            <w:pStyle w:val="WitregelW2"/>
                            <w:rPr>
                              <w:lang w:val="de-DE"/>
                            </w:rPr>
                          </w:pPr>
                        </w:p>
                        <w:p w14:paraId="1858FB26" w14:textId="77777777" w:rsidR="009A7221" w:rsidRDefault="00EC250B">
                          <w:pPr>
                            <w:pStyle w:val="Referentiegegevenskopjes"/>
                          </w:pPr>
                          <w:r>
                            <w:t>Onze referentie</w:t>
                          </w:r>
                        </w:p>
                        <w:p w14:paraId="42234896" w14:textId="17524E13" w:rsidR="002122B8" w:rsidRDefault="005F45A2">
                          <w:pPr>
                            <w:pStyle w:val="ReferentiegegevensHL"/>
                          </w:pPr>
                          <w:r>
                            <w:fldChar w:fldCharType="begin"/>
                          </w:r>
                          <w:r>
                            <w:instrText xml:space="preserve"> DOCPROPERTY  "iOnsKenmerk"  \* MERGEFORMAT </w:instrText>
                          </w:r>
                          <w:r>
                            <w:fldChar w:fldCharType="separate"/>
                          </w:r>
                          <w:r>
                            <w:t>2025-0000262789</w:t>
                          </w:r>
                          <w:r>
                            <w:fldChar w:fldCharType="end"/>
                          </w:r>
                        </w:p>
                        <w:p w14:paraId="1858FB28" w14:textId="77777777" w:rsidR="009A7221" w:rsidRDefault="009A7221">
                          <w:pPr>
                            <w:pStyle w:val="WitregelW1"/>
                          </w:pPr>
                        </w:p>
                        <w:p w14:paraId="5EA476EF" w14:textId="08226259" w:rsidR="002122B8" w:rsidRDefault="005F45A2">
                          <w:pPr>
                            <w:pStyle w:val="Referentiegegevens"/>
                          </w:pPr>
                          <w:r>
                            <w:fldChar w:fldCharType="begin"/>
                          </w:r>
                          <w:r>
                            <w:instrText xml:space="preserve"> DOCPROPERTY  "iCC"  \* MERGEFORMAT </w:instrText>
                          </w:r>
                          <w:r>
                            <w:fldChar w:fldCharType="end"/>
                          </w:r>
                        </w:p>
                        <w:p w14:paraId="1858FB2A" w14:textId="77777777" w:rsidR="009A7221" w:rsidRDefault="009A7221">
                          <w:pPr>
                            <w:pStyle w:val="WitregelW1"/>
                          </w:pPr>
                        </w:p>
                        <w:p w14:paraId="6673A3DC" w14:textId="343BEEC7" w:rsidR="002122B8" w:rsidRDefault="005F45A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858FB1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1858FB22" w14:textId="77777777" w:rsidR="009A7221" w:rsidRPr="00BE117B" w:rsidRDefault="00EC250B">
                    <w:pPr>
                      <w:pStyle w:val="Afzendgegevens"/>
                      <w:rPr>
                        <w:lang w:val="de-DE"/>
                      </w:rPr>
                    </w:pPr>
                    <w:r w:rsidRPr="00BE117B">
                      <w:rPr>
                        <w:lang w:val="de-DE"/>
                      </w:rPr>
                      <w:t>Postbus 90801</w:t>
                    </w:r>
                  </w:p>
                  <w:p w14:paraId="1858FB23" w14:textId="77777777" w:rsidR="009A7221" w:rsidRPr="00BE117B" w:rsidRDefault="00EC250B">
                    <w:pPr>
                      <w:pStyle w:val="Afzendgegevens"/>
                      <w:rPr>
                        <w:lang w:val="de-DE"/>
                      </w:rPr>
                    </w:pPr>
                    <w:r w:rsidRPr="00BE117B">
                      <w:rPr>
                        <w:lang w:val="de-DE"/>
                      </w:rPr>
                      <w:t>2509 LV  Den Haag</w:t>
                    </w:r>
                  </w:p>
                  <w:p w14:paraId="1858FB24" w14:textId="77777777" w:rsidR="009A7221" w:rsidRPr="00BE117B" w:rsidRDefault="00EC250B">
                    <w:pPr>
                      <w:pStyle w:val="Afzendgegevens"/>
                      <w:rPr>
                        <w:lang w:val="de-DE"/>
                      </w:rPr>
                    </w:pPr>
                    <w:r w:rsidRPr="00BE117B">
                      <w:rPr>
                        <w:lang w:val="de-DE"/>
                      </w:rPr>
                      <w:t>T   070 333 44 44</w:t>
                    </w:r>
                  </w:p>
                  <w:p w14:paraId="1858FB25" w14:textId="77777777" w:rsidR="009A7221" w:rsidRPr="00BE117B" w:rsidRDefault="009A7221">
                    <w:pPr>
                      <w:pStyle w:val="WitregelW2"/>
                      <w:rPr>
                        <w:lang w:val="de-DE"/>
                      </w:rPr>
                    </w:pPr>
                  </w:p>
                  <w:p w14:paraId="1858FB26" w14:textId="77777777" w:rsidR="009A7221" w:rsidRDefault="00EC250B">
                    <w:pPr>
                      <w:pStyle w:val="Referentiegegevenskopjes"/>
                    </w:pPr>
                    <w:r>
                      <w:t>Onze referentie</w:t>
                    </w:r>
                  </w:p>
                  <w:p w14:paraId="42234896" w14:textId="17524E13" w:rsidR="002122B8" w:rsidRDefault="005F45A2">
                    <w:pPr>
                      <w:pStyle w:val="ReferentiegegevensHL"/>
                    </w:pPr>
                    <w:r>
                      <w:fldChar w:fldCharType="begin"/>
                    </w:r>
                    <w:r>
                      <w:instrText xml:space="preserve"> DOCPROPERTY  "iOnsKenmerk"  \* MERGEFORMAT </w:instrText>
                    </w:r>
                    <w:r>
                      <w:fldChar w:fldCharType="separate"/>
                    </w:r>
                    <w:r>
                      <w:t>2025-0000262789</w:t>
                    </w:r>
                    <w:r>
                      <w:fldChar w:fldCharType="end"/>
                    </w:r>
                  </w:p>
                  <w:p w14:paraId="1858FB28" w14:textId="77777777" w:rsidR="009A7221" w:rsidRDefault="009A7221">
                    <w:pPr>
                      <w:pStyle w:val="WitregelW1"/>
                    </w:pPr>
                  </w:p>
                  <w:p w14:paraId="5EA476EF" w14:textId="08226259" w:rsidR="002122B8" w:rsidRDefault="005F45A2">
                    <w:pPr>
                      <w:pStyle w:val="Referentiegegevens"/>
                    </w:pPr>
                    <w:r>
                      <w:fldChar w:fldCharType="begin"/>
                    </w:r>
                    <w:r>
                      <w:instrText xml:space="preserve"> DOCPROPERTY  "iCC"  \* MERGEFORMAT </w:instrText>
                    </w:r>
                    <w:r>
                      <w:fldChar w:fldCharType="end"/>
                    </w:r>
                  </w:p>
                  <w:p w14:paraId="1858FB2A" w14:textId="77777777" w:rsidR="009A7221" w:rsidRDefault="009A7221">
                    <w:pPr>
                      <w:pStyle w:val="WitregelW1"/>
                    </w:pPr>
                  </w:p>
                  <w:p w14:paraId="6673A3DC" w14:textId="343BEEC7" w:rsidR="002122B8" w:rsidRDefault="005F45A2">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58FB17" wp14:editId="1858FB1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858FB2C" w14:textId="77777777" w:rsidR="009A7221" w:rsidRDefault="00EC250B">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858FB1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858FB2C" w14:textId="77777777" w:rsidR="009A7221" w:rsidRDefault="00EC250B">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858FB19" wp14:editId="1858FB1A">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1858FB2D" w14:textId="77777777" w:rsidR="009A7221" w:rsidRDefault="00EC250B">
                          <w:r>
                            <w:t>De voorzitter van de Tweede Kamer der Staten-Generaal</w:t>
                          </w:r>
                        </w:p>
                        <w:p w14:paraId="1858FB2E" w14:textId="77777777" w:rsidR="009A7221" w:rsidRDefault="00EC250B">
                          <w:r>
                            <w:t>Prinses Irenestraat 6</w:t>
                          </w:r>
                        </w:p>
                        <w:p w14:paraId="1858FB2F" w14:textId="77777777" w:rsidR="009A7221" w:rsidRDefault="00EC250B">
                          <w:r>
                            <w:t>2595 BD  Den Haag</w:t>
                          </w:r>
                        </w:p>
                      </w:txbxContent>
                    </wps:txbx>
                    <wps:bodyPr vert="horz" wrap="square" lIns="0" tIns="0" rIns="0" bIns="0" anchor="t" anchorCtr="0"/>
                  </wps:wsp>
                </a:graphicData>
              </a:graphic>
            </wp:anchor>
          </w:drawing>
        </mc:Choice>
        <mc:Fallback>
          <w:pict>
            <v:shape w14:anchorId="1858FB1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1858FB2D" w14:textId="77777777" w:rsidR="009A7221" w:rsidRDefault="00EC250B">
                    <w:r>
                      <w:t>De voorzitter van de Tweede Kamer der Staten-Generaal</w:t>
                    </w:r>
                  </w:p>
                  <w:p w14:paraId="1858FB2E" w14:textId="77777777" w:rsidR="009A7221" w:rsidRDefault="00EC250B">
                    <w:r>
                      <w:t>Prinses Irenestraat 6</w:t>
                    </w:r>
                  </w:p>
                  <w:p w14:paraId="1858FB2F" w14:textId="77777777" w:rsidR="009A7221" w:rsidRDefault="00EC250B">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858FB1B" wp14:editId="1858FB1C">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A7221" w14:paraId="1858FB32" w14:textId="77777777">
                            <w:trPr>
                              <w:trHeight w:val="200"/>
                            </w:trPr>
                            <w:tc>
                              <w:tcPr>
                                <w:tcW w:w="1134" w:type="dxa"/>
                              </w:tcPr>
                              <w:p w14:paraId="1858FB30" w14:textId="77777777" w:rsidR="009A7221" w:rsidRDefault="009A7221"/>
                            </w:tc>
                            <w:tc>
                              <w:tcPr>
                                <w:tcW w:w="5244" w:type="dxa"/>
                              </w:tcPr>
                              <w:p w14:paraId="1858FB31" w14:textId="77777777" w:rsidR="009A7221" w:rsidRDefault="009A7221"/>
                            </w:tc>
                          </w:tr>
                          <w:tr w:rsidR="009A7221" w14:paraId="1858FB35" w14:textId="77777777">
                            <w:trPr>
                              <w:trHeight w:val="240"/>
                            </w:trPr>
                            <w:tc>
                              <w:tcPr>
                                <w:tcW w:w="1134" w:type="dxa"/>
                              </w:tcPr>
                              <w:p w14:paraId="1858FB33" w14:textId="77777777" w:rsidR="009A7221" w:rsidRDefault="00EC250B">
                                <w:r>
                                  <w:t>Datum</w:t>
                                </w:r>
                              </w:p>
                            </w:tc>
                            <w:tc>
                              <w:tcPr>
                                <w:tcW w:w="5244" w:type="dxa"/>
                              </w:tcPr>
                              <w:p w14:paraId="66D117E6" w14:textId="215FF53A" w:rsidR="002122B8" w:rsidRDefault="00A967EC">
                                <w:r>
                                  <w:t>25 november 2025</w:t>
                                </w:r>
                                <w:r w:rsidR="005F45A2">
                                  <w:fldChar w:fldCharType="begin"/>
                                </w:r>
                                <w:r w:rsidR="005F45A2">
                                  <w:instrText xml:space="preserve"> DOCPROPERTY  "iDatum"  \* MERGEFORMAT </w:instrText>
                                </w:r>
                                <w:r w:rsidR="005F45A2">
                                  <w:fldChar w:fldCharType="end"/>
                                </w:r>
                              </w:p>
                            </w:tc>
                          </w:tr>
                          <w:tr w:rsidR="009A7221" w14:paraId="1858FB38" w14:textId="77777777">
                            <w:trPr>
                              <w:trHeight w:val="240"/>
                            </w:trPr>
                            <w:tc>
                              <w:tcPr>
                                <w:tcW w:w="1134" w:type="dxa"/>
                              </w:tcPr>
                              <w:p w14:paraId="1858FB36" w14:textId="77777777" w:rsidR="009A7221" w:rsidRDefault="00EC250B">
                                <w:r>
                                  <w:t>Betreft</w:t>
                                </w:r>
                              </w:p>
                            </w:tc>
                            <w:tc>
                              <w:tcPr>
                                <w:tcW w:w="5244" w:type="dxa"/>
                              </w:tcPr>
                              <w:p w14:paraId="7E8ECC29" w14:textId="778FAB2A" w:rsidR="002122B8" w:rsidRDefault="005F45A2">
                                <w:r>
                                  <w:fldChar w:fldCharType="begin"/>
                                </w:r>
                                <w:r>
                                  <w:instrText xml:space="preserve"> DOCPROPERTY  "iOnderwerp"  \* MERGEFORMAT </w:instrText>
                                </w:r>
                                <w:r>
                                  <w:fldChar w:fldCharType="separate"/>
                                </w:r>
                                <w:r>
                                  <w:t xml:space="preserve">Voortgang regeling tegemoetkoming </w:t>
                                </w:r>
                                <w:proofErr w:type="spellStart"/>
                                <w:r>
                                  <w:t>stoffengerelateerde</w:t>
                                </w:r>
                                <w:proofErr w:type="spellEnd"/>
                                <w:r>
                                  <w:t xml:space="preserve"> beroepsziekten (TSB)</w:t>
                                </w:r>
                                <w:r>
                                  <w:fldChar w:fldCharType="end"/>
                                </w:r>
                              </w:p>
                            </w:tc>
                          </w:tr>
                          <w:tr w:rsidR="009A7221" w14:paraId="1858FB3B" w14:textId="77777777">
                            <w:trPr>
                              <w:trHeight w:val="200"/>
                            </w:trPr>
                            <w:tc>
                              <w:tcPr>
                                <w:tcW w:w="1134" w:type="dxa"/>
                              </w:tcPr>
                              <w:p w14:paraId="1858FB39" w14:textId="77777777" w:rsidR="009A7221" w:rsidRDefault="009A7221"/>
                            </w:tc>
                            <w:tc>
                              <w:tcPr>
                                <w:tcW w:w="5244" w:type="dxa"/>
                              </w:tcPr>
                              <w:p w14:paraId="1858FB3A" w14:textId="77777777" w:rsidR="009A7221" w:rsidRDefault="009A7221"/>
                            </w:tc>
                          </w:tr>
                        </w:tbl>
                        <w:p w14:paraId="1858FB49" w14:textId="77777777" w:rsidR="00EC250B" w:rsidRDefault="00EC250B"/>
                      </w:txbxContent>
                    </wps:txbx>
                    <wps:bodyPr vert="horz" wrap="square" lIns="0" tIns="0" rIns="0" bIns="0" anchor="t" anchorCtr="0"/>
                  </wps:wsp>
                </a:graphicData>
              </a:graphic>
            </wp:anchor>
          </w:drawing>
        </mc:Choice>
        <mc:Fallback>
          <w:pict>
            <v:shape w14:anchorId="1858FB1B"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9A7221" w14:paraId="1858FB32" w14:textId="77777777">
                      <w:trPr>
                        <w:trHeight w:val="200"/>
                      </w:trPr>
                      <w:tc>
                        <w:tcPr>
                          <w:tcW w:w="1134" w:type="dxa"/>
                        </w:tcPr>
                        <w:p w14:paraId="1858FB30" w14:textId="77777777" w:rsidR="009A7221" w:rsidRDefault="009A7221"/>
                      </w:tc>
                      <w:tc>
                        <w:tcPr>
                          <w:tcW w:w="5244" w:type="dxa"/>
                        </w:tcPr>
                        <w:p w14:paraId="1858FB31" w14:textId="77777777" w:rsidR="009A7221" w:rsidRDefault="009A7221"/>
                      </w:tc>
                    </w:tr>
                    <w:tr w:rsidR="009A7221" w14:paraId="1858FB35" w14:textId="77777777">
                      <w:trPr>
                        <w:trHeight w:val="240"/>
                      </w:trPr>
                      <w:tc>
                        <w:tcPr>
                          <w:tcW w:w="1134" w:type="dxa"/>
                        </w:tcPr>
                        <w:p w14:paraId="1858FB33" w14:textId="77777777" w:rsidR="009A7221" w:rsidRDefault="00EC250B">
                          <w:r>
                            <w:t>Datum</w:t>
                          </w:r>
                        </w:p>
                      </w:tc>
                      <w:tc>
                        <w:tcPr>
                          <w:tcW w:w="5244" w:type="dxa"/>
                        </w:tcPr>
                        <w:p w14:paraId="66D117E6" w14:textId="215FF53A" w:rsidR="002122B8" w:rsidRDefault="00A967EC">
                          <w:r>
                            <w:t>25 november 2025</w:t>
                          </w:r>
                          <w:r w:rsidR="005F45A2">
                            <w:fldChar w:fldCharType="begin"/>
                          </w:r>
                          <w:r w:rsidR="005F45A2">
                            <w:instrText xml:space="preserve"> DOCPROPERTY  "iDatum"  \* MERGEFORMAT </w:instrText>
                          </w:r>
                          <w:r w:rsidR="005F45A2">
                            <w:fldChar w:fldCharType="end"/>
                          </w:r>
                        </w:p>
                      </w:tc>
                    </w:tr>
                    <w:tr w:rsidR="009A7221" w14:paraId="1858FB38" w14:textId="77777777">
                      <w:trPr>
                        <w:trHeight w:val="240"/>
                      </w:trPr>
                      <w:tc>
                        <w:tcPr>
                          <w:tcW w:w="1134" w:type="dxa"/>
                        </w:tcPr>
                        <w:p w14:paraId="1858FB36" w14:textId="77777777" w:rsidR="009A7221" w:rsidRDefault="00EC250B">
                          <w:r>
                            <w:t>Betreft</w:t>
                          </w:r>
                        </w:p>
                      </w:tc>
                      <w:tc>
                        <w:tcPr>
                          <w:tcW w:w="5244" w:type="dxa"/>
                        </w:tcPr>
                        <w:p w14:paraId="7E8ECC29" w14:textId="778FAB2A" w:rsidR="002122B8" w:rsidRDefault="005F45A2">
                          <w:r>
                            <w:fldChar w:fldCharType="begin"/>
                          </w:r>
                          <w:r>
                            <w:instrText xml:space="preserve"> DOCPROPERTY  "iOnderwerp"  \* MERGEFORMAT </w:instrText>
                          </w:r>
                          <w:r>
                            <w:fldChar w:fldCharType="separate"/>
                          </w:r>
                          <w:r>
                            <w:t xml:space="preserve">Voortgang regeling tegemoetkoming </w:t>
                          </w:r>
                          <w:proofErr w:type="spellStart"/>
                          <w:r>
                            <w:t>stoffengerelateerde</w:t>
                          </w:r>
                          <w:proofErr w:type="spellEnd"/>
                          <w:r>
                            <w:t xml:space="preserve"> beroepsziekten (TSB)</w:t>
                          </w:r>
                          <w:r>
                            <w:fldChar w:fldCharType="end"/>
                          </w:r>
                        </w:p>
                      </w:tc>
                    </w:tr>
                    <w:tr w:rsidR="009A7221" w14:paraId="1858FB3B" w14:textId="77777777">
                      <w:trPr>
                        <w:trHeight w:val="200"/>
                      </w:trPr>
                      <w:tc>
                        <w:tcPr>
                          <w:tcW w:w="1134" w:type="dxa"/>
                        </w:tcPr>
                        <w:p w14:paraId="1858FB39" w14:textId="77777777" w:rsidR="009A7221" w:rsidRDefault="009A7221"/>
                      </w:tc>
                      <w:tc>
                        <w:tcPr>
                          <w:tcW w:w="5244" w:type="dxa"/>
                        </w:tcPr>
                        <w:p w14:paraId="1858FB3A" w14:textId="77777777" w:rsidR="009A7221" w:rsidRDefault="009A7221"/>
                      </w:tc>
                    </w:tr>
                  </w:tbl>
                  <w:p w14:paraId="1858FB49" w14:textId="77777777" w:rsidR="00EC250B" w:rsidRDefault="00EC250B"/>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58FB1D" wp14:editId="1858FB1E">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4F174A" w14:textId="77777777" w:rsidR="002122B8" w:rsidRDefault="005F45A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858FB1D"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0F4F174A" w14:textId="77777777" w:rsidR="002122B8" w:rsidRDefault="005F45A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5A3C00"/>
    <w:multiLevelType w:val="multilevel"/>
    <w:tmpl w:val="83BF3950"/>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7C1331"/>
    <w:multiLevelType w:val="multilevel"/>
    <w:tmpl w:val="DA28687B"/>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1A54C26"/>
    <w:multiLevelType w:val="multilevel"/>
    <w:tmpl w:val="3DC2CA56"/>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CAB194"/>
    <w:multiLevelType w:val="multilevel"/>
    <w:tmpl w:val="4EFBD0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A6BB27"/>
    <w:multiLevelType w:val="multilevel"/>
    <w:tmpl w:val="CE6F4C7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2014BF"/>
    <w:multiLevelType w:val="hybridMultilevel"/>
    <w:tmpl w:val="80885674"/>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1631A5C"/>
    <w:multiLevelType w:val="multilevel"/>
    <w:tmpl w:val="E81AFB89"/>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594312"/>
    <w:multiLevelType w:val="multilevel"/>
    <w:tmpl w:val="835505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72524E57"/>
    <w:multiLevelType w:val="multilevel"/>
    <w:tmpl w:val="BC6B40A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18119724">
    <w:abstractNumId w:val="1"/>
  </w:num>
  <w:num w:numId="2" w16cid:durableId="33164006">
    <w:abstractNumId w:val="2"/>
  </w:num>
  <w:num w:numId="3" w16cid:durableId="2022272810">
    <w:abstractNumId w:val="7"/>
  </w:num>
  <w:num w:numId="4" w16cid:durableId="502815934">
    <w:abstractNumId w:val="8"/>
  </w:num>
  <w:num w:numId="5" w16cid:durableId="1181552427">
    <w:abstractNumId w:val="0"/>
  </w:num>
  <w:num w:numId="6" w16cid:durableId="1073428725">
    <w:abstractNumId w:val="4"/>
  </w:num>
  <w:num w:numId="7" w16cid:durableId="1837381913">
    <w:abstractNumId w:val="6"/>
  </w:num>
  <w:num w:numId="8" w16cid:durableId="823008756">
    <w:abstractNumId w:val="3"/>
  </w:num>
  <w:num w:numId="9" w16cid:durableId="1555654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21"/>
    <w:rsid w:val="000D5953"/>
    <w:rsid w:val="001227D5"/>
    <w:rsid w:val="001B154F"/>
    <w:rsid w:val="001B7241"/>
    <w:rsid w:val="001E5649"/>
    <w:rsid w:val="001F4EDF"/>
    <w:rsid w:val="002003A4"/>
    <w:rsid w:val="002122B8"/>
    <w:rsid w:val="00214EBE"/>
    <w:rsid w:val="0022223E"/>
    <w:rsid w:val="00270C8E"/>
    <w:rsid w:val="002824D2"/>
    <w:rsid w:val="0039488C"/>
    <w:rsid w:val="003F22F6"/>
    <w:rsid w:val="00401182"/>
    <w:rsid w:val="00473D54"/>
    <w:rsid w:val="00520B50"/>
    <w:rsid w:val="0055444D"/>
    <w:rsid w:val="005C30D4"/>
    <w:rsid w:val="005F45A2"/>
    <w:rsid w:val="006246FF"/>
    <w:rsid w:val="006B54A3"/>
    <w:rsid w:val="006D4C71"/>
    <w:rsid w:val="006F6F7C"/>
    <w:rsid w:val="007567A0"/>
    <w:rsid w:val="0078653E"/>
    <w:rsid w:val="008153C6"/>
    <w:rsid w:val="00896494"/>
    <w:rsid w:val="00965FB3"/>
    <w:rsid w:val="009A7221"/>
    <w:rsid w:val="00A05FF0"/>
    <w:rsid w:val="00A967EC"/>
    <w:rsid w:val="00AC502D"/>
    <w:rsid w:val="00AD2FF7"/>
    <w:rsid w:val="00AF1CB6"/>
    <w:rsid w:val="00AF50B4"/>
    <w:rsid w:val="00B26E16"/>
    <w:rsid w:val="00B508DA"/>
    <w:rsid w:val="00B6359D"/>
    <w:rsid w:val="00BA0FDC"/>
    <w:rsid w:val="00BE117B"/>
    <w:rsid w:val="00C355F6"/>
    <w:rsid w:val="00D247F6"/>
    <w:rsid w:val="00E070CF"/>
    <w:rsid w:val="00EC250B"/>
    <w:rsid w:val="00EF5E83"/>
    <w:rsid w:val="00FE56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1858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EC250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C250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EC250B"/>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EC250B"/>
    <w:rPr>
      <w:vertAlign w:val="superscript"/>
    </w:rPr>
  </w:style>
  <w:style w:type="character" w:styleId="Verwijzingopmerking">
    <w:name w:val="annotation reference"/>
    <w:basedOn w:val="Standaardalinea-lettertype"/>
    <w:uiPriority w:val="99"/>
    <w:semiHidden/>
    <w:unhideWhenUsed/>
    <w:rsid w:val="00EC250B"/>
    <w:rPr>
      <w:sz w:val="16"/>
      <w:szCs w:val="16"/>
    </w:rPr>
  </w:style>
  <w:style w:type="paragraph" w:styleId="Tekstopmerking">
    <w:name w:val="annotation text"/>
    <w:basedOn w:val="Standaard"/>
    <w:link w:val="TekstopmerkingChar"/>
    <w:uiPriority w:val="99"/>
    <w:unhideWhenUsed/>
    <w:rsid w:val="00EC250B"/>
    <w:pPr>
      <w:spacing w:line="240" w:lineRule="auto"/>
    </w:pPr>
    <w:rPr>
      <w:sz w:val="20"/>
      <w:szCs w:val="20"/>
    </w:rPr>
  </w:style>
  <w:style w:type="character" w:customStyle="1" w:styleId="TekstopmerkingChar">
    <w:name w:val="Tekst opmerking Char"/>
    <w:basedOn w:val="Standaardalinea-lettertype"/>
    <w:link w:val="Tekstopmerking"/>
    <w:uiPriority w:val="99"/>
    <w:rsid w:val="00EC250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250B"/>
    <w:rPr>
      <w:b/>
      <w:bCs/>
    </w:rPr>
  </w:style>
  <w:style w:type="character" w:customStyle="1" w:styleId="OnderwerpvanopmerkingChar">
    <w:name w:val="Onderwerp van opmerking Char"/>
    <w:basedOn w:val="TekstopmerkingChar"/>
    <w:link w:val="Onderwerpvanopmerking"/>
    <w:uiPriority w:val="99"/>
    <w:semiHidden/>
    <w:rsid w:val="00EC250B"/>
    <w:rPr>
      <w:rFonts w:ascii="Verdana" w:hAnsi="Verdana"/>
      <w:b/>
      <w:bCs/>
      <w:color w:val="000000"/>
    </w:rPr>
  </w:style>
  <w:style w:type="paragraph" w:styleId="Revisie">
    <w:name w:val="Revision"/>
    <w:hidden/>
    <w:uiPriority w:val="99"/>
    <w:semiHidden/>
    <w:rsid w:val="00B508DA"/>
    <w:pPr>
      <w:autoSpaceDN/>
      <w:textAlignment w:val="auto"/>
    </w:pPr>
    <w:rPr>
      <w:rFonts w:ascii="Verdana" w:hAnsi="Verdana"/>
      <w:color w:val="000000"/>
      <w:sz w:val="18"/>
      <w:szCs w:val="18"/>
    </w:rPr>
  </w:style>
  <w:style w:type="table" w:styleId="Tabelraster">
    <w:name w:val="Table Grid"/>
    <w:basedOn w:val="Standaardtabel"/>
    <w:uiPriority w:val="39"/>
    <w:rsid w:val="00B50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webSetting" Target="webSettings0.xml" Id="rId24"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chart" Target="charts/chart2.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telegraaf.nl/binnenland/meer-mensen-krijgen-vergoeding-voor-beroepsziektes-zieke-gerard-84-krijgt-eindelijk-erkenning/78297110.html" TargetMode="External"/><Relationship Id="rId2" Type="http://schemas.openxmlformats.org/officeDocument/2006/relationships/hyperlink" Target="https://www.rijksoverheid.nl/documenten/kamerstukken/2024/12/19/tweede-voortgangsbrief-regeling-tsb" TargetMode="External"/><Relationship Id="rId1" Type="http://schemas.openxmlformats.org/officeDocument/2006/relationships/hyperlink" Target="https://eenvandaag.avrotros.nl/artikelen/regeling-die-mensen-met-beroepsziekten-moest-tegemoetkomen-pakt-verkeerd-uit-ik-ben-weggezet-als-leugenaar-149940" TargetMode="External"/><Relationship Id="rId4" Type="http://schemas.openxmlformats.org/officeDocument/2006/relationships/hyperlink" Target="https://www.tweedekamer.nl/kamerstukken/moties/detail?id=2024Z09464&amp;did=2024D2229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cijfers%20voor%20Kamerbrief.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cijfers%20voor%20Kamerbrief.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Aanvragen 2024/2025</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Blad1!$B$1</c:f>
              <c:strCache>
                <c:ptCount val="1"/>
                <c:pt idx="0">
                  <c:v>2024</c:v>
                </c:pt>
              </c:strCache>
            </c:strRef>
          </c:tx>
          <c:spPr>
            <a:ln w="28575" cap="rnd">
              <a:solidFill>
                <a:schemeClr val="accent1"/>
              </a:solidFill>
              <a:round/>
            </a:ln>
            <a:effectLst/>
          </c:spPr>
          <c:marker>
            <c:symbol val="none"/>
          </c:marker>
          <c:cat>
            <c:strRef>
              <c:f>Blad1!$A$2:$A$13</c:f>
              <c:strCache>
                <c:ptCount val="12"/>
                <c:pt idx="0">
                  <c:v>januari</c:v>
                </c:pt>
                <c:pt idx="1">
                  <c:v>februari</c:v>
                </c:pt>
                <c:pt idx="2">
                  <c:v>maart</c:v>
                </c:pt>
                <c:pt idx="3">
                  <c:v>april</c:v>
                </c:pt>
                <c:pt idx="4">
                  <c:v>mei</c:v>
                </c:pt>
                <c:pt idx="5">
                  <c:v>juni</c:v>
                </c:pt>
                <c:pt idx="6">
                  <c:v>juli</c:v>
                </c:pt>
                <c:pt idx="7">
                  <c:v>augustus</c:v>
                </c:pt>
                <c:pt idx="8">
                  <c:v>september</c:v>
                </c:pt>
                <c:pt idx="9">
                  <c:v>oktober</c:v>
                </c:pt>
                <c:pt idx="10">
                  <c:v>november</c:v>
                </c:pt>
                <c:pt idx="11">
                  <c:v>december</c:v>
                </c:pt>
              </c:strCache>
            </c:strRef>
          </c:cat>
          <c:val>
            <c:numRef>
              <c:f>Blad1!$B$2:$B$13</c:f>
              <c:numCache>
                <c:formatCode>General</c:formatCode>
                <c:ptCount val="12"/>
                <c:pt idx="0">
                  <c:v>11</c:v>
                </c:pt>
                <c:pt idx="1">
                  <c:v>21</c:v>
                </c:pt>
                <c:pt idx="2">
                  <c:v>10</c:v>
                </c:pt>
                <c:pt idx="3">
                  <c:v>11</c:v>
                </c:pt>
                <c:pt idx="4">
                  <c:v>7</c:v>
                </c:pt>
                <c:pt idx="5">
                  <c:v>18</c:v>
                </c:pt>
                <c:pt idx="6">
                  <c:v>14</c:v>
                </c:pt>
                <c:pt idx="7">
                  <c:v>15</c:v>
                </c:pt>
                <c:pt idx="8">
                  <c:v>16</c:v>
                </c:pt>
                <c:pt idx="9">
                  <c:v>17</c:v>
                </c:pt>
                <c:pt idx="10">
                  <c:v>10</c:v>
                </c:pt>
                <c:pt idx="11">
                  <c:v>13</c:v>
                </c:pt>
              </c:numCache>
            </c:numRef>
          </c:val>
          <c:smooth val="0"/>
          <c:extLst>
            <c:ext xmlns:c16="http://schemas.microsoft.com/office/drawing/2014/chart" uri="{C3380CC4-5D6E-409C-BE32-E72D297353CC}">
              <c16:uniqueId val="{00000000-818D-4DE3-A9CB-75FD7FB3A14F}"/>
            </c:ext>
          </c:extLst>
        </c:ser>
        <c:ser>
          <c:idx val="1"/>
          <c:order val="1"/>
          <c:tx>
            <c:strRef>
              <c:f>Blad1!$C$1</c:f>
              <c:strCache>
                <c:ptCount val="1"/>
                <c:pt idx="0">
                  <c:v>2025</c:v>
                </c:pt>
              </c:strCache>
            </c:strRef>
          </c:tx>
          <c:spPr>
            <a:ln w="28575" cap="rnd">
              <a:solidFill>
                <a:schemeClr val="accent2"/>
              </a:solidFill>
              <a:round/>
            </a:ln>
            <a:effectLst/>
          </c:spPr>
          <c:marker>
            <c:symbol val="none"/>
          </c:marker>
          <c:cat>
            <c:strRef>
              <c:f>Blad1!$A$2:$A$13</c:f>
              <c:strCache>
                <c:ptCount val="12"/>
                <c:pt idx="0">
                  <c:v>januari</c:v>
                </c:pt>
                <c:pt idx="1">
                  <c:v>februari</c:v>
                </c:pt>
                <c:pt idx="2">
                  <c:v>maart</c:v>
                </c:pt>
                <c:pt idx="3">
                  <c:v>april</c:v>
                </c:pt>
                <c:pt idx="4">
                  <c:v>mei</c:v>
                </c:pt>
                <c:pt idx="5">
                  <c:v>juni</c:v>
                </c:pt>
                <c:pt idx="6">
                  <c:v>juli</c:v>
                </c:pt>
                <c:pt idx="7">
                  <c:v>augustus</c:v>
                </c:pt>
                <c:pt idx="8">
                  <c:v>september</c:v>
                </c:pt>
                <c:pt idx="9">
                  <c:v>oktober</c:v>
                </c:pt>
                <c:pt idx="10">
                  <c:v>november</c:v>
                </c:pt>
                <c:pt idx="11">
                  <c:v>december</c:v>
                </c:pt>
              </c:strCache>
            </c:strRef>
          </c:cat>
          <c:val>
            <c:numRef>
              <c:f>Blad1!$C$2:$C$13</c:f>
              <c:numCache>
                <c:formatCode>General</c:formatCode>
                <c:ptCount val="12"/>
                <c:pt idx="0">
                  <c:v>11</c:v>
                </c:pt>
                <c:pt idx="1">
                  <c:v>11</c:v>
                </c:pt>
                <c:pt idx="2">
                  <c:v>17</c:v>
                </c:pt>
                <c:pt idx="3">
                  <c:v>23</c:v>
                </c:pt>
                <c:pt idx="4">
                  <c:v>20</c:v>
                </c:pt>
                <c:pt idx="5">
                  <c:v>28</c:v>
                </c:pt>
                <c:pt idx="6">
                  <c:v>105</c:v>
                </c:pt>
                <c:pt idx="7">
                  <c:v>114</c:v>
                </c:pt>
                <c:pt idx="8">
                  <c:v>44</c:v>
                </c:pt>
                <c:pt idx="9">
                  <c:v>49</c:v>
                </c:pt>
              </c:numCache>
            </c:numRef>
          </c:val>
          <c:smooth val="0"/>
          <c:extLst>
            <c:ext xmlns:c16="http://schemas.microsoft.com/office/drawing/2014/chart" uri="{C3380CC4-5D6E-409C-BE32-E72D297353CC}">
              <c16:uniqueId val="{00000001-818D-4DE3-A9CB-75FD7FB3A14F}"/>
            </c:ext>
          </c:extLst>
        </c:ser>
        <c:dLbls>
          <c:showLegendKey val="0"/>
          <c:showVal val="0"/>
          <c:showCatName val="0"/>
          <c:showSerName val="0"/>
          <c:showPercent val="0"/>
          <c:showBubbleSize val="0"/>
        </c:dLbls>
        <c:smooth val="0"/>
        <c:axId val="293386799"/>
        <c:axId val="293390159"/>
      </c:lineChart>
      <c:catAx>
        <c:axId val="2933867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93390159"/>
        <c:crosses val="autoZero"/>
        <c:auto val="1"/>
        <c:lblAlgn val="ctr"/>
        <c:lblOffset val="100"/>
        <c:noMultiLvlLbl val="0"/>
      </c:catAx>
      <c:valAx>
        <c:axId val="2933901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2933867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Toekenningspercentage</a:t>
            </a:r>
            <a:r>
              <a:rPr lang="nl-NL" baseline="0"/>
              <a:t> 2024-2025</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spPr>
            <a:ln w="28575" cap="rnd">
              <a:solidFill>
                <a:schemeClr val="accent6">
                  <a:lumMod val="40000"/>
                  <a:lumOff val="60000"/>
                </a:schemeClr>
              </a:solidFill>
              <a:round/>
            </a:ln>
            <a:effectLst/>
          </c:spPr>
          <c:marker>
            <c:symbol val="none"/>
          </c:marker>
          <c:trendline>
            <c:spPr>
              <a:ln w="19050" cap="rnd">
                <a:solidFill>
                  <a:srgbClr val="FF0000"/>
                </a:solidFill>
                <a:prstDash val="sysDot"/>
              </a:ln>
              <a:effectLst/>
            </c:spPr>
            <c:trendlineType val="linear"/>
            <c:dispRSqr val="0"/>
            <c:dispEq val="0"/>
          </c:trendline>
          <c:cat>
            <c:numRef>
              <c:f>Blad2!$A$14:$A$35</c:f>
              <c:numCache>
                <c:formatCode>mmm\-yy</c:formatCode>
                <c:ptCount val="22"/>
                <c:pt idx="0">
                  <c:v>45292</c:v>
                </c:pt>
                <c:pt idx="1">
                  <c:v>45323</c:v>
                </c:pt>
                <c:pt idx="2">
                  <c:v>45352</c:v>
                </c:pt>
                <c:pt idx="3">
                  <c:v>45383</c:v>
                </c:pt>
                <c:pt idx="4">
                  <c:v>45413</c:v>
                </c:pt>
                <c:pt idx="5">
                  <c:v>45444</c:v>
                </c:pt>
                <c:pt idx="6">
                  <c:v>45474</c:v>
                </c:pt>
                <c:pt idx="7">
                  <c:v>45505</c:v>
                </c:pt>
                <c:pt idx="8">
                  <c:v>45536</c:v>
                </c:pt>
                <c:pt idx="9">
                  <c:v>45566</c:v>
                </c:pt>
                <c:pt idx="10">
                  <c:v>45597</c:v>
                </c:pt>
                <c:pt idx="11">
                  <c:v>45627</c:v>
                </c:pt>
                <c:pt idx="12">
                  <c:v>45658</c:v>
                </c:pt>
                <c:pt idx="13">
                  <c:v>45689</c:v>
                </c:pt>
                <c:pt idx="14">
                  <c:v>45717</c:v>
                </c:pt>
                <c:pt idx="15">
                  <c:v>45748</c:v>
                </c:pt>
                <c:pt idx="16">
                  <c:v>45778</c:v>
                </c:pt>
                <c:pt idx="17">
                  <c:v>45809</c:v>
                </c:pt>
                <c:pt idx="18">
                  <c:v>45839</c:v>
                </c:pt>
                <c:pt idx="19">
                  <c:v>45870</c:v>
                </c:pt>
                <c:pt idx="20">
                  <c:v>45901</c:v>
                </c:pt>
                <c:pt idx="21">
                  <c:v>45931</c:v>
                </c:pt>
              </c:numCache>
            </c:numRef>
          </c:cat>
          <c:val>
            <c:numRef>
              <c:f>Blad2!$D$14:$D$35</c:f>
              <c:numCache>
                <c:formatCode>0%</c:formatCode>
                <c:ptCount val="22"/>
                <c:pt idx="0">
                  <c:v>0.30434782608695654</c:v>
                </c:pt>
                <c:pt idx="1">
                  <c:v>0</c:v>
                </c:pt>
                <c:pt idx="2">
                  <c:v>0.25</c:v>
                </c:pt>
                <c:pt idx="3">
                  <c:v>0.16666666666666666</c:v>
                </c:pt>
                <c:pt idx="4">
                  <c:v>0.7</c:v>
                </c:pt>
                <c:pt idx="5">
                  <c:v>0.41666666666666669</c:v>
                </c:pt>
                <c:pt idx="6">
                  <c:v>0.41176470588235292</c:v>
                </c:pt>
                <c:pt idx="7">
                  <c:v>0.26923076923076922</c:v>
                </c:pt>
                <c:pt idx="8">
                  <c:v>0.23529411764705882</c:v>
                </c:pt>
                <c:pt idx="9">
                  <c:v>0.4</c:v>
                </c:pt>
                <c:pt idx="10">
                  <c:v>0.38095238095238093</c:v>
                </c:pt>
                <c:pt idx="11">
                  <c:v>0.3888888888888889</c:v>
                </c:pt>
                <c:pt idx="12">
                  <c:v>0.5</c:v>
                </c:pt>
                <c:pt idx="13">
                  <c:v>0.33333333333333331</c:v>
                </c:pt>
                <c:pt idx="14">
                  <c:v>0.30769230769230771</c:v>
                </c:pt>
                <c:pt idx="15">
                  <c:v>0.41666666666666669</c:v>
                </c:pt>
                <c:pt idx="16">
                  <c:v>0.4</c:v>
                </c:pt>
                <c:pt idx="17">
                  <c:v>0.6875</c:v>
                </c:pt>
                <c:pt idx="18">
                  <c:v>0.375</c:v>
                </c:pt>
                <c:pt idx="19">
                  <c:v>0.41935483870967744</c:v>
                </c:pt>
                <c:pt idx="20">
                  <c:v>0.59459459459459463</c:v>
                </c:pt>
                <c:pt idx="21">
                  <c:v>0.20370370370370369</c:v>
                </c:pt>
              </c:numCache>
            </c:numRef>
          </c:val>
          <c:smooth val="0"/>
          <c:extLst>
            <c:ext xmlns:c16="http://schemas.microsoft.com/office/drawing/2014/chart" uri="{C3380CC4-5D6E-409C-BE32-E72D297353CC}">
              <c16:uniqueId val="{00000001-7102-419D-881A-A6223B38702C}"/>
            </c:ext>
          </c:extLst>
        </c:ser>
        <c:dLbls>
          <c:showLegendKey val="0"/>
          <c:showVal val="0"/>
          <c:showCatName val="0"/>
          <c:showSerName val="0"/>
          <c:showPercent val="0"/>
          <c:showBubbleSize val="0"/>
        </c:dLbls>
        <c:smooth val="0"/>
        <c:axId val="314705296"/>
        <c:axId val="314713456"/>
      </c:lineChart>
      <c:dateAx>
        <c:axId val="3147052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14713456"/>
        <c:crosses val="autoZero"/>
        <c:auto val="1"/>
        <c:lblOffset val="100"/>
        <c:baseTimeUnit val="months"/>
      </c:dateAx>
      <c:valAx>
        <c:axId val="3147134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314705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1503</ap:Words>
  <ap:Characters>8270</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Brief Kamer - Voortgang regeling tegemoetkoming stoffengerelateerde beroepsziekten (TSB)</vt:lpstr>
    </vt:vector>
  </ap:TitlesOfParts>
  <ap:LinksUpToDate>false</ap:LinksUpToDate>
  <ap:CharactersWithSpaces>9754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2025-11-25T13:44:00.0000000Z</dcterms:created>
  <dcterms:modified xsi:type="dcterms:W3CDTF">2025-11-25T13:44:00.0000000Z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 regeling tegemoetkoming stoffengerelateerde beroepsziekten (TSB)</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R. Riedstra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 regeling tegemoetkoming stoffengerelateerde beroepsziekten (TSB)</vt:lpwstr>
  </property>
  <property fmtid="{D5CDD505-2E9C-101B-9397-08002B2CF9AE}" pid="36" name="iOnsKenmerk">
    <vt:lpwstr>2025-0000262789</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