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AEF560" w14:textId="77777777">
        <w:tc>
          <w:tcPr>
            <w:tcW w:w="6379" w:type="dxa"/>
            <w:gridSpan w:val="2"/>
            <w:tcBorders>
              <w:top w:val="nil"/>
              <w:left w:val="nil"/>
              <w:bottom w:val="nil"/>
              <w:right w:val="nil"/>
            </w:tcBorders>
            <w:vAlign w:val="center"/>
          </w:tcPr>
          <w:p w:rsidR="004330ED" w:rsidP="00EA1CE4" w:rsidRDefault="004330ED" w14:paraId="5A823F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BD067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F4D2FA" w14:textId="77777777">
        <w:trPr>
          <w:cantSplit/>
        </w:trPr>
        <w:tc>
          <w:tcPr>
            <w:tcW w:w="10348" w:type="dxa"/>
            <w:gridSpan w:val="3"/>
            <w:tcBorders>
              <w:top w:val="single" w:color="auto" w:sz="4" w:space="0"/>
              <w:left w:val="nil"/>
              <w:bottom w:val="nil"/>
              <w:right w:val="nil"/>
            </w:tcBorders>
          </w:tcPr>
          <w:p w:rsidR="004330ED" w:rsidP="004A1E29" w:rsidRDefault="004330ED" w14:paraId="6208496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4E347E2" w14:textId="77777777">
        <w:trPr>
          <w:cantSplit/>
        </w:trPr>
        <w:tc>
          <w:tcPr>
            <w:tcW w:w="10348" w:type="dxa"/>
            <w:gridSpan w:val="3"/>
            <w:tcBorders>
              <w:top w:val="nil"/>
              <w:left w:val="nil"/>
              <w:bottom w:val="nil"/>
              <w:right w:val="nil"/>
            </w:tcBorders>
          </w:tcPr>
          <w:p w:rsidR="004330ED" w:rsidP="00BF623B" w:rsidRDefault="004330ED" w14:paraId="354EA380" w14:textId="77777777">
            <w:pPr>
              <w:pStyle w:val="Amendement"/>
              <w:tabs>
                <w:tab w:val="clear" w:pos="3310"/>
                <w:tab w:val="clear" w:pos="3600"/>
              </w:tabs>
              <w:rPr>
                <w:rFonts w:ascii="Times New Roman" w:hAnsi="Times New Roman"/>
                <w:b w:val="0"/>
              </w:rPr>
            </w:pPr>
          </w:p>
        </w:tc>
      </w:tr>
      <w:tr w:rsidR="004330ED" w:rsidTr="00EA1CE4" w14:paraId="2248AAB8" w14:textId="77777777">
        <w:trPr>
          <w:cantSplit/>
        </w:trPr>
        <w:tc>
          <w:tcPr>
            <w:tcW w:w="10348" w:type="dxa"/>
            <w:gridSpan w:val="3"/>
            <w:tcBorders>
              <w:top w:val="nil"/>
              <w:left w:val="nil"/>
              <w:bottom w:val="single" w:color="auto" w:sz="4" w:space="0"/>
              <w:right w:val="nil"/>
            </w:tcBorders>
          </w:tcPr>
          <w:p w:rsidR="004330ED" w:rsidP="00BF623B" w:rsidRDefault="004330ED" w14:paraId="3E496F89" w14:textId="77777777">
            <w:pPr>
              <w:pStyle w:val="Amendement"/>
              <w:tabs>
                <w:tab w:val="clear" w:pos="3310"/>
                <w:tab w:val="clear" w:pos="3600"/>
              </w:tabs>
              <w:rPr>
                <w:rFonts w:ascii="Times New Roman" w:hAnsi="Times New Roman"/>
              </w:rPr>
            </w:pPr>
          </w:p>
        </w:tc>
      </w:tr>
      <w:tr w:rsidR="004330ED" w:rsidTr="00EA1CE4" w14:paraId="47ED47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8CA276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56EDCA" w14:textId="77777777">
            <w:pPr>
              <w:suppressAutoHyphens/>
              <w:ind w:left="-70"/>
              <w:rPr>
                <w:b/>
              </w:rPr>
            </w:pPr>
          </w:p>
        </w:tc>
      </w:tr>
      <w:tr w:rsidR="003C21AC" w:rsidTr="00EA1CE4" w14:paraId="460457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83912" w14:paraId="74EB7959" w14:textId="78E1A58F">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483912" w:rsidR="003C21AC" w:rsidP="00483912" w:rsidRDefault="00483912" w14:paraId="089B39C8" w14:textId="0BDEEA9B">
            <w:pPr>
              <w:rPr>
                <w:b/>
                <w:bCs/>
                <w:szCs w:val="24"/>
              </w:rPr>
            </w:pPr>
            <w:r w:rsidRPr="00483912">
              <w:rPr>
                <w:b/>
                <w:bCs/>
                <w:szCs w:val="24"/>
              </w:rPr>
              <w:t>Wijziging van enkele belastingwetten en enige andere wetten (Belastingplan 2026)</w:t>
            </w:r>
          </w:p>
        </w:tc>
      </w:tr>
      <w:tr w:rsidR="003C21AC" w:rsidTr="00EA1CE4" w14:paraId="13D256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93B81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10A5100" w14:textId="77777777">
            <w:pPr>
              <w:pStyle w:val="Amendement"/>
              <w:tabs>
                <w:tab w:val="clear" w:pos="3310"/>
                <w:tab w:val="clear" w:pos="3600"/>
              </w:tabs>
              <w:ind w:left="-70"/>
              <w:rPr>
                <w:rFonts w:ascii="Times New Roman" w:hAnsi="Times New Roman"/>
              </w:rPr>
            </w:pPr>
          </w:p>
        </w:tc>
      </w:tr>
      <w:tr w:rsidR="003C21AC" w:rsidTr="00EA1CE4" w14:paraId="292310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74D3CC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92059D5" w14:textId="77777777">
            <w:pPr>
              <w:pStyle w:val="Amendement"/>
              <w:tabs>
                <w:tab w:val="clear" w:pos="3310"/>
                <w:tab w:val="clear" w:pos="3600"/>
              </w:tabs>
              <w:ind w:left="-70"/>
              <w:rPr>
                <w:rFonts w:ascii="Times New Roman" w:hAnsi="Times New Roman"/>
              </w:rPr>
            </w:pPr>
          </w:p>
        </w:tc>
      </w:tr>
      <w:tr w:rsidR="003C21AC" w:rsidTr="00EA1CE4" w14:paraId="128E8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307958" w14:textId="23C77A49">
            <w:pPr>
              <w:pStyle w:val="Amendement"/>
              <w:tabs>
                <w:tab w:val="clear" w:pos="3310"/>
                <w:tab w:val="clear" w:pos="3600"/>
              </w:tabs>
              <w:rPr>
                <w:rFonts w:ascii="Times New Roman" w:hAnsi="Times New Roman"/>
              </w:rPr>
            </w:pPr>
            <w:r w:rsidRPr="00C035D4">
              <w:rPr>
                <w:rFonts w:ascii="Times New Roman" w:hAnsi="Times New Roman"/>
              </w:rPr>
              <w:t xml:space="preserve">Nr. </w:t>
            </w:r>
            <w:r w:rsidR="00483912">
              <w:rPr>
                <w:rFonts w:ascii="Times New Roman" w:hAnsi="Times New Roman"/>
                <w:caps/>
              </w:rPr>
              <w:t>66</w:t>
            </w:r>
          </w:p>
        </w:tc>
        <w:tc>
          <w:tcPr>
            <w:tcW w:w="7371" w:type="dxa"/>
            <w:gridSpan w:val="2"/>
          </w:tcPr>
          <w:p w:rsidRPr="00C035D4" w:rsidR="003C21AC" w:rsidP="006E0971" w:rsidRDefault="003C21AC" w14:paraId="7BAC0D7E" w14:textId="0EF3152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83912">
              <w:rPr>
                <w:rFonts w:ascii="Times New Roman" w:hAnsi="Times New Roman"/>
                <w:caps/>
              </w:rPr>
              <w:t>dassen</w:t>
            </w:r>
          </w:p>
        </w:tc>
      </w:tr>
      <w:tr w:rsidR="003C21AC" w:rsidTr="00EA1CE4" w14:paraId="645656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05883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AB1520" w14:textId="4E6204D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83912">
              <w:rPr>
                <w:rFonts w:ascii="Times New Roman" w:hAnsi="Times New Roman"/>
                <w:b w:val="0"/>
              </w:rPr>
              <w:t>25 november 2025</w:t>
            </w:r>
          </w:p>
        </w:tc>
      </w:tr>
      <w:tr w:rsidR="00B01BA6" w:rsidTr="00EA1CE4" w14:paraId="5ECA4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4CC71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7ECEA5" w14:textId="77777777">
            <w:pPr>
              <w:pStyle w:val="Amendement"/>
              <w:tabs>
                <w:tab w:val="clear" w:pos="3310"/>
                <w:tab w:val="clear" w:pos="3600"/>
              </w:tabs>
              <w:ind w:left="-70"/>
              <w:rPr>
                <w:rFonts w:ascii="Times New Roman" w:hAnsi="Times New Roman"/>
                <w:b w:val="0"/>
              </w:rPr>
            </w:pPr>
          </w:p>
        </w:tc>
      </w:tr>
      <w:tr w:rsidRPr="00EA69AC" w:rsidR="00B01BA6" w:rsidTr="00EA1CE4" w14:paraId="58931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B1443A" w14:textId="77777777">
            <w:pPr>
              <w:ind w:firstLine="284"/>
            </w:pPr>
            <w:r w:rsidRPr="00EA69AC">
              <w:t>De ondergetekende stelt het volgende amendement voor:</w:t>
            </w:r>
          </w:p>
        </w:tc>
      </w:tr>
    </w:tbl>
    <w:p w:rsidRPr="00EA69AC" w:rsidR="004330ED" w:rsidP="00D774B3" w:rsidRDefault="004330ED" w14:paraId="1DB16994" w14:textId="77777777"/>
    <w:p w:rsidRPr="00483912" w:rsidR="00483912" w:rsidP="00483912" w:rsidRDefault="00483912" w14:paraId="42E9780A" w14:textId="77777777">
      <w:pPr>
        <w:ind w:firstLine="284"/>
      </w:pPr>
      <w:r w:rsidRPr="00483912">
        <w:t>Na artikel X wordt een artikel ingevoegd, luidende:</w:t>
      </w:r>
    </w:p>
    <w:p w:rsidRPr="00483912" w:rsidR="00483912" w:rsidP="00483912" w:rsidRDefault="00483912" w14:paraId="11AEF12D" w14:textId="77777777">
      <w:pPr>
        <w:rPr>
          <w:b/>
          <w:bCs/>
        </w:rPr>
      </w:pPr>
    </w:p>
    <w:p w:rsidRPr="00483912" w:rsidR="00483912" w:rsidP="00483912" w:rsidRDefault="00483912" w14:paraId="7F670125" w14:textId="1E099D89">
      <w:pPr>
        <w:rPr>
          <w:b/>
          <w:bCs/>
        </w:rPr>
      </w:pPr>
      <w:r w:rsidRPr="00483912">
        <w:rPr>
          <w:b/>
          <w:bCs/>
        </w:rPr>
        <w:t>ARTIKEL XA</w:t>
      </w:r>
    </w:p>
    <w:p w:rsidRPr="00483912" w:rsidR="00483912" w:rsidP="00483912" w:rsidRDefault="00483912" w14:paraId="2DA3D251" w14:textId="77777777"/>
    <w:p w:rsidRPr="00483912" w:rsidR="00483912" w:rsidP="00483912" w:rsidRDefault="00483912" w14:paraId="00C83A3B" w14:textId="77777777">
      <w:pPr>
        <w:ind w:firstLine="284"/>
      </w:pPr>
      <w:r w:rsidRPr="00483912">
        <w:t>In de Successiewet 1956 wordt met ingang van 1 januari 2027 artikel 33, onderdeel 5</w:t>
      </w:r>
      <w:r w:rsidRPr="00483912">
        <w:rPr>
          <w:vertAlign w:val="superscript"/>
        </w:rPr>
        <w:t>o</w:t>
      </w:r>
      <w:r w:rsidRPr="00483912">
        <w:t>, als volgt gewijzigd:</w:t>
      </w:r>
    </w:p>
    <w:p w:rsidR="00483912" w:rsidP="00483912" w:rsidRDefault="00483912" w14:paraId="3B39BEB1" w14:textId="77777777"/>
    <w:p w:rsidRPr="00483912" w:rsidR="00483912" w:rsidP="00483912" w:rsidRDefault="00483912" w14:paraId="1C6EA3E1" w14:textId="71ED649D">
      <w:pPr>
        <w:ind w:firstLine="284"/>
      </w:pPr>
      <w:r w:rsidRPr="00483912">
        <w:t>1. Aan het slot van de aanhef vervalt de dubbele punt.</w:t>
      </w:r>
    </w:p>
    <w:p w:rsidR="00483912" w:rsidP="00483912" w:rsidRDefault="00483912" w14:paraId="31DAE02B" w14:textId="77777777"/>
    <w:p w:rsidRPr="00483912" w:rsidR="00483912" w:rsidP="00483912" w:rsidRDefault="00483912" w14:paraId="5B91BC4A" w14:textId="31555642">
      <w:pPr>
        <w:ind w:firstLine="284"/>
      </w:pPr>
      <w:r w:rsidRPr="00483912">
        <w:t>2. Subonderdeel a vervalt.</w:t>
      </w:r>
    </w:p>
    <w:p w:rsidR="00483912" w:rsidP="00483912" w:rsidRDefault="00483912" w14:paraId="291DEF52" w14:textId="77777777"/>
    <w:p w:rsidR="00EA1CE4" w:rsidP="00483912" w:rsidRDefault="00483912" w14:paraId="17244D44" w14:textId="34D6A252">
      <w:pPr>
        <w:ind w:firstLine="284"/>
      </w:pPr>
      <w:r w:rsidRPr="00483912">
        <w:t>3. Voor subonderdeel b vervalt de aanduiding “b.”, onder verplaatsing van de tekst en de puntkomma aan het slot daarvan naar het slot van de aanhef.</w:t>
      </w:r>
      <w:r w:rsidRPr="00483912">
        <w:br/>
      </w:r>
    </w:p>
    <w:p w:rsidRPr="00EA69AC" w:rsidR="003C21AC" w:rsidP="00EA1CE4" w:rsidRDefault="003C21AC" w14:paraId="66B4E7E4" w14:textId="77777777">
      <w:pPr>
        <w:rPr>
          <w:b/>
        </w:rPr>
      </w:pPr>
      <w:r w:rsidRPr="00EA69AC">
        <w:rPr>
          <w:b/>
        </w:rPr>
        <w:t>Toelichting</w:t>
      </w:r>
    </w:p>
    <w:p w:rsidRPr="00EA69AC" w:rsidR="003C21AC" w:rsidP="00BF623B" w:rsidRDefault="003C21AC" w14:paraId="45310CE4" w14:textId="77777777"/>
    <w:p w:rsidR="00483912" w:rsidP="00483912" w:rsidRDefault="00483912" w14:paraId="5A824C9D" w14:textId="77777777">
      <w:r>
        <w:t xml:space="preserve">Voor schenkingen van ouders aan kinderen tussen de 18 en 40 jaar geldt een eenmalig verhoogde </w:t>
      </w:r>
      <w:proofErr w:type="spellStart"/>
      <w:r>
        <w:t>vrĳstelling</w:t>
      </w:r>
      <w:proofErr w:type="spellEnd"/>
      <w:r>
        <w:t xml:space="preserve"> van schenkbelasting van € 32.195 (bedrag 2025) waaraan geen bestedingsdoel is verbonden. Met het amendement wordt voorgesteld deze eenmalige vrijstelling voor kinderen voor de schenkbelasting met ingang van 1 januari 2027 af te schaffen. De structurele budgettaire opbrengst bedraagt € 33 miljoen. De budgettaire opbrengst in 2026 en de ingroei van de budgettaire opbrengst in latere jaren is het gevolg van schenkingen die in anticipatie op de maatregel naar voren worden gehaald.</w:t>
      </w:r>
    </w:p>
    <w:p w:rsidR="00483912" w:rsidP="00483912" w:rsidRDefault="00483912" w14:paraId="53C21B38" w14:textId="77777777"/>
    <w:tbl>
      <w:tblPr>
        <w:tblStyle w:val="Tabelraster"/>
        <w:tblW w:w="0" w:type="auto"/>
        <w:jc w:val="center"/>
        <w:tblLook w:val="04A0" w:firstRow="1" w:lastRow="0" w:firstColumn="1" w:lastColumn="0" w:noHBand="0" w:noVBand="1"/>
      </w:tblPr>
      <w:tblGrid>
        <w:gridCol w:w="2830"/>
        <w:gridCol w:w="1134"/>
        <w:gridCol w:w="1134"/>
        <w:gridCol w:w="1134"/>
        <w:gridCol w:w="1134"/>
        <w:gridCol w:w="993"/>
        <w:gridCol w:w="992"/>
        <w:gridCol w:w="986"/>
      </w:tblGrid>
      <w:tr w:rsidRPr="00483912" w:rsidR="00483912" w:rsidTr="001B3654" w14:paraId="7726ADE1" w14:textId="77777777">
        <w:trPr>
          <w:jc w:val="center"/>
        </w:trPr>
        <w:tc>
          <w:tcPr>
            <w:tcW w:w="2830" w:type="dxa"/>
            <w:tcBorders>
              <w:top w:val="single" w:color="auto" w:sz="4" w:space="0"/>
              <w:left w:val="single" w:color="auto" w:sz="4" w:space="0"/>
              <w:bottom w:val="single" w:color="auto" w:sz="4" w:space="0"/>
              <w:right w:val="single" w:color="auto" w:sz="4" w:space="0"/>
            </w:tcBorders>
          </w:tcPr>
          <w:p w:rsidRPr="00483912" w:rsidR="00483912" w:rsidP="00483912" w:rsidRDefault="00483912" w14:paraId="4F1ED6EB" w14:textId="77777777">
            <w:pPr>
              <w:rPr>
                <w:b/>
                <w:bCs/>
              </w:rPr>
            </w:pPr>
          </w:p>
        </w:tc>
        <w:tc>
          <w:tcPr>
            <w:tcW w:w="1134" w:type="dxa"/>
            <w:tcBorders>
              <w:top w:val="single" w:color="auto" w:sz="4" w:space="0"/>
              <w:left w:val="single" w:color="auto" w:sz="4" w:space="0"/>
              <w:bottom w:val="single" w:color="auto" w:sz="4" w:space="0"/>
              <w:right w:val="single" w:color="auto" w:sz="4" w:space="0"/>
            </w:tcBorders>
            <w:hideMark/>
          </w:tcPr>
          <w:p w:rsidRPr="00483912" w:rsidR="00483912" w:rsidP="00483912" w:rsidRDefault="00483912" w14:paraId="6D27D1E8" w14:textId="77777777">
            <w:pPr>
              <w:rPr>
                <w:b/>
                <w:bCs/>
              </w:rPr>
            </w:pPr>
            <w:r w:rsidRPr="00483912">
              <w:rPr>
                <w:b/>
                <w:bCs/>
              </w:rPr>
              <w:t>2026</w:t>
            </w:r>
          </w:p>
        </w:tc>
        <w:tc>
          <w:tcPr>
            <w:tcW w:w="1134" w:type="dxa"/>
            <w:tcBorders>
              <w:top w:val="single" w:color="auto" w:sz="4" w:space="0"/>
              <w:left w:val="single" w:color="auto" w:sz="4" w:space="0"/>
              <w:bottom w:val="single" w:color="auto" w:sz="4" w:space="0"/>
              <w:right w:val="single" w:color="auto" w:sz="4" w:space="0"/>
            </w:tcBorders>
            <w:hideMark/>
          </w:tcPr>
          <w:p w:rsidRPr="00483912" w:rsidR="00483912" w:rsidP="00483912" w:rsidRDefault="00483912" w14:paraId="2BAC97A3" w14:textId="77777777">
            <w:pPr>
              <w:rPr>
                <w:b/>
                <w:bCs/>
              </w:rPr>
            </w:pPr>
            <w:r w:rsidRPr="00483912">
              <w:rPr>
                <w:b/>
                <w:bCs/>
              </w:rPr>
              <w:t>2027</w:t>
            </w:r>
          </w:p>
        </w:tc>
        <w:tc>
          <w:tcPr>
            <w:tcW w:w="1134" w:type="dxa"/>
            <w:tcBorders>
              <w:top w:val="single" w:color="auto" w:sz="4" w:space="0"/>
              <w:left w:val="single" w:color="auto" w:sz="4" w:space="0"/>
              <w:bottom w:val="single" w:color="auto" w:sz="4" w:space="0"/>
              <w:right w:val="single" w:color="auto" w:sz="4" w:space="0"/>
            </w:tcBorders>
            <w:hideMark/>
          </w:tcPr>
          <w:p w:rsidRPr="00483912" w:rsidR="00483912" w:rsidP="00483912" w:rsidRDefault="00483912" w14:paraId="1742007D" w14:textId="77777777">
            <w:pPr>
              <w:rPr>
                <w:b/>
                <w:bCs/>
              </w:rPr>
            </w:pPr>
            <w:r w:rsidRPr="00483912">
              <w:rPr>
                <w:b/>
                <w:bCs/>
              </w:rPr>
              <w:t>2028</w:t>
            </w:r>
          </w:p>
        </w:tc>
        <w:tc>
          <w:tcPr>
            <w:tcW w:w="1134" w:type="dxa"/>
            <w:tcBorders>
              <w:top w:val="single" w:color="auto" w:sz="4" w:space="0"/>
              <w:left w:val="single" w:color="auto" w:sz="4" w:space="0"/>
              <w:bottom w:val="single" w:color="auto" w:sz="4" w:space="0"/>
              <w:right w:val="single" w:color="auto" w:sz="4" w:space="0"/>
            </w:tcBorders>
            <w:hideMark/>
          </w:tcPr>
          <w:p w:rsidRPr="00483912" w:rsidR="00483912" w:rsidP="00483912" w:rsidRDefault="00483912" w14:paraId="5A197EB2" w14:textId="77777777">
            <w:pPr>
              <w:rPr>
                <w:b/>
                <w:bCs/>
              </w:rPr>
            </w:pPr>
            <w:r w:rsidRPr="00483912">
              <w:rPr>
                <w:b/>
                <w:bCs/>
              </w:rPr>
              <w:t>2029</w:t>
            </w:r>
          </w:p>
        </w:tc>
        <w:tc>
          <w:tcPr>
            <w:tcW w:w="993" w:type="dxa"/>
            <w:tcBorders>
              <w:top w:val="single" w:color="auto" w:sz="4" w:space="0"/>
              <w:left w:val="single" w:color="auto" w:sz="4" w:space="0"/>
              <w:bottom w:val="single" w:color="auto" w:sz="4" w:space="0"/>
              <w:right w:val="single" w:color="auto" w:sz="4" w:space="0"/>
            </w:tcBorders>
            <w:hideMark/>
          </w:tcPr>
          <w:p w:rsidRPr="00483912" w:rsidR="00483912" w:rsidP="00483912" w:rsidRDefault="00483912" w14:paraId="1F1E50DA" w14:textId="77777777">
            <w:pPr>
              <w:rPr>
                <w:b/>
                <w:bCs/>
              </w:rPr>
            </w:pPr>
            <w:r w:rsidRPr="00483912">
              <w:rPr>
                <w:b/>
                <w:bCs/>
              </w:rPr>
              <w:t>2030</w:t>
            </w:r>
          </w:p>
        </w:tc>
        <w:tc>
          <w:tcPr>
            <w:tcW w:w="992" w:type="dxa"/>
            <w:tcBorders>
              <w:top w:val="single" w:color="auto" w:sz="4" w:space="0"/>
              <w:left w:val="single" w:color="auto" w:sz="4" w:space="0"/>
              <w:bottom w:val="single" w:color="auto" w:sz="4" w:space="0"/>
              <w:right w:val="single" w:color="auto" w:sz="4" w:space="0"/>
            </w:tcBorders>
            <w:hideMark/>
          </w:tcPr>
          <w:p w:rsidRPr="00483912" w:rsidR="00483912" w:rsidP="00483912" w:rsidRDefault="00483912" w14:paraId="69107B08" w14:textId="77777777">
            <w:pPr>
              <w:rPr>
                <w:b/>
                <w:bCs/>
              </w:rPr>
            </w:pPr>
            <w:r w:rsidRPr="00483912">
              <w:rPr>
                <w:b/>
                <w:bCs/>
              </w:rPr>
              <w:t>2031</w:t>
            </w:r>
          </w:p>
        </w:tc>
        <w:tc>
          <w:tcPr>
            <w:tcW w:w="986" w:type="dxa"/>
            <w:tcBorders>
              <w:top w:val="single" w:color="auto" w:sz="4" w:space="0"/>
              <w:left w:val="single" w:color="auto" w:sz="4" w:space="0"/>
              <w:bottom w:val="single" w:color="auto" w:sz="4" w:space="0"/>
              <w:right w:val="single" w:color="auto" w:sz="4" w:space="0"/>
            </w:tcBorders>
            <w:hideMark/>
          </w:tcPr>
          <w:p w:rsidRPr="00483912" w:rsidR="00483912" w:rsidP="00483912" w:rsidRDefault="00483912" w14:paraId="384CD8D1" w14:textId="77777777">
            <w:pPr>
              <w:rPr>
                <w:b/>
                <w:bCs/>
              </w:rPr>
            </w:pPr>
            <w:proofErr w:type="spellStart"/>
            <w:r w:rsidRPr="00483912">
              <w:rPr>
                <w:b/>
                <w:bCs/>
              </w:rPr>
              <w:t>Struc</w:t>
            </w:r>
            <w:proofErr w:type="spellEnd"/>
            <w:r w:rsidRPr="00483912">
              <w:rPr>
                <w:b/>
                <w:bCs/>
              </w:rPr>
              <w:t>.</w:t>
            </w:r>
          </w:p>
        </w:tc>
      </w:tr>
      <w:tr w:rsidRPr="00483912" w:rsidR="00483912" w:rsidTr="001B3654" w14:paraId="019D2C7D" w14:textId="77777777">
        <w:trPr>
          <w:jc w:val="center"/>
        </w:trPr>
        <w:tc>
          <w:tcPr>
            <w:tcW w:w="2830" w:type="dxa"/>
            <w:tcBorders>
              <w:top w:val="single" w:color="auto" w:sz="4" w:space="0"/>
              <w:left w:val="single" w:color="auto" w:sz="4" w:space="0"/>
              <w:bottom w:val="single" w:color="auto" w:sz="4" w:space="0"/>
              <w:right w:val="single" w:color="auto" w:sz="4" w:space="0"/>
            </w:tcBorders>
            <w:hideMark/>
          </w:tcPr>
          <w:p w:rsidRPr="00483912" w:rsidR="00483912" w:rsidP="00483912" w:rsidRDefault="00483912" w14:paraId="21E9766B" w14:textId="77777777">
            <w:r w:rsidRPr="00483912">
              <w:t>Afschaffen eenmalig verhoogde schenkingsvrijstelling</w:t>
            </w:r>
          </w:p>
        </w:tc>
        <w:tc>
          <w:tcPr>
            <w:tcW w:w="1134" w:type="dxa"/>
            <w:tcBorders>
              <w:top w:val="single" w:color="auto" w:sz="4" w:space="0"/>
              <w:left w:val="single" w:color="auto" w:sz="4" w:space="0"/>
              <w:bottom w:val="single" w:color="auto" w:sz="4" w:space="0"/>
              <w:right w:val="single" w:color="auto" w:sz="4" w:space="0"/>
            </w:tcBorders>
            <w:vAlign w:val="center"/>
          </w:tcPr>
          <w:p w:rsidRPr="00483912" w:rsidR="00483912" w:rsidP="00483912" w:rsidRDefault="00483912" w14:paraId="1470AD15" w14:textId="77777777">
            <w:r w:rsidRPr="00483912">
              <w:t>6</w:t>
            </w:r>
          </w:p>
        </w:tc>
        <w:tc>
          <w:tcPr>
            <w:tcW w:w="1134" w:type="dxa"/>
            <w:tcBorders>
              <w:top w:val="single" w:color="auto" w:sz="4" w:space="0"/>
              <w:left w:val="single" w:color="auto" w:sz="4" w:space="0"/>
              <w:bottom w:val="single" w:color="auto" w:sz="4" w:space="0"/>
              <w:right w:val="single" w:color="auto" w:sz="4" w:space="0"/>
            </w:tcBorders>
            <w:vAlign w:val="center"/>
          </w:tcPr>
          <w:p w:rsidRPr="00483912" w:rsidR="00483912" w:rsidP="00483912" w:rsidRDefault="00483912" w14:paraId="41ACB9AC" w14:textId="77777777">
            <w:r w:rsidRPr="00483912">
              <w:t>25</w:t>
            </w:r>
          </w:p>
        </w:tc>
        <w:tc>
          <w:tcPr>
            <w:tcW w:w="1134" w:type="dxa"/>
            <w:tcBorders>
              <w:top w:val="single" w:color="auto" w:sz="4" w:space="0"/>
              <w:left w:val="single" w:color="auto" w:sz="4" w:space="0"/>
              <w:bottom w:val="single" w:color="auto" w:sz="4" w:space="0"/>
              <w:right w:val="single" w:color="auto" w:sz="4" w:space="0"/>
            </w:tcBorders>
            <w:vAlign w:val="center"/>
          </w:tcPr>
          <w:p w:rsidRPr="00483912" w:rsidR="00483912" w:rsidP="00483912" w:rsidRDefault="00483912" w14:paraId="1A5BDA6C" w14:textId="77777777">
            <w:r w:rsidRPr="00483912">
              <w:t>28</w:t>
            </w:r>
          </w:p>
        </w:tc>
        <w:tc>
          <w:tcPr>
            <w:tcW w:w="1134" w:type="dxa"/>
            <w:tcBorders>
              <w:top w:val="single" w:color="auto" w:sz="4" w:space="0"/>
              <w:left w:val="single" w:color="auto" w:sz="4" w:space="0"/>
              <w:bottom w:val="single" w:color="auto" w:sz="4" w:space="0"/>
              <w:right w:val="single" w:color="auto" w:sz="4" w:space="0"/>
            </w:tcBorders>
            <w:vAlign w:val="center"/>
          </w:tcPr>
          <w:p w:rsidRPr="00483912" w:rsidR="00483912" w:rsidP="00483912" w:rsidRDefault="00483912" w14:paraId="50D71A08" w14:textId="77777777">
            <w:r w:rsidRPr="00483912">
              <w:t>31</w:t>
            </w:r>
          </w:p>
        </w:tc>
        <w:tc>
          <w:tcPr>
            <w:tcW w:w="993" w:type="dxa"/>
            <w:tcBorders>
              <w:top w:val="single" w:color="auto" w:sz="4" w:space="0"/>
              <w:left w:val="single" w:color="auto" w:sz="4" w:space="0"/>
              <w:bottom w:val="single" w:color="auto" w:sz="4" w:space="0"/>
              <w:right w:val="single" w:color="auto" w:sz="4" w:space="0"/>
            </w:tcBorders>
            <w:vAlign w:val="center"/>
          </w:tcPr>
          <w:p w:rsidRPr="00483912" w:rsidR="00483912" w:rsidP="00483912" w:rsidRDefault="00483912" w14:paraId="670E729B" w14:textId="77777777">
            <w:r w:rsidRPr="00483912">
              <w:t>33</w:t>
            </w:r>
          </w:p>
        </w:tc>
        <w:tc>
          <w:tcPr>
            <w:tcW w:w="992" w:type="dxa"/>
            <w:tcBorders>
              <w:top w:val="single" w:color="auto" w:sz="4" w:space="0"/>
              <w:left w:val="single" w:color="auto" w:sz="4" w:space="0"/>
              <w:bottom w:val="single" w:color="auto" w:sz="4" w:space="0"/>
              <w:right w:val="single" w:color="auto" w:sz="4" w:space="0"/>
            </w:tcBorders>
            <w:vAlign w:val="center"/>
          </w:tcPr>
          <w:p w:rsidRPr="00483912" w:rsidR="00483912" w:rsidP="00483912" w:rsidRDefault="00483912" w14:paraId="304F8C03" w14:textId="77777777">
            <w:r w:rsidRPr="00483912">
              <w:t>33</w:t>
            </w:r>
          </w:p>
        </w:tc>
        <w:tc>
          <w:tcPr>
            <w:tcW w:w="986" w:type="dxa"/>
            <w:tcBorders>
              <w:top w:val="single" w:color="auto" w:sz="4" w:space="0"/>
              <w:left w:val="single" w:color="auto" w:sz="4" w:space="0"/>
              <w:bottom w:val="single" w:color="auto" w:sz="4" w:space="0"/>
              <w:right w:val="single" w:color="auto" w:sz="4" w:space="0"/>
            </w:tcBorders>
            <w:vAlign w:val="center"/>
          </w:tcPr>
          <w:p w:rsidRPr="00483912" w:rsidR="00483912" w:rsidP="00483912" w:rsidRDefault="00483912" w14:paraId="76BB118C" w14:textId="77777777">
            <w:r w:rsidRPr="00483912">
              <w:t>33</w:t>
            </w:r>
          </w:p>
        </w:tc>
      </w:tr>
    </w:tbl>
    <w:p w:rsidR="00483912" w:rsidP="00483912" w:rsidRDefault="00483912" w14:paraId="2AE10E19" w14:textId="77777777"/>
    <w:p w:rsidR="00483912" w:rsidP="00483912" w:rsidRDefault="00483912" w14:paraId="16E69A05" w14:textId="77777777">
      <w:r>
        <w:t>Indiener acht het wenselijk om werken meer te laten lonen dan erven. De schenk- en erfbelasting is één van de rechtvaardigste vormen van belasting, omdat het geheven wordt over onverdiend inkomen waar geen tegenprestatie aan wordt geleverd. De huidige vrijstelling in de schenk- en erfbelasting creëert hogere ongelijkheid, aangezien vooral hogere inkomens- en vermogensgroepen over de ruimte beschikken om dergelijke schenkingen te doen. Het afschaffen van deze vrijstelling leidt daarom tot een meer gelijke behandeling van alle jongeren, ongeacht hun sociaaleconomische achtergrond.</w:t>
      </w:r>
    </w:p>
    <w:p w:rsidR="00483912" w:rsidP="00483912" w:rsidRDefault="00483912" w14:paraId="27AF697D" w14:textId="77777777">
      <w:r>
        <w:t xml:space="preserve">Indiener beoogt de opbrengsten van het afschaffen van de vrijstelling in te zetten voor het verhogen van het minimumjeugdloon. Werkende jongeren hebben vaak te maken hebben met hoge kosten (zoals studie, vervoer en wonen), maar verdienen een loon dat ver achterblijft op de kosten van hun bestaanszekerheid. </w:t>
      </w:r>
      <w:r>
        <w:lastRenderedPageBreak/>
        <w:t>Door de staffels te verhogen naar 90% voor 20-jarigen, 80% voor 19-jarigen, 70% voor 18-jarigen, 60% voor 17-jarigen, 50% voor 16-jarigen en 40% voor 15-jarigen, beoogt indiener te zorgen dat jongeren eerlijker worden beloond voor hun werk.</w:t>
      </w:r>
    </w:p>
    <w:p w:rsidR="005B1DCC" w:rsidP="00BF623B" w:rsidRDefault="00483912" w14:paraId="710C4A7E" w14:textId="2D1E94B3">
      <w:r>
        <w:t>Deze verhoging van het minimumjeugdloon dient te worden geregeld bij algemene maatregel van bestuur, namelijk het Besluit minimumjeugdloon. Een verhoging van het minimumjeugdloon leidt tot hogere uitgaven op de SZW-begroting aan de Wet arbeidsongeschiktheidsvoorziening jonggehandicapten (Wajong) en loonkostensubsidie (LKS). De structurele kosten van deze verhoging zijn € 25 miljoen. Dit zijn de extra kosten bovenop de kosten van de verhoging van het minimumjeugdloon waartoe is besloten in de Voorjaarsnota 2025.</w:t>
      </w:r>
    </w:p>
    <w:tbl>
      <w:tblPr>
        <w:tblpPr w:leftFromText="141" w:rightFromText="141" w:vertAnchor="text" w:horzAnchor="margin" w:tblpXSpec="center" w:tblpY="387"/>
        <w:tblW w:w="10595" w:type="dxa"/>
        <w:tblCellMar>
          <w:left w:w="0" w:type="dxa"/>
          <w:right w:w="0" w:type="dxa"/>
        </w:tblCellMar>
        <w:tblLook w:val="04A0" w:firstRow="1" w:lastRow="0" w:firstColumn="1" w:lastColumn="0" w:noHBand="0" w:noVBand="1"/>
      </w:tblPr>
      <w:tblGrid>
        <w:gridCol w:w="2160"/>
        <w:gridCol w:w="1205"/>
        <w:gridCol w:w="1205"/>
        <w:gridCol w:w="1205"/>
        <w:gridCol w:w="1205"/>
        <w:gridCol w:w="1205"/>
        <w:gridCol w:w="1205"/>
        <w:gridCol w:w="1205"/>
      </w:tblGrid>
      <w:tr w:rsidRPr="00483912" w:rsidR="00483912" w:rsidTr="001B3654" w14:paraId="1B25CDCA" w14:textId="77777777">
        <w:trPr>
          <w:trHeight w:val="278"/>
        </w:trPr>
        <w:tc>
          <w:tcPr>
            <w:tcW w:w="2160"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08899EF9" w14:textId="2BC023D2">
            <w:pPr>
              <w:rPr>
                <w:b/>
                <w:bCs/>
              </w:rPr>
            </w:pPr>
            <w:r w:rsidRPr="00483912">
              <w:rPr>
                <w:b/>
                <w:bCs/>
              </w:rPr>
              <w:t xml:space="preserve">Raming verhoging minimumjeugdloon  </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22A476D3" w14:textId="77777777">
            <w:pPr>
              <w:rPr>
                <w:b/>
                <w:bCs/>
              </w:rPr>
            </w:pPr>
            <w:r w:rsidRPr="00483912">
              <w:rPr>
                <w:b/>
                <w:bCs/>
              </w:rPr>
              <w:t>2026</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1A6F3141" w14:textId="77777777">
            <w:pPr>
              <w:rPr>
                <w:b/>
                <w:bCs/>
              </w:rPr>
            </w:pPr>
            <w:r w:rsidRPr="00483912">
              <w:rPr>
                <w:b/>
                <w:bCs/>
              </w:rPr>
              <w:t>2027</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36C151B9" w14:textId="77777777">
            <w:pPr>
              <w:rPr>
                <w:b/>
                <w:bCs/>
              </w:rPr>
            </w:pPr>
            <w:r w:rsidRPr="00483912">
              <w:rPr>
                <w:b/>
                <w:bCs/>
              </w:rPr>
              <w:t>2028</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3168E825" w14:textId="77777777">
            <w:pPr>
              <w:rPr>
                <w:b/>
                <w:bCs/>
              </w:rPr>
            </w:pPr>
            <w:r w:rsidRPr="00483912">
              <w:rPr>
                <w:b/>
                <w:bCs/>
              </w:rPr>
              <w:t>2029</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209EA74A" w14:textId="77777777">
            <w:pPr>
              <w:rPr>
                <w:b/>
                <w:bCs/>
              </w:rPr>
            </w:pPr>
            <w:r w:rsidRPr="00483912">
              <w:rPr>
                <w:b/>
                <w:bCs/>
              </w:rPr>
              <w:t>2030</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01847F2E" w14:textId="77777777">
            <w:pPr>
              <w:rPr>
                <w:b/>
                <w:bCs/>
              </w:rPr>
            </w:pPr>
            <w:r w:rsidRPr="00483912">
              <w:rPr>
                <w:b/>
                <w:bCs/>
              </w:rPr>
              <w:t>2031</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530FAB27" w14:textId="77777777">
            <w:pPr>
              <w:rPr>
                <w:b/>
                <w:bCs/>
              </w:rPr>
            </w:pPr>
            <w:proofErr w:type="spellStart"/>
            <w:r w:rsidRPr="00483912">
              <w:rPr>
                <w:b/>
                <w:bCs/>
              </w:rPr>
              <w:t>Struc</w:t>
            </w:r>
            <w:proofErr w:type="spellEnd"/>
            <w:r w:rsidRPr="00483912">
              <w:rPr>
                <w:b/>
                <w:bCs/>
              </w:rPr>
              <w:t>.</w:t>
            </w:r>
          </w:p>
        </w:tc>
      </w:tr>
      <w:tr w:rsidRPr="00483912" w:rsidR="00483912" w:rsidTr="001B3654" w14:paraId="1BDE9148" w14:textId="77777777">
        <w:trPr>
          <w:trHeight w:val="225"/>
        </w:trPr>
        <w:tc>
          <w:tcPr>
            <w:tcW w:w="2160" w:type="dxa"/>
            <w:noWrap/>
            <w:tcMar>
              <w:top w:w="0" w:type="dxa"/>
              <w:left w:w="70" w:type="dxa"/>
              <w:bottom w:w="0" w:type="dxa"/>
              <w:right w:w="70" w:type="dxa"/>
            </w:tcMar>
            <w:vAlign w:val="bottom"/>
            <w:hideMark/>
          </w:tcPr>
          <w:p w:rsidRPr="00483912" w:rsidR="00483912" w:rsidP="00483912" w:rsidRDefault="00483912" w14:paraId="14547C6D" w14:textId="77777777">
            <w:r w:rsidRPr="00483912">
              <w:t>Wajong</w:t>
            </w:r>
          </w:p>
        </w:tc>
        <w:tc>
          <w:tcPr>
            <w:tcW w:w="1205" w:type="dxa"/>
            <w:noWrap/>
            <w:tcMar>
              <w:top w:w="0" w:type="dxa"/>
              <w:left w:w="70" w:type="dxa"/>
              <w:bottom w:w="0" w:type="dxa"/>
              <w:right w:w="70" w:type="dxa"/>
            </w:tcMar>
            <w:vAlign w:val="bottom"/>
            <w:hideMark/>
          </w:tcPr>
          <w:p w:rsidRPr="00483912" w:rsidR="00483912" w:rsidP="00483912" w:rsidRDefault="00483912" w14:paraId="0836245D" w14:textId="77777777">
            <w:r w:rsidRPr="00483912">
              <w:t>0</w:t>
            </w:r>
          </w:p>
        </w:tc>
        <w:tc>
          <w:tcPr>
            <w:tcW w:w="1205" w:type="dxa"/>
            <w:noWrap/>
            <w:tcMar>
              <w:top w:w="0" w:type="dxa"/>
              <w:left w:w="70" w:type="dxa"/>
              <w:bottom w:w="0" w:type="dxa"/>
              <w:right w:w="70" w:type="dxa"/>
            </w:tcMar>
            <w:vAlign w:val="bottom"/>
            <w:hideMark/>
          </w:tcPr>
          <w:p w:rsidRPr="00483912" w:rsidR="00483912" w:rsidP="00483912" w:rsidRDefault="00483912" w14:paraId="201DB132" w14:textId="77777777">
            <w:r w:rsidRPr="00483912">
              <w:t>9</w:t>
            </w:r>
          </w:p>
        </w:tc>
        <w:tc>
          <w:tcPr>
            <w:tcW w:w="1205" w:type="dxa"/>
            <w:noWrap/>
            <w:tcMar>
              <w:top w:w="0" w:type="dxa"/>
              <w:left w:w="70" w:type="dxa"/>
              <w:bottom w:w="0" w:type="dxa"/>
              <w:right w:w="70" w:type="dxa"/>
            </w:tcMar>
            <w:vAlign w:val="bottom"/>
            <w:hideMark/>
          </w:tcPr>
          <w:p w:rsidRPr="00483912" w:rsidR="00483912" w:rsidP="00483912" w:rsidRDefault="00483912" w14:paraId="2E23817D" w14:textId="77777777">
            <w:r w:rsidRPr="00483912">
              <w:t>9</w:t>
            </w:r>
          </w:p>
        </w:tc>
        <w:tc>
          <w:tcPr>
            <w:tcW w:w="1205" w:type="dxa"/>
            <w:noWrap/>
            <w:tcMar>
              <w:top w:w="0" w:type="dxa"/>
              <w:left w:w="70" w:type="dxa"/>
              <w:bottom w:w="0" w:type="dxa"/>
              <w:right w:w="70" w:type="dxa"/>
            </w:tcMar>
            <w:vAlign w:val="bottom"/>
            <w:hideMark/>
          </w:tcPr>
          <w:p w:rsidRPr="00483912" w:rsidR="00483912" w:rsidP="00483912" w:rsidRDefault="00483912" w14:paraId="232B6656" w14:textId="77777777">
            <w:r w:rsidRPr="00483912">
              <w:t>9</w:t>
            </w:r>
          </w:p>
        </w:tc>
        <w:tc>
          <w:tcPr>
            <w:tcW w:w="1205" w:type="dxa"/>
            <w:noWrap/>
            <w:tcMar>
              <w:top w:w="0" w:type="dxa"/>
              <w:left w:w="70" w:type="dxa"/>
              <w:bottom w:w="0" w:type="dxa"/>
              <w:right w:w="70" w:type="dxa"/>
            </w:tcMar>
            <w:vAlign w:val="bottom"/>
            <w:hideMark/>
          </w:tcPr>
          <w:p w:rsidRPr="00483912" w:rsidR="00483912" w:rsidP="00483912" w:rsidRDefault="00483912" w14:paraId="5301C77C" w14:textId="77777777">
            <w:r w:rsidRPr="00483912">
              <w:t>9</w:t>
            </w:r>
          </w:p>
        </w:tc>
        <w:tc>
          <w:tcPr>
            <w:tcW w:w="1205" w:type="dxa"/>
            <w:noWrap/>
            <w:tcMar>
              <w:top w:w="0" w:type="dxa"/>
              <w:left w:w="70" w:type="dxa"/>
              <w:bottom w:w="0" w:type="dxa"/>
              <w:right w:w="70" w:type="dxa"/>
            </w:tcMar>
            <w:vAlign w:val="bottom"/>
            <w:hideMark/>
          </w:tcPr>
          <w:p w:rsidRPr="00483912" w:rsidR="00483912" w:rsidP="00483912" w:rsidRDefault="00483912" w14:paraId="064EBC83" w14:textId="77777777">
            <w:r w:rsidRPr="00483912">
              <w:t>9</w:t>
            </w:r>
          </w:p>
        </w:tc>
        <w:tc>
          <w:tcPr>
            <w:tcW w:w="1205" w:type="dxa"/>
            <w:noWrap/>
            <w:tcMar>
              <w:top w:w="0" w:type="dxa"/>
              <w:left w:w="70" w:type="dxa"/>
              <w:bottom w:w="0" w:type="dxa"/>
              <w:right w:w="70" w:type="dxa"/>
            </w:tcMar>
            <w:vAlign w:val="bottom"/>
            <w:hideMark/>
          </w:tcPr>
          <w:p w:rsidRPr="00483912" w:rsidR="00483912" w:rsidP="00483912" w:rsidRDefault="00483912" w14:paraId="15A2A69D" w14:textId="77777777">
            <w:r w:rsidRPr="00483912">
              <w:t>9</w:t>
            </w:r>
          </w:p>
        </w:tc>
      </w:tr>
      <w:tr w:rsidRPr="00483912" w:rsidR="00483912" w:rsidTr="001B3654" w14:paraId="392A3844" w14:textId="77777777">
        <w:trPr>
          <w:trHeight w:val="225"/>
        </w:trPr>
        <w:tc>
          <w:tcPr>
            <w:tcW w:w="2160"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44782C21" w14:textId="77777777">
            <w:r w:rsidRPr="00483912">
              <w:t>LKS</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5141D7F0" w14:textId="77777777">
            <w:r w:rsidRPr="00483912">
              <w:t>0</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6605E5E1" w14:textId="77777777">
            <w:r w:rsidRPr="00483912">
              <w:t>7</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0B50E4D3" w14:textId="77777777">
            <w:r w:rsidRPr="00483912">
              <w:t>7</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39671E56" w14:textId="77777777">
            <w:r w:rsidRPr="00483912">
              <w:t>8</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44039F1C" w14:textId="77777777">
            <w:r w:rsidRPr="00483912">
              <w:t>8</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59FBD527" w14:textId="77777777">
            <w:r w:rsidRPr="00483912">
              <w:t>9</w:t>
            </w:r>
          </w:p>
        </w:tc>
        <w:tc>
          <w:tcPr>
            <w:tcW w:w="1205" w:type="dxa"/>
            <w:tcBorders>
              <w:top w:val="nil"/>
              <w:left w:val="nil"/>
              <w:bottom w:val="single" w:color="auto" w:sz="8" w:space="0"/>
              <w:right w:val="nil"/>
            </w:tcBorders>
            <w:noWrap/>
            <w:tcMar>
              <w:top w:w="0" w:type="dxa"/>
              <w:left w:w="70" w:type="dxa"/>
              <w:bottom w:w="0" w:type="dxa"/>
              <w:right w:w="70" w:type="dxa"/>
            </w:tcMar>
            <w:vAlign w:val="bottom"/>
            <w:hideMark/>
          </w:tcPr>
          <w:p w:rsidRPr="00483912" w:rsidR="00483912" w:rsidP="00483912" w:rsidRDefault="00483912" w14:paraId="2D2D2D29" w14:textId="77777777">
            <w:r w:rsidRPr="00483912">
              <w:t>16</w:t>
            </w:r>
          </w:p>
        </w:tc>
      </w:tr>
      <w:tr w:rsidRPr="00483912" w:rsidR="00483912" w:rsidTr="001B3654" w14:paraId="4A3A5E3F" w14:textId="77777777">
        <w:trPr>
          <w:trHeight w:val="225"/>
        </w:trPr>
        <w:tc>
          <w:tcPr>
            <w:tcW w:w="2160" w:type="dxa"/>
            <w:noWrap/>
            <w:tcMar>
              <w:top w:w="0" w:type="dxa"/>
              <w:left w:w="70" w:type="dxa"/>
              <w:bottom w:w="0" w:type="dxa"/>
              <w:right w:w="70" w:type="dxa"/>
            </w:tcMar>
            <w:vAlign w:val="bottom"/>
            <w:hideMark/>
          </w:tcPr>
          <w:p w:rsidRPr="00483912" w:rsidR="00483912" w:rsidP="00483912" w:rsidRDefault="00483912" w14:paraId="23BD4F4A" w14:textId="77777777">
            <w:r w:rsidRPr="00483912">
              <w:t>Totaal</w:t>
            </w:r>
          </w:p>
        </w:tc>
        <w:tc>
          <w:tcPr>
            <w:tcW w:w="1205" w:type="dxa"/>
            <w:noWrap/>
            <w:tcMar>
              <w:top w:w="0" w:type="dxa"/>
              <w:left w:w="70" w:type="dxa"/>
              <w:bottom w:w="0" w:type="dxa"/>
              <w:right w:w="70" w:type="dxa"/>
            </w:tcMar>
            <w:vAlign w:val="bottom"/>
            <w:hideMark/>
          </w:tcPr>
          <w:p w:rsidRPr="00483912" w:rsidR="00483912" w:rsidP="00483912" w:rsidRDefault="00483912" w14:paraId="30978168" w14:textId="77777777">
            <w:r w:rsidRPr="00483912">
              <w:t>0</w:t>
            </w:r>
          </w:p>
        </w:tc>
        <w:tc>
          <w:tcPr>
            <w:tcW w:w="1205" w:type="dxa"/>
            <w:noWrap/>
            <w:tcMar>
              <w:top w:w="0" w:type="dxa"/>
              <w:left w:w="70" w:type="dxa"/>
              <w:bottom w:w="0" w:type="dxa"/>
              <w:right w:w="70" w:type="dxa"/>
            </w:tcMar>
            <w:vAlign w:val="bottom"/>
            <w:hideMark/>
          </w:tcPr>
          <w:p w:rsidRPr="00483912" w:rsidR="00483912" w:rsidP="00483912" w:rsidRDefault="00483912" w14:paraId="3F4C3D1C" w14:textId="77777777">
            <w:r w:rsidRPr="00483912">
              <w:t>15</w:t>
            </w:r>
          </w:p>
        </w:tc>
        <w:tc>
          <w:tcPr>
            <w:tcW w:w="1205" w:type="dxa"/>
            <w:noWrap/>
            <w:tcMar>
              <w:top w:w="0" w:type="dxa"/>
              <w:left w:w="70" w:type="dxa"/>
              <w:bottom w:w="0" w:type="dxa"/>
              <w:right w:w="70" w:type="dxa"/>
            </w:tcMar>
            <w:vAlign w:val="bottom"/>
            <w:hideMark/>
          </w:tcPr>
          <w:p w:rsidRPr="00483912" w:rsidR="00483912" w:rsidP="00483912" w:rsidRDefault="00483912" w14:paraId="6AD13C34" w14:textId="77777777">
            <w:r w:rsidRPr="00483912">
              <w:t>16</w:t>
            </w:r>
          </w:p>
        </w:tc>
        <w:tc>
          <w:tcPr>
            <w:tcW w:w="1205" w:type="dxa"/>
            <w:noWrap/>
            <w:tcMar>
              <w:top w:w="0" w:type="dxa"/>
              <w:left w:w="70" w:type="dxa"/>
              <w:bottom w:w="0" w:type="dxa"/>
              <w:right w:w="70" w:type="dxa"/>
            </w:tcMar>
            <w:vAlign w:val="bottom"/>
            <w:hideMark/>
          </w:tcPr>
          <w:p w:rsidRPr="00483912" w:rsidR="00483912" w:rsidP="00483912" w:rsidRDefault="00483912" w14:paraId="77FF7958" w14:textId="77777777">
            <w:r w:rsidRPr="00483912">
              <w:t>17</w:t>
            </w:r>
          </w:p>
        </w:tc>
        <w:tc>
          <w:tcPr>
            <w:tcW w:w="1205" w:type="dxa"/>
            <w:noWrap/>
            <w:tcMar>
              <w:top w:w="0" w:type="dxa"/>
              <w:left w:w="70" w:type="dxa"/>
              <w:bottom w:w="0" w:type="dxa"/>
              <w:right w:w="70" w:type="dxa"/>
            </w:tcMar>
            <w:vAlign w:val="bottom"/>
            <w:hideMark/>
          </w:tcPr>
          <w:p w:rsidRPr="00483912" w:rsidR="00483912" w:rsidP="00483912" w:rsidRDefault="00483912" w14:paraId="1EDF18E3" w14:textId="77777777">
            <w:r w:rsidRPr="00483912">
              <w:t>17</w:t>
            </w:r>
          </w:p>
        </w:tc>
        <w:tc>
          <w:tcPr>
            <w:tcW w:w="1205" w:type="dxa"/>
            <w:noWrap/>
            <w:tcMar>
              <w:top w:w="0" w:type="dxa"/>
              <w:left w:w="70" w:type="dxa"/>
              <w:bottom w:w="0" w:type="dxa"/>
              <w:right w:w="70" w:type="dxa"/>
            </w:tcMar>
            <w:vAlign w:val="bottom"/>
            <w:hideMark/>
          </w:tcPr>
          <w:p w:rsidRPr="00483912" w:rsidR="00483912" w:rsidP="00483912" w:rsidRDefault="00483912" w14:paraId="6FCA6FF0" w14:textId="77777777">
            <w:r w:rsidRPr="00483912">
              <w:t>18</w:t>
            </w:r>
          </w:p>
        </w:tc>
        <w:tc>
          <w:tcPr>
            <w:tcW w:w="1205" w:type="dxa"/>
            <w:noWrap/>
            <w:tcMar>
              <w:top w:w="0" w:type="dxa"/>
              <w:left w:w="70" w:type="dxa"/>
              <w:bottom w:w="0" w:type="dxa"/>
              <w:right w:w="70" w:type="dxa"/>
            </w:tcMar>
            <w:vAlign w:val="bottom"/>
            <w:hideMark/>
          </w:tcPr>
          <w:p w:rsidRPr="00483912" w:rsidR="00483912" w:rsidP="00483912" w:rsidRDefault="00483912" w14:paraId="44354239" w14:textId="77777777">
            <w:r w:rsidRPr="00483912">
              <w:t>25</w:t>
            </w:r>
          </w:p>
        </w:tc>
      </w:tr>
    </w:tbl>
    <w:p w:rsidR="00B4708A" w:rsidP="00EA1CE4" w:rsidRDefault="00B4708A" w14:paraId="7F92B104" w14:textId="10C693BE"/>
    <w:p w:rsidR="00483912" w:rsidP="00EA1CE4" w:rsidRDefault="00483912" w14:paraId="46A27AA0" w14:textId="77777777"/>
    <w:p w:rsidRPr="00EA69AC" w:rsidR="00483912" w:rsidP="00EA1CE4" w:rsidRDefault="00483912" w14:paraId="5DB0B01A" w14:textId="6B68BA4E">
      <w:r>
        <w:t>Dassen</w:t>
      </w:r>
    </w:p>
    <w:sectPr w:rsidRPr="00EA69AC" w:rsidR="0048391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958C" w14:textId="77777777" w:rsidR="00483912" w:rsidRDefault="00483912">
      <w:pPr>
        <w:spacing w:line="20" w:lineRule="exact"/>
      </w:pPr>
    </w:p>
  </w:endnote>
  <w:endnote w:type="continuationSeparator" w:id="0">
    <w:p w14:paraId="71468268" w14:textId="77777777" w:rsidR="00483912" w:rsidRDefault="00483912">
      <w:pPr>
        <w:pStyle w:val="Amendement"/>
      </w:pPr>
      <w:r>
        <w:rPr>
          <w:b w:val="0"/>
        </w:rPr>
        <w:t xml:space="preserve"> </w:t>
      </w:r>
    </w:p>
  </w:endnote>
  <w:endnote w:type="continuationNotice" w:id="1">
    <w:p w14:paraId="2E175329" w14:textId="77777777" w:rsidR="00483912" w:rsidRDefault="004839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17A3" w14:textId="77777777" w:rsidR="00483912" w:rsidRDefault="00483912">
      <w:pPr>
        <w:pStyle w:val="Amendement"/>
      </w:pPr>
      <w:r>
        <w:rPr>
          <w:b w:val="0"/>
        </w:rPr>
        <w:separator/>
      </w:r>
    </w:p>
  </w:footnote>
  <w:footnote w:type="continuationSeparator" w:id="0">
    <w:p w14:paraId="282A15E4" w14:textId="77777777" w:rsidR="00483912" w:rsidRDefault="00483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12"/>
    <w:rsid w:val="00052244"/>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83912"/>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7E7D6E"/>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57488"/>
  <w15:docId w15:val="{BDD87A28-E936-4CEF-81A9-CCE2826A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rsid w:val="00483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494</ap:Words>
  <ap:Characters>2722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2025-11-25T13:55:00.0000000Z</dcterms:created>
  <dcterms:modified xsi:type="dcterms:W3CDTF">2025-11-25T13:58:00.0000000Z</dcterms:modified>
  <dc:description>------------------------</dc:description>
  <dc:subject/>
  <keywords/>
  <version/>
  <category/>
</coreProperties>
</file>