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085CFC" w14:paraId="22DC44BD" w14:textId="3FC59849">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sidR="004330ED">
              <w:rPr>
                <w:rFonts w:ascii="Times New Roman" w:hAnsi="Times New Roman"/>
                <w:spacing w:val="40"/>
                <w:sz w:val="22"/>
              </w:rPr>
              <w:t xml:space="preserve"> </w:t>
            </w:r>
            <w:r w:rsidR="004330ED">
              <w:rPr>
                <w:rFonts w:ascii="Times New Roman" w:hAnsi="Times New Roman"/>
                <w:spacing w:val="40"/>
                <w:sz w:val="30"/>
              </w:rPr>
              <w:t>K</w:t>
            </w:r>
            <w:r w:rsidR="0021777F">
              <w:rPr>
                <w:rFonts w:ascii="Times New Roman" w:hAnsi="Times New Roman"/>
                <w:spacing w:val="40"/>
                <w:sz w:val="22"/>
              </w:rPr>
              <w:t xml:space="preserve">AMER </w:t>
            </w:r>
            <w:r w:rsidR="004330ED">
              <w:rPr>
                <w:rFonts w:ascii="Times New Roman" w:hAnsi="Times New Roman"/>
                <w:spacing w:val="40"/>
                <w:sz w:val="22"/>
              </w:rPr>
              <w:t>DER</w:t>
            </w:r>
            <w:r w:rsidR="004330ED">
              <w:rPr>
                <w:rFonts w:ascii="Times New Roman" w:hAnsi="Times New Roman"/>
                <w:spacing w:val="40"/>
                <w:sz w:val="30"/>
              </w:rPr>
              <w:t xml:space="preserve"> S</w:t>
            </w:r>
            <w:r w:rsidR="004330ED">
              <w:rPr>
                <w:rFonts w:ascii="Times New Roman" w:hAnsi="Times New Roman"/>
                <w:spacing w:val="40"/>
                <w:sz w:val="22"/>
              </w:rPr>
              <w:t>TATEN-</w:t>
            </w:r>
            <w:r w:rsidR="004330ED">
              <w:rPr>
                <w:rFonts w:ascii="Times New Roman" w:hAnsi="Times New Roman"/>
                <w:spacing w:val="40"/>
                <w:sz w:val="30"/>
              </w:rPr>
              <w:t>G</w:t>
            </w:r>
            <w:r w:rsidR="004330ED">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270D06D1">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81858">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81858">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BF76E5" w14:paraId="57E8D14E" w14:textId="673DC5FF">
            <w:pPr>
              <w:pStyle w:val="Amendement"/>
              <w:tabs>
                <w:tab w:val="clear" w:pos="3310"/>
                <w:tab w:val="clear" w:pos="3600"/>
              </w:tabs>
              <w:rPr>
                <w:rFonts w:ascii="Times New Roman" w:hAnsi="Times New Roman"/>
              </w:rPr>
            </w:pPr>
            <w:r w:rsidRPr="00B709BF">
              <w:rPr>
                <w:rFonts w:ascii="Times New Roman" w:hAnsi="Times New Roman"/>
              </w:rPr>
              <w:fldChar w:fldCharType="begin"/>
            </w:r>
            <w:r w:rsidRPr="00B709BF" w:rsidR="001656EE">
              <w:rPr>
                <w:rFonts w:ascii="Times New Roman" w:hAnsi="Times New Roman"/>
              </w:rPr>
              <w:instrText xml:space="preserve"> =  \* MERGEFORMAT </w:instrText>
            </w:r>
            <w:r w:rsidRPr="00B709BF">
              <w:rPr>
                <w:rFonts w:ascii="Times New Roman" w:hAnsi="Times New Roman"/>
              </w:rPr>
              <w:fldChar w:fldCharType="separate"/>
            </w:r>
            <w:r w:rsidRPr="00B709BF" w:rsidR="00941C3A">
              <w:rPr>
                <w:rFonts w:ascii="Times New Roman" w:hAnsi="Times New Roman"/>
              </w:rPr>
              <w:t xml:space="preserve"> </w:t>
            </w:r>
            <w:r w:rsidRPr="00B709BF">
              <w:rPr>
                <w:rFonts w:ascii="Times New Roman" w:hAnsi="Times New Roman"/>
              </w:rPr>
              <w:fldChar w:fldCharType="end"/>
            </w:r>
            <w:r w:rsidR="0094436D">
              <w:rPr>
                <w:rFonts w:ascii="Times New Roman" w:hAnsi="Times New Roman"/>
              </w:rPr>
              <w:t>36 812</w:t>
            </w:r>
          </w:p>
        </w:tc>
        <w:tc>
          <w:tcPr>
            <w:tcW w:w="7371" w:type="dxa"/>
            <w:gridSpan w:val="2"/>
          </w:tcPr>
          <w:p w:rsidRPr="00C035D4" w:rsidR="003C21AC" w:rsidP="008413F4" w:rsidRDefault="00BF76E5" w14:paraId="19B2941A" w14:textId="7C3C79E0">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w:t>
            </w:r>
            <w:r w:rsidR="0094436D">
              <w:rPr>
                <w:b/>
                <w:noProof/>
              </w:rPr>
              <w:t>26</w:t>
            </w:r>
            <w:r w:rsidRPr="00941C3A" w:rsidR="00941C3A">
              <w:rPr>
                <w:b/>
                <w:noProof/>
              </w:rPr>
              <w:t>)</w:t>
            </w:r>
            <w:r w:rsidRPr="00C035D4">
              <w:rPr>
                <w:b/>
              </w:rPr>
              <w:fldChar w:fldCharType="end"/>
            </w:r>
          </w:p>
        </w:tc>
      </w:tr>
      <w:tr w:rsidR="0094436D" w:rsidTr="00EA1CE4" w14:paraId="0B56A2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B709BF" w:rsidR="0094436D" w:rsidP="00827898" w:rsidRDefault="0094436D" w14:paraId="3DBE7B68" w14:textId="77777777">
            <w:pPr>
              <w:pStyle w:val="Amendement"/>
              <w:tabs>
                <w:tab w:val="clear" w:pos="3310"/>
                <w:tab w:val="clear" w:pos="3600"/>
              </w:tabs>
              <w:rPr>
                <w:rFonts w:ascii="Times New Roman" w:hAnsi="Times New Roman"/>
              </w:rPr>
            </w:pPr>
          </w:p>
        </w:tc>
        <w:tc>
          <w:tcPr>
            <w:tcW w:w="7371" w:type="dxa"/>
            <w:gridSpan w:val="2"/>
          </w:tcPr>
          <w:p w:rsidRPr="00C035D4" w:rsidR="0094436D" w:rsidP="008413F4" w:rsidRDefault="0094436D" w14:paraId="4F91116F" w14:textId="77777777">
            <w:pPr>
              <w:ind w:left="-70"/>
              <w:rPr>
                <w:b/>
              </w:rPr>
            </w:pP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74D4D318">
            <w:pPr>
              <w:pStyle w:val="Amendement"/>
              <w:tabs>
                <w:tab w:val="clear" w:pos="3310"/>
                <w:tab w:val="clear" w:pos="3600"/>
              </w:tabs>
              <w:rPr>
                <w:rFonts w:ascii="Times New Roman" w:hAnsi="Times New Roman"/>
              </w:rPr>
            </w:pPr>
            <w:r w:rsidRPr="00C035D4">
              <w:rPr>
                <w:rFonts w:ascii="Times New Roman" w:hAnsi="Times New Roman"/>
              </w:rPr>
              <w:t xml:space="preserve">Nr. </w:t>
            </w:r>
            <w:r w:rsidR="00A079A9">
              <w:rPr>
                <w:rFonts w:ascii="Times New Roman" w:hAnsi="Times New Roman"/>
                <w:caps/>
              </w:rPr>
              <w:t>71</w:t>
            </w:r>
          </w:p>
        </w:tc>
        <w:tc>
          <w:tcPr>
            <w:tcW w:w="7371" w:type="dxa"/>
            <w:gridSpan w:val="2"/>
          </w:tcPr>
          <w:p w:rsidRPr="00C035D4" w:rsidR="003C21AC" w:rsidP="006E0971" w:rsidRDefault="00A079A9" w14:paraId="43334D50" w14:textId="0A0122A2">
            <w:pPr>
              <w:pStyle w:val="Amendement"/>
              <w:tabs>
                <w:tab w:val="clear" w:pos="3310"/>
                <w:tab w:val="clear" w:pos="3600"/>
              </w:tabs>
              <w:ind w:left="-70"/>
              <w:rPr>
                <w:rFonts w:ascii="Times New Roman" w:hAnsi="Times New Roman"/>
                <w:caps/>
              </w:rPr>
            </w:pPr>
            <w:r>
              <w:rPr>
                <w:rFonts w:ascii="Times New Roman" w:hAnsi="Times New Roman"/>
                <w:caps/>
              </w:rPr>
              <w:t xml:space="preserve">gewjzigd </w:t>
            </w:r>
            <w:r w:rsidRPr="00C035D4" w:rsidR="003C21AC">
              <w:rPr>
                <w:rFonts w:ascii="Times New Roman" w:hAnsi="Times New Roman"/>
                <w:caps/>
              </w:rPr>
              <w:t xml:space="preserve">AMENDEMENT VAN HET LID </w:t>
            </w:r>
            <w:r w:rsidR="0094436D">
              <w:rPr>
                <w:rFonts w:ascii="Times New Roman" w:hAnsi="Times New Roman"/>
                <w:caps/>
              </w:rPr>
              <w:t>Grinwis</w:t>
            </w:r>
            <w:r>
              <w:rPr>
                <w:rFonts w:ascii="Times New Roman" w:hAnsi="Times New Roman"/>
                <w:caps/>
              </w:rPr>
              <w:t xml:space="preserve"> ter vervanging van dat gedrukt onder nr. 11</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23B33DC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079A9">
              <w:rPr>
                <w:rFonts w:ascii="Times New Roman" w:hAnsi="Times New Roman"/>
                <w:b w:val="0"/>
              </w:rPr>
              <w:t>25</w:t>
            </w:r>
            <w:r w:rsidR="00C1522C">
              <w:rPr>
                <w:rFonts w:ascii="Times New Roman" w:hAnsi="Times New Roman"/>
                <w:b w:val="0"/>
              </w:rPr>
              <w:t xml:space="preserve"> november</w:t>
            </w:r>
            <w:r w:rsidR="0094436D">
              <w:rPr>
                <w:rFonts w:ascii="Times New Roman" w:hAnsi="Times New Roman"/>
                <w:b w:val="0"/>
              </w:rPr>
              <w:t xml:space="preserve">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C7851E" w14:textId="77777777">
            <w:pPr>
              <w:ind w:firstLine="284"/>
            </w:pPr>
            <w:r w:rsidRPr="00EA69AC">
              <w:t>De ondergetekende stelt het volgende amendement voor:</w:t>
            </w:r>
          </w:p>
        </w:tc>
      </w:tr>
    </w:tbl>
    <w:p w:rsidRPr="00EA69AC" w:rsidR="004330ED" w:rsidP="00D774B3" w:rsidRDefault="004330ED" w14:paraId="31111856" w14:textId="77777777"/>
    <w:p w:rsidRPr="00EA69AC" w:rsidR="004330ED" w:rsidP="00EA1CE4" w:rsidRDefault="004330ED" w14:paraId="77DF5FF3" w14:textId="77777777">
      <w:r w:rsidRPr="00EA69AC">
        <w:t>I</w:t>
      </w:r>
    </w:p>
    <w:p w:rsidR="005B1DCC" w:rsidP="00BF623B" w:rsidRDefault="005B1DCC" w14:paraId="4F70DCC5" w14:textId="77777777"/>
    <w:p w:rsidRPr="00EA69AC" w:rsidR="0094436D" w:rsidP="00A079A9" w:rsidRDefault="0094436D" w14:paraId="58385A71" w14:textId="1236D131">
      <w:pPr>
        <w:ind w:firstLine="284"/>
      </w:pPr>
      <w:r>
        <w:t xml:space="preserve">In artikel I, onderdeel A, </w:t>
      </w:r>
      <w:r w:rsidR="00A02847">
        <w:t>onder 2</w:t>
      </w:r>
      <w:r>
        <w:t xml:space="preserve">, </w:t>
      </w:r>
      <w:r w:rsidR="00A02847">
        <w:t>sub</w:t>
      </w:r>
      <w:r>
        <w:t>onder</w:t>
      </w:r>
      <w:r w:rsidR="00A02847">
        <w:t>deel</w:t>
      </w:r>
      <w:r>
        <w:t xml:space="preserve"> a, wordt “0,</w:t>
      </w:r>
      <w:r w:rsidR="00E3450E">
        <w:t>07</w:t>
      </w:r>
      <w:r>
        <w:t xml:space="preserve">%-punt” vervangen </w:t>
      </w:r>
      <w:r w:rsidRPr="004B77E5">
        <w:t>door “</w:t>
      </w:r>
      <w:r w:rsidRPr="00F97A90" w:rsidR="004B77E5">
        <w:t>0,12%</w:t>
      </w:r>
      <w:r w:rsidRPr="004B77E5">
        <w:t>-punt</w:t>
      </w:r>
      <w:r>
        <w:t xml:space="preserve">”. </w:t>
      </w:r>
    </w:p>
    <w:p w:rsidR="0094436D" w:rsidP="0094436D" w:rsidRDefault="0094436D" w14:paraId="746A5259" w14:textId="77777777"/>
    <w:p w:rsidR="0094436D" w:rsidP="0094436D" w:rsidRDefault="0094436D" w14:paraId="6C59291B" w14:textId="729505B2">
      <w:r>
        <w:t>II</w:t>
      </w:r>
    </w:p>
    <w:p w:rsidR="0094436D" w:rsidP="0094436D" w:rsidRDefault="0094436D" w14:paraId="11982D92" w14:textId="77777777"/>
    <w:p w:rsidR="00B2756E" w:rsidP="00A079A9" w:rsidRDefault="004B77E5" w14:paraId="217F09B8" w14:textId="64D677EF">
      <w:pPr>
        <w:ind w:firstLine="284"/>
      </w:pPr>
      <w:r>
        <w:t>Na a</w:t>
      </w:r>
      <w:r w:rsidR="0094436D">
        <w:t xml:space="preserve">rtikel I, onderdeel </w:t>
      </w:r>
      <w:r>
        <w:t>G</w:t>
      </w:r>
      <w:r w:rsidR="0094436D">
        <w:t xml:space="preserve">, </w:t>
      </w:r>
      <w:r>
        <w:t>wordt een onderdeel ingevoegd, luidende</w:t>
      </w:r>
      <w:r w:rsidR="00B2756E">
        <w:t xml:space="preserve">: </w:t>
      </w:r>
    </w:p>
    <w:p w:rsidR="00B2756E" w:rsidP="0094436D" w:rsidRDefault="00B2756E" w14:paraId="1057CD93" w14:textId="77777777"/>
    <w:p w:rsidR="004B77E5" w:rsidP="0094436D" w:rsidRDefault="008C50F5" w14:paraId="34A9987A" w14:textId="2517A447">
      <w:r>
        <w:t>Ga</w:t>
      </w:r>
    </w:p>
    <w:p w:rsidR="004B77E5" w:rsidP="0094436D" w:rsidRDefault="004B77E5" w14:paraId="1B5F16E3" w14:textId="77777777"/>
    <w:p w:rsidR="00B2756E" w:rsidP="00A079A9" w:rsidRDefault="00B2756E" w14:paraId="2D4121BD" w14:textId="1B1CA318">
      <w:pPr>
        <w:ind w:firstLine="284"/>
      </w:pPr>
      <w:r w:rsidRPr="00B2756E">
        <w:t xml:space="preserve">Artikel 8.11, tweede lid, eerste zin, wordt als volgt gewijzigd: </w:t>
      </w:r>
    </w:p>
    <w:p w:rsidR="006E211C" w:rsidP="0094436D" w:rsidRDefault="006E211C" w14:paraId="62D8C390" w14:textId="77777777"/>
    <w:p w:rsidR="006E211C" w:rsidP="00A079A9" w:rsidRDefault="008C50F5" w14:paraId="3BAFF506" w14:textId="12C3FF97">
      <w:pPr>
        <w:ind w:firstLine="284"/>
      </w:pPr>
      <w:r>
        <w:t xml:space="preserve">1. </w:t>
      </w:r>
      <w:r w:rsidRPr="00B2756E" w:rsidR="006E211C">
        <w:t xml:space="preserve">Het in onderdeel </w:t>
      </w:r>
      <w:r w:rsidR="006E211C">
        <w:t>a</w:t>
      </w:r>
      <w:r w:rsidRPr="00B2756E" w:rsidR="006E211C">
        <w:t xml:space="preserve"> vermelde bedrag wordt ve</w:t>
      </w:r>
      <w:r w:rsidR="006E211C">
        <w:t>rlaagd</w:t>
      </w:r>
      <w:r w:rsidRPr="00B2756E" w:rsidR="006E211C">
        <w:t xml:space="preserve"> met € </w:t>
      </w:r>
      <w:r w:rsidR="004B77E5">
        <w:t>5</w:t>
      </w:r>
      <w:r w:rsidRPr="00B2756E" w:rsidR="006E211C">
        <w:t>.</w:t>
      </w:r>
    </w:p>
    <w:p w:rsidR="00A079A9" w:rsidP="00F97A90" w:rsidRDefault="00A079A9" w14:paraId="394AC8A8" w14:textId="77777777"/>
    <w:p w:rsidR="006E211C" w:rsidP="00A079A9" w:rsidRDefault="008C50F5" w14:paraId="5BDB2AE3" w14:textId="4DB1CE79">
      <w:pPr>
        <w:ind w:firstLine="284"/>
      </w:pPr>
      <w:r>
        <w:t xml:space="preserve">2. </w:t>
      </w:r>
      <w:r w:rsidRPr="00B2756E" w:rsidR="00B2756E">
        <w:t>Het in onderdeel b als tweede vermelde bedrag wordt ve</w:t>
      </w:r>
      <w:r w:rsidR="00B2756E">
        <w:t>rlaagd</w:t>
      </w:r>
      <w:r w:rsidRPr="00B2756E" w:rsidR="00B2756E">
        <w:t xml:space="preserve"> met € </w:t>
      </w:r>
      <w:r w:rsidR="004B77E5">
        <w:t>25</w:t>
      </w:r>
      <w:r w:rsidRPr="00B2756E" w:rsidR="00B2756E">
        <w:t xml:space="preserve">. </w:t>
      </w:r>
    </w:p>
    <w:p w:rsidR="00A079A9" w:rsidP="008C50F5" w:rsidRDefault="00A079A9" w14:paraId="7EAD4E13" w14:textId="77777777"/>
    <w:p w:rsidR="0094436D" w:rsidP="00A079A9" w:rsidRDefault="008C50F5" w14:paraId="55B5CE9D" w14:textId="0FB06F5F">
      <w:pPr>
        <w:ind w:firstLine="284"/>
      </w:pPr>
      <w:r>
        <w:t xml:space="preserve">3. </w:t>
      </w:r>
      <w:r w:rsidRPr="00B2756E" w:rsidR="00B2756E">
        <w:t>Het in onderdeel c als tweede vermelde bedrag wordt ver</w:t>
      </w:r>
      <w:r w:rsidR="00B2756E">
        <w:t>laagd</w:t>
      </w:r>
      <w:r w:rsidRPr="00B2756E" w:rsidR="00B2756E">
        <w:t xml:space="preserve"> met € </w:t>
      </w:r>
      <w:r w:rsidR="004B77E5">
        <w:t>27</w:t>
      </w:r>
      <w:r w:rsidR="00B2756E">
        <w:t>.</w:t>
      </w:r>
    </w:p>
    <w:p w:rsidR="008C50F5" w:rsidP="0094436D" w:rsidRDefault="008C50F5" w14:paraId="5ECADD57" w14:textId="77777777"/>
    <w:p w:rsidR="008C50F5" w:rsidP="0094436D" w:rsidRDefault="008C50F5" w14:paraId="738EEB6C" w14:textId="006DCD12">
      <w:r>
        <w:t>III</w:t>
      </w:r>
    </w:p>
    <w:p w:rsidR="008C50F5" w:rsidP="0094436D" w:rsidRDefault="008C50F5" w14:paraId="4041EDB9" w14:textId="77777777"/>
    <w:p w:rsidR="008C50F5" w:rsidP="00A079A9" w:rsidRDefault="008C50F5" w14:paraId="1634D01F" w14:textId="3F2DFACC">
      <w:pPr>
        <w:ind w:firstLine="284"/>
      </w:pPr>
      <w:r>
        <w:t>Artikel IIA komt te luiden:</w:t>
      </w:r>
    </w:p>
    <w:p w:rsidR="003701DE" w:rsidP="0094436D" w:rsidRDefault="003701DE" w14:paraId="170D79C2" w14:textId="77777777"/>
    <w:p w:rsidRPr="00A079A9" w:rsidR="003701DE" w:rsidP="0094436D" w:rsidRDefault="00A079A9" w14:paraId="30022BF6" w14:textId="0B567D0A">
      <w:pPr>
        <w:rPr>
          <w:b/>
          <w:bCs/>
        </w:rPr>
      </w:pPr>
      <w:r w:rsidRPr="00A079A9">
        <w:rPr>
          <w:b/>
          <w:bCs/>
        </w:rPr>
        <w:t>ARTIKEL IIA</w:t>
      </w:r>
    </w:p>
    <w:p w:rsidR="008C50F5" w:rsidP="0094436D" w:rsidRDefault="008C50F5" w14:paraId="1FA19FF7" w14:textId="77777777"/>
    <w:p w:rsidR="008C50F5" w:rsidP="00A079A9" w:rsidRDefault="003701DE" w14:paraId="107B7E9B" w14:textId="2726B03B">
      <w:pPr>
        <w:ind w:firstLine="284"/>
      </w:pPr>
      <w:bookmarkStart w:name="_Hlk214792408" w:id="0"/>
      <w:r>
        <w:t xml:space="preserve">In </w:t>
      </w:r>
      <w:r w:rsidRPr="008C50F5" w:rsidR="008C50F5">
        <w:t>de Wet inkomstenbelasting 2001 word</w:t>
      </w:r>
      <w:r w:rsidR="008C50F5">
        <w:t>t</w:t>
      </w:r>
      <w:r w:rsidRPr="008C50F5" w:rsidR="008C50F5">
        <w:t xml:space="preserve"> met ingang van 1 januari 20</w:t>
      </w:r>
      <w:r w:rsidR="008C50F5">
        <w:t xml:space="preserve">31 </w:t>
      </w:r>
      <w:r>
        <w:t xml:space="preserve">artikel 8.11, tweede lid, eerste zin, </w:t>
      </w:r>
      <w:r w:rsidR="008C50F5">
        <w:t>als volgt gewijzigd:</w:t>
      </w:r>
    </w:p>
    <w:p w:rsidR="008C50F5" w:rsidP="0094436D" w:rsidRDefault="008C50F5" w14:paraId="53326940" w14:textId="77777777"/>
    <w:p w:rsidR="008C50F5" w:rsidP="00A079A9" w:rsidRDefault="008C50F5" w14:paraId="660B5B98" w14:textId="7E10A6B3">
      <w:pPr>
        <w:ind w:firstLine="284"/>
      </w:pPr>
      <w:r>
        <w:t>1.</w:t>
      </w:r>
      <w:r>
        <w:tab/>
        <w:t>Het in onderdeel a vermelde bedrag wordt verlaagd met € 1.</w:t>
      </w:r>
    </w:p>
    <w:p w:rsidR="00A079A9" w:rsidP="008C50F5" w:rsidRDefault="00A079A9" w14:paraId="70D95E06" w14:textId="77777777"/>
    <w:p w:rsidR="008C50F5" w:rsidP="00A079A9" w:rsidRDefault="008C50F5" w14:paraId="5CC5BEBE" w14:textId="432801C9">
      <w:pPr>
        <w:ind w:firstLine="284"/>
      </w:pPr>
      <w:r>
        <w:t>2.</w:t>
      </w:r>
      <w:r>
        <w:tab/>
        <w:t xml:space="preserve">Het in onderdeel b als tweede vermelde bedrag wordt verlaagd met € 5. </w:t>
      </w:r>
    </w:p>
    <w:p w:rsidR="00A079A9" w:rsidP="008C50F5" w:rsidRDefault="00A079A9" w14:paraId="3834E1D4" w14:textId="77777777"/>
    <w:p w:rsidR="008C50F5" w:rsidP="00A079A9" w:rsidRDefault="008C50F5" w14:paraId="65C22617" w14:textId="73344B2D">
      <w:pPr>
        <w:ind w:firstLine="284"/>
      </w:pPr>
      <w:r>
        <w:t>3.</w:t>
      </w:r>
      <w:r>
        <w:tab/>
        <w:t>Het in onderdeel c als tweede vermelde bedrag wordt verlaagd met € 5.</w:t>
      </w:r>
    </w:p>
    <w:bookmarkEnd w:id="0"/>
    <w:p w:rsidR="008C50F5" w:rsidP="008C50F5" w:rsidRDefault="008C50F5" w14:paraId="3BED0AD4" w14:textId="77777777"/>
    <w:p w:rsidR="008C50F5" w:rsidP="008C50F5" w:rsidRDefault="008C50F5" w14:paraId="5C84081F" w14:textId="1C377567">
      <w:r>
        <w:lastRenderedPageBreak/>
        <w:t>IV</w:t>
      </w:r>
    </w:p>
    <w:p w:rsidR="008C50F5" w:rsidP="008C50F5" w:rsidRDefault="008C50F5" w14:paraId="78751900" w14:textId="77777777"/>
    <w:p w:rsidR="008C50F5" w:rsidP="00A079A9" w:rsidRDefault="008C50F5" w14:paraId="6990C0ED" w14:textId="43F6F609">
      <w:pPr>
        <w:ind w:firstLine="284"/>
      </w:pPr>
      <w:r>
        <w:t>Artikel IIB komt te luiden:</w:t>
      </w:r>
    </w:p>
    <w:p w:rsidR="003701DE" w:rsidP="008C50F5" w:rsidRDefault="003701DE" w14:paraId="368E6204" w14:textId="77777777"/>
    <w:p w:rsidRPr="00A079A9" w:rsidR="003701DE" w:rsidP="008C50F5" w:rsidRDefault="00A079A9" w14:paraId="1A845E30" w14:textId="476096CA">
      <w:pPr>
        <w:rPr>
          <w:b/>
          <w:bCs/>
        </w:rPr>
      </w:pPr>
      <w:r w:rsidRPr="00A079A9">
        <w:rPr>
          <w:b/>
          <w:bCs/>
        </w:rPr>
        <w:t>ARTIKEL IIB</w:t>
      </w:r>
    </w:p>
    <w:p w:rsidR="008C50F5" w:rsidP="008C50F5" w:rsidRDefault="008C50F5" w14:paraId="16EED0E0" w14:textId="77777777"/>
    <w:p w:rsidR="008C50F5" w:rsidP="00A079A9" w:rsidRDefault="003701DE" w14:paraId="5FE34948" w14:textId="1AEA288C">
      <w:pPr>
        <w:ind w:firstLine="284"/>
      </w:pPr>
      <w:r>
        <w:t xml:space="preserve">In </w:t>
      </w:r>
      <w:r w:rsidRPr="008C50F5" w:rsidR="008C50F5">
        <w:t>de Wet inkomstenbelasting 2001 word</w:t>
      </w:r>
      <w:r w:rsidR="008C50F5">
        <w:t>t</w:t>
      </w:r>
      <w:r w:rsidRPr="008C50F5" w:rsidR="008C50F5">
        <w:t xml:space="preserve"> met ingang van 1 januari 20</w:t>
      </w:r>
      <w:r w:rsidR="008C50F5">
        <w:t xml:space="preserve">32 </w:t>
      </w:r>
      <w:r>
        <w:t>artikel 8.11, tweede lid, eerste zin,</w:t>
      </w:r>
      <w:r w:rsidRPr="008C50F5">
        <w:t xml:space="preserve"> </w:t>
      </w:r>
      <w:r w:rsidR="008C50F5">
        <w:t>als volgt gewijzigd:</w:t>
      </w:r>
    </w:p>
    <w:p w:rsidR="008C50F5" w:rsidP="008C50F5" w:rsidRDefault="008C50F5" w14:paraId="2D7F4A91" w14:textId="77777777"/>
    <w:p w:rsidR="008C50F5" w:rsidP="00A079A9" w:rsidRDefault="008C50F5" w14:paraId="075C5660" w14:textId="77777777">
      <w:pPr>
        <w:ind w:firstLine="284"/>
      </w:pPr>
      <w:r>
        <w:t>1.</w:t>
      </w:r>
      <w:r>
        <w:tab/>
        <w:t>Het in onderdeel a vermelde bedrag wordt verlaagd met € 1.</w:t>
      </w:r>
    </w:p>
    <w:p w:rsidR="00A079A9" w:rsidP="008C50F5" w:rsidRDefault="00A079A9" w14:paraId="040998CC" w14:textId="77777777"/>
    <w:p w:rsidR="008C50F5" w:rsidP="00A079A9" w:rsidRDefault="008C50F5" w14:paraId="7C6A4F1A" w14:textId="269382B1">
      <w:pPr>
        <w:ind w:firstLine="284"/>
      </w:pPr>
      <w:r>
        <w:t>2.</w:t>
      </w:r>
      <w:r>
        <w:tab/>
        <w:t xml:space="preserve">Het in onderdeel b als tweede vermelde bedrag wordt verlaagd met € </w:t>
      </w:r>
      <w:r w:rsidR="00196518">
        <w:t>7</w:t>
      </w:r>
      <w:r>
        <w:t xml:space="preserve">. </w:t>
      </w:r>
    </w:p>
    <w:p w:rsidR="00A079A9" w:rsidP="008C50F5" w:rsidRDefault="00A079A9" w14:paraId="184A0A93" w14:textId="77777777"/>
    <w:p w:rsidR="008C50F5" w:rsidP="00A079A9" w:rsidRDefault="008C50F5" w14:paraId="15699B6C" w14:textId="173CF32F">
      <w:pPr>
        <w:ind w:firstLine="284"/>
      </w:pPr>
      <w:r>
        <w:t>3.</w:t>
      </w:r>
      <w:r>
        <w:tab/>
        <w:t xml:space="preserve">Het in onderdeel c als tweede vermelde bedrag wordt verlaagd met € </w:t>
      </w:r>
      <w:r w:rsidR="00196518">
        <w:t>8</w:t>
      </w:r>
      <w:r>
        <w:t>.</w:t>
      </w:r>
    </w:p>
    <w:p w:rsidR="008C50F5" w:rsidP="008C50F5" w:rsidRDefault="008C50F5" w14:paraId="45A2257C" w14:textId="77777777"/>
    <w:p w:rsidR="008C50F5" w:rsidP="0094436D" w:rsidRDefault="00196518" w14:paraId="0FC7C265" w14:textId="12E15186">
      <w:r>
        <w:t>V</w:t>
      </w:r>
    </w:p>
    <w:p w:rsidR="00196518" w:rsidP="0094436D" w:rsidRDefault="00196518" w14:paraId="75C39952" w14:textId="77777777"/>
    <w:p w:rsidR="00196518" w:rsidP="00A079A9" w:rsidRDefault="00196518" w14:paraId="49285B6A" w14:textId="3AEEE07E">
      <w:pPr>
        <w:ind w:firstLine="284"/>
      </w:pPr>
      <w:r>
        <w:t>Artikel IIC komt te luiden:</w:t>
      </w:r>
    </w:p>
    <w:p w:rsidR="003701DE" w:rsidP="0094436D" w:rsidRDefault="003701DE" w14:paraId="1D9FE0D6" w14:textId="77777777"/>
    <w:p w:rsidRPr="00A079A9" w:rsidR="003701DE" w:rsidP="0094436D" w:rsidRDefault="00A079A9" w14:paraId="7F8CFF41" w14:textId="4B31EAED">
      <w:pPr>
        <w:rPr>
          <w:b/>
          <w:bCs/>
        </w:rPr>
      </w:pPr>
      <w:r w:rsidRPr="00A079A9">
        <w:rPr>
          <w:b/>
          <w:bCs/>
        </w:rPr>
        <w:t>ARTIKEL IIC</w:t>
      </w:r>
    </w:p>
    <w:p w:rsidR="00196518" w:rsidP="0094436D" w:rsidRDefault="00196518" w14:paraId="72BF7356" w14:textId="77777777"/>
    <w:p w:rsidR="00196518" w:rsidP="00A079A9" w:rsidRDefault="003701DE" w14:paraId="364ED6E9" w14:textId="2422428D">
      <w:pPr>
        <w:ind w:firstLine="284"/>
      </w:pPr>
      <w:r>
        <w:t xml:space="preserve">In </w:t>
      </w:r>
      <w:r w:rsidR="00196518">
        <w:t xml:space="preserve">de Wet inkomstenbelasting 2001 wordt met ingang van 1 januari 2033 </w:t>
      </w:r>
      <w:r>
        <w:t xml:space="preserve">artikel 8.11, tweede lid, eerste zin, </w:t>
      </w:r>
      <w:r w:rsidR="00196518">
        <w:t>als volgt gewijzigd:</w:t>
      </w:r>
    </w:p>
    <w:p w:rsidR="00196518" w:rsidP="00196518" w:rsidRDefault="00196518" w14:paraId="09976FFB" w14:textId="77777777"/>
    <w:p w:rsidR="00196518" w:rsidP="00A079A9" w:rsidRDefault="00196518" w14:paraId="11AFA0AA" w14:textId="77777777">
      <w:pPr>
        <w:ind w:firstLine="284"/>
      </w:pPr>
      <w:r>
        <w:t>1.</w:t>
      </w:r>
      <w:r>
        <w:tab/>
        <w:t>Het in onderdeel a vermelde bedrag wordt verlaagd met € 1.</w:t>
      </w:r>
    </w:p>
    <w:p w:rsidR="00A079A9" w:rsidP="00196518" w:rsidRDefault="00A079A9" w14:paraId="5DA3A941" w14:textId="77777777"/>
    <w:p w:rsidR="00196518" w:rsidP="00A079A9" w:rsidRDefault="00196518" w14:paraId="19B3613E" w14:textId="199E0146">
      <w:pPr>
        <w:ind w:firstLine="284"/>
      </w:pPr>
      <w:r>
        <w:t>2.</w:t>
      </w:r>
      <w:r>
        <w:tab/>
        <w:t xml:space="preserve">Het in onderdeel b als tweede vermelde bedrag wordt verlaagd met € 3. </w:t>
      </w:r>
    </w:p>
    <w:p w:rsidR="00A079A9" w:rsidP="00196518" w:rsidRDefault="00A079A9" w14:paraId="5D23659B" w14:textId="77777777"/>
    <w:p w:rsidR="00196518" w:rsidP="00A079A9" w:rsidRDefault="00196518" w14:paraId="5D7B461B" w14:textId="1A94E50A">
      <w:pPr>
        <w:ind w:firstLine="284"/>
      </w:pPr>
      <w:r>
        <w:t>3.</w:t>
      </w:r>
      <w:r>
        <w:tab/>
        <w:t>Het in onderdeel c als tweede vermelde bedrag wordt verlaagd met € 3.</w:t>
      </w:r>
    </w:p>
    <w:p w:rsidR="00196518" w:rsidP="0094436D" w:rsidRDefault="00196518" w14:paraId="79A27E99" w14:textId="77777777"/>
    <w:p w:rsidR="00196518" w:rsidP="0094436D" w:rsidRDefault="00196518" w14:paraId="36E95DA0" w14:textId="03D9430B">
      <w:r>
        <w:t>VI</w:t>
      </w:r>
    </w:p>
    <w:p w:rsidR="00196518" w:rsidP="0094436D" w:rsidRDefault="00196518" w14:paraId="28F3974D" w14:textId="77777777"/>
    <w:p w:rsidR="008C50F5" w:rsidP="00A079A9" w:rsidRDefault="00196518" w14:paraId="16C18F75" w14:textId="107DB8B6">
      <w:pPr>
        <w:ind w:firstLine="284"/>
      </w:pPr>
      <w:r>
        <w:t>Artikel</w:t>
      </w:r>
      <w:r w:rsidR="008C50F5">
        <w:t xml:space="preserve"> IID verval</w:t>
      </w:r>
      <w:r>
        <w:t>t</w:t>
      </w:r>
    </w:p>
    <w:p w:rsidR="008C50F5" w:rsidP="0094436D" w:rsidRDefault="008C50F5" w14:paraId="407380FC" w14:textId="77777777"/>
    <w:p w:rsidR="0094436D" w:rsidP="0094436D" w:rsidRDefault="008C50F5" w14:paraId="081F72E4" w14:textId="63FA8A97">
      <w:r>
        <w:t>V</w:t>
      </w:r>
      <w:r w:rsidR="00196518">
        <w:t>II</w:t>
      </w:r>
    </w:p>
    <w:p w:rsidR="0094436D" w:rsidP="0094436D" w:rsidRDefault="0094436D" w14:paraId="100C3599" w14:textId="77777777"/>
    <w:p w:rsidR="0094436D" w:rsidP="00A079A9" w:rsidRDefault="0094436D" w14:paraId="697A8129" w14:textId="34E7BAAC">
      <w:pPr>
        <w:ind w:firstLine="284"/>
      </w:pPr>
      <w:r>
        <w:t xml:space="preserve">In artikel III, onderdeel B, </w:t>
      </w:r>
      <w:r w:rsidR="00A02847">
        <w:t>onder 2</w:t>
      </w:r>
      <w:r>
        <w:t xml:space="preserve">, </w:t>
      </w:r>
      <w:r w:rsidR="00A02847">
        <w:t>sub</w:t>
      </w:r>
      <w:r>
        <w:t>onder</w:t>
      </w:r>
      <w:r w:rsidR="00A02847">
        <w:t>deel</w:t>
      </w:r>
      <w:r>
        <w:t xml:space="preserve"> a, wordt “0,</w:t>
      </w:r>
      <w:r w:rsidR="00E3450E">
        <w:t>07</w:t>
      </w:r>
      <w:r>
        <w:t xml:space="preserve">%-punt” vervangen door </w:t>
      </w:r>
      <w:r w:rsidRPr="004B77E5">
        <w:t>“</w:t>
      </w:r>
      <w:r w:rsidRPr="00F97A90" w:rsidR="004B77E5">
        <w:t>0,12%</w:t>
      </w:r>
      <w:r w:rsidRPr="004B77E5">
        <w:t>-punt</w:t>
      </w:r>
      <w:r>
        <w:t>”.</w:t>
      </w:r>
    </w:p>
    <w:p w:rsidR="0094436D" w:rsidP="0094436D" w:rsidRDefault="0094436D" w14:paraId="01184B34" w14:textId="77777777"/>
    <w:p w:rsidR="003418F3" w:rsidP="0094436D" w:rsidRDefault="003418F3" w14:paraId="3F9F4C57" w14:textId="38F12B6E">
      <w:r>
        <w:t>V</w:t>
      </w:r>
      <w:r w:rsidR="00196518">
        <w:t>III</w:t>
      </w:r>
    </w:p>
    <w:p w:rsidR="003418F3" w:rsidP="0094436D" w:rsidRDefault="003418F3" w14:paraId="09F4F53B" w14:textId="77777777"/>
    <w:p w:rsidR="003418F3" w:rsidP="00A079A9" w:rsidRDefault="004B77E5" w14:paraId="1B74A725" w14:textId="02906384">
      <w:pPr>
        <w:ind w:firstLine="284"/>
      </w:pPr>
      <w:r>
        <w:t>Na a</w:t>
      </w:r>
      <w:r w:rsidR="003418F3">
        <w:t xml:space="preserve">rtikel III, onderdeel </w:t>
      </w:r>
      <w:r>
        <w:t>B</w:t>
      </w:r>
      <w:r w:rsidR="003418F3">
        <w:t xml:space="preserve">, </w:t>
      </w:r>
      <w:r>
        <w:t>wordt een onderdeel ingevoegd, luidende</w:t>
      </w:r>
      <w:r w:rsidR="006E211C">
        <w:t xml:space="preserve">: </w:t>
      </w:r>
    </w:p>
    <w:p w:rsidR="006E211C" w:rsidP="0094436D" w:rsidRDefault="006E211C" w14:paraId="32C81930" w14:textId="77777777"/>
    <w:p w:rsidR="00F97A90" w:rsidP="0094436D" w:rsidRDefault="00F97A90" w14:paraId="1169BDA8" w14:textId="755111E2">
      <w:r>
        <w:t>Ba</w:t>
      </w:r>
    </w:p>
    <w:p w:rsidR="00F97A90" w:rsidP="0094436D" w:rsidRDefault="00F97A90" w14:paraId="59B92EFB" w14:textId="77777777"/>
    <w:p w:rsidR="006E211C" w:rsidP="00A079A9" w:rsidRDefault="006E211C" w14:paraId="54563D36" w14:textId="209D9DBD">
      <w:pPr>
        <w:ind w:firstLine="284"/>
      </w:pPr>
      <w:r>
        <w:t xml:space="preserve">Artikel 22a, tweede lid, wordt als volgt gewijzigd: </w:t>
      </w:r>
    </w:p>
    <w:p w:rsidR="006E211C" w:rsidP="0094436D" w:rsidRDefault="006E211C" w14:paraId="361F073D" w14:textId="77777777"/>
    <w:p w:rsidR="006E211C" w:rsidP="006E211C" w:rsidRDefault="006E211C" w14:paraId="77AB0938" w14:textId="78467473">
      <w:pPr>
        <w:pStyle w:val="Lijstalinea"/>
        <w:numPr>
          <w:ilvl w:val="0"/>
          <w:numId w:val="2"/>
        </w:numPr>
      </w:pPr>
      <w:r w:rsidRPr="00B2756E">
        <w:t xml:space="preserve">Het in onderdeel </w:t>
      </w:r>
      <w:r>
        <w:t>a</w:t>
      </w:r>
      <w:r w:rsidRPr="00B2756E">
        <w:t xml:space="preserve"> vermelde bedrag wordt ve</w:t>
      </w:r>
      <w:r>
        <w:t>rlaagd</w:t>
      </w:r>
      <w:r w:rsidRPr="00B2756E">
        <w:t xml:space="preserve"> met € </w:t>
      </w:r>
      <w:r w:rsidR="004B77E5">
        <w:t>5</w:t>
      </w:r>
      <w:r w:rsidRPr="00B2756E">
        <w:t>.</w:t>
      </w:r>
    </w:p>
    <w:p w:rsidR="00A079A9" w:rsidP="00A079A9" w:rsidRDefault="00A079A9" w14:paraId="6F6E2384" w14:textId="77777777">
      <w:pPr>
        <w:pStyle w:val="Lijstalinea"/>
      </w:pPr>
    </w:p>
    <w:p w:rsidR="006E211C" w:rsidP="006E211C" w:rsidRDefault="006E211C" w14:paraId="778D97DC" w14:textId="41EE5425">
      <w:pPr>
        <w:pStyle w:val="Lijstalinea"/>
        <w:numPr>
          <w:ilvl w:val="0"/>
          <w:numId w:val="2"/>
        </w:numPr>
      </w:pPr>
      <w:r w:rsidRPr="00B2756E">
        <w:t>Het in onderdeel b als tweede vermelde bedrag wordt ve</w:t>
      </w:r>
      <w:r>
        <w:t>rlaagd</w:t>
      </w:r>
      <w:r w:rsidRPr="00B2756E">
        <w:t xml:space="preserve"> met € </w:t>
      </w:r>
      <w:r w:rsidR="004B77E5">
        <w:t>25</w:t>
      </w:r>
      <w:r w:rsidRPr="00B2756E">
        <w:t xml:space="preserve">. </w:t>
      </w:r>
    </w:p>
    <w:p w:rsidR="00A079A9" w:rsidP="00A079A9" w:rsidRDefault="00A079A9" w14:paraId="6DD05481" w14:textId="77777777">
      <w:pPr>
        <w:pStyle w:val="Lijstalinea"/>
      </w:pPr>
    </w:p>
    <w:p w:rsidR="006E211C" w:rsidP="00F97A90" w:rsidRDefault="006E211C" w14:paraId="599CA9DB" w14:textId="6F1EDD4A">
      <w:pPr>
        <w:pStyle w:val="Lijstalinea"/>
        <w:numPr>
          <w:ilvl w:val="0"/>
          <w:numId w:val="2"/>
        </w:numPr>
      </w:pPr>
      <w:r w:rsidRPr="00B2756E">
        <w:t>Het in onderdeel c als tweede vermelde bedrag wordt ver</w:t>
      </w:r>
      <w:r>
        <w:t>laagd</w:t>
      </w:r>
      <w:r w:rsidRPr="00B2756E">
        <w:t xml:space="preserve"> met € </w:t>
      </w:r>
      <w:r w:rsidR="004B77E5">
        <w:t>27</w:t>
      </w:r>
      <w:r>
        <w:t>.</w:t>
      </w:r>
    </w:p>
    <w:p w:rsidR="008C50F5" w:rsidP="0094436D" w:rsidRDefault="008C50F5" w14:paraId="1F24EF6A" w14:textId="77777777"/>
    <w:p w:rsidR="008C50F5" w:rsidP="0094436D" w:rsidRDefault="008C50F5" w14:paraId="39C686BA" w14:textId="33A8E18E">
      <w:r>
        <w:lastRenderedPageBreak/>
        <w:t>I</w:t>
      </w:r>
      <w:r w:rsidR="00196518">
        <w:t>X</w:t>
      </w:r>
    </w:p>
    <w:p w:rsidR="00196518" w:rsidP="0094436D" w:rsidRDefault="00196518" w14:paraId="2A32C619" w14:textId="77777777"/>
    <w:p w:rsidR="00196518" w:rsidP="00A079A9" w:rsidRDefault="00196518" w14:paraId="7AB24927" w14:textId="5470FA8C">
      <w:pPr>
        <w:ind w:firstLine="284"/>
      </w:pPr>
      <w:r>
        <w:t>Artikel IVA komt te luiden:</w:t>
      </w:r>
    </w:p>
    <w:p w:rsidR="00EA0EC7" w:rsidP="0094436D" w:rsidRDefault="00EA0EC7" w14:paraId="601F7ADD" w14:textId="77777777"/>
    <w:p w:rsidRPr="00A079A9" w:rsidR="00EA0EC7" w:rsidP="0094436D" w:rsidRDefault="00A079A9" w14:paraId="6B68FFC1" w14:textId="7AC2F6FF">
      <w:pPr>
        <w:rPr>
          <w:b/>
          <w:bCs/>
        </w:rPr>
      </w:pPr>
      <w:r w:rsidRPr="00A079A9">
        <w:rPr>
          <w:b/>
          <w:bCs/>
        </w:rPr>
        <w:t>ARTIKEL IVA</w:t>
      </w:r>
    </w:p>
    <w:p w:rsidR="00196518" w:rsidP="0094436D" w:rsidRDefault="00196518" w14:paraId="34CB4861" w14:textId="77777777"/>
    <w:p w:rsidR="00196518" w:rsidP="00A079A9" w:rsidRDefault="00EA0EC7" w14:paraId="6DF8DA4E" w14:textId="515FDDD5">
      <w:pPr>
        <w:ind w:firstLine="284"/>
      </w:pPr>
      <w:bookmarkStart w:name="_Hlk214792781" w:id="1"/>
      <w:r>
        <w:t xml:space="preserve">In </w:t>
      </w:r>
      <w:r w:rsidR="00196518">
        <w:t xml:space="preserve">de Wet op de loonbelasting 1964 wordt met ingang van 1 januari 2031 </w:t>
      </w:r>
      <w:r>
        <w:t xml:space="preserve">artikel 22a, tweede lid, </w:t>
      </w:r>
      <w:r w:rsidR="00196518">
        <w:t>als volgt gewijzigd:</w:t>
      </w:r>
    </w:p>
    <w:p w:rsidR="00196518" w:rsidP="00196518" w:rsidRDefault="00196518" w14:paraId="7EDBC8C2" w14:textId="77777777"/>
    <w:p w:rsidR="00196518" w:rsidP="00A079A9" w:rsidRDefault="00196518" w14:paraId="50B1C65E" w14:textId="77777777">
      <w:pPr>
        <w:ind w:firstLine="284"/>
      </w:pPr>
      <w:r>
        <w:t>1.</w:t>
      </w:r>
      <w:r>
        <w:tab/>
        <w:t>Het in onderdeel a vermelde bedrag wordt verlaagd met € 1.</w:t>
      </w:r>
    </w:p>
    <w:p w:rsidR="00A079A9" w:rsidP="00196518" w:rsidRDefault="00A079A9" w14:paraId="44F99966" w14:textId="77777777"/>
    <w:p w:rsidR="00196518" w:rsidP="00A079A9" w:rsidRDefault="00196518" w14:paraId="4F13E2C8" w14:textId="77777777">
      <w:pPr>
        <w:ind w:firstLine="284"/>
      </w:pPr>
      <w:r>
        <w:t>2.</w:t>
      </w:r>
      <w:r>
        <w:tab/>
        <w:t xml:space="preserve">Het in onderdeel b als tweede vermelde bedrag wordt verlaagd met € 5. </w:t>
      </w:r>
    </w:p>
    <w:p w:rsidR="00A079A9" w:rsidP="00196518" w:rsidRDefault="00A079A9" w14:paraId="07202AA9" w14:textId="77777777"/>
    <w:p w:rsidR="008C50F5" w:rsidP="00A079A9" w:rsidRDefault="00196518" w14:paraId="04FB3E32" w14:textId="7B18F29B">
      <w:pPr>
        <w:ind w:firstLine="284"/>
      </w:pPr>
      <w:r>
        <w:t>3.</w:t>
      </w:r>
      <w:r>
        <w:tab/>
        <w:t>Het in onderdeel c als tweede vermelde bedrag wordt verlaagd met € 5.</w:t>
      </w:r>
    </w:p>
    <w:bookmarkEnd w:id="1"/>
    <w:p w:rsidR="00196518" w:rsidP="0094436D" w:rsidRDefault="00196518" w14:paraId="4CABDA3A" w14:textId="77777777"/>
    <w:p w:rsidR="00196518" w:rsidP="0094436D" w:rsidRDefault="00196518" w14:paraId="4A9B69A5" w14:textId="1F6DA6FC">
      <w:r>
        <w:t>X</w:t>
      </w:r>
    </w:p>
    <w:p w:rsidR="00196518" w:rsidP="0094436D" w:rsidRDefault="00196518" w14:paraId="5BF9D902" w14:textId="77777777"/>
    <w:p w:rsidR="00196518" w:rsidP="00A079A9" w:rsidRDefault="00196518" w14:paraId="145A5E09" w14:textId="2D5BF5B5">
      <w:pPr>
        <w:ind w:firstLine="284"/>
      </w:pPr>
      <w:r>
        <w:t>Artikel IVB komt te luiden:</w:t>
      </w:r>
    </w:p>
    <w:p w:rsidRPr="00A079A9" w:rsidR="00EA0EC7" w:rsidP="0094436D" w:rsidRDefault="00EA0EC7" w14:paraId="79D9BEB9" w14:textId="77777777">
      <w:pPr>
        <w:rPr>
          <w:b/>
          <w:bCs/>
        </w:rPr>
      </w:pPr>
    </w:p>
    <w:p w:rsidRPr="00A079A9" w:rsidR="00EA0EC7" w:rsidP="0094436D" w:rsidRDefault="00A079A9" w14:paraId="1CCFC68A" w14:textId="2AA88640">
      <w:pPr>
        <w:rPr>
          <w:b/>
          <w:bCs/>
        </w:rPr>
      </w:pPr>
      <w:r w:rsidRPr="00A079A9">
        <w:rPr>
          <w:b/>
          <w:bCs/>
        </w:rPr>
        <w:t>ARTIKEL IVB</w:t>
      </w:r>
    </w:p>
    <w:p w:rsidR="00196518" w:rsidP="0094436D" w:rsidRDefault="00196518" w14:paraId="23E818E2" w14:textId="77777777"/>
    <w:p w:rsidR="00196518" w:rsidP="00A079A9" w:rsidRDefault="00EA0EC7" w14:paraId="32A82BB5" w14:textId="4E80045F">
      <w:pPr>
        <w:ind w:firstLine="284"/>
      </w:pPr>
      <w:r>
        <w:t xml:space="preserve">In </w:t>
      </w:r>
      <w:r w:rsidR="00196518">
        <w:t xml:space="preserve">de Wet op de loonbelasting 1964 wordt met ingang van 1 januari 2032 </w:t>
      </w:r>
      <w:r>
        <w:t xml:space="preserve">artikel 22a, tweede lid, </w:t>
      </w:r>
      <w:r w:rsidR="00196518">
        <w:t>als volgt gewijzigd:</w:t>
      </w:r>
    </w:p>
    <w:p w:rsidR="00196518" w:rsidP="00196518" w:rsidRDefault="00196518" w14:paraId="78A18855" w14:textId="77777777"/>
    <w:p w:rsidR="00196518" w:rsidP="00A079A9" w:rsidRDefault="00196518" w14:paraId="67F80CF4" w14:textId="77777777">
      <w:pPr>
        <w:ind w:firstLine="284"/>
      </w:pPr>
      <w:r>
        <w:t>1.</w:t>
      </w:r>
      <w:r>
        <w:tab/>
        <w:t>Het in onderdeel a vermelde bedrag wordt verlaagd met € 1.</w:t>
      </w:r>
    </w:p>
    <w:p w:rsidR="00A079A9" w:rsidP="00196518" w:rsidRDefault="00A079A9" w14:paraId="25BEFB5C" w14:textId="77777777"/>
    <w:p w:rsidR="00196518" w:rsidP="00A079A9" w:rsidRDefault="00196518" w14:paraId="3215D205" w14:textId="6D02F6B2">
      <w:pPr>
        <w:ind w:firstLine="284"/>
      </w:pPr>
      <w:r>
        <w:t>2.</w:t>
      </w:r>
      <w:r>
        <w:tab/>
        <w:t xml:space="preserve">Het in onderdeel b als tweede vermelde bedrag wordt verlaagd met € 7. </w:t>
      </w:r>
    </w:p>
    <w:p w:rsidR="00A079A9" w:rsidP="00196518" w:rsidRDefault="00A079A9" w14:paraId="65C87E87" w14:textId="77777777"/>
    <w:p w:rsidR="00196518" w:rsidP="00A079A9" w:rsidRDefault="00196518" w14:paraId="48B68F39" w14:textId="5C312E42">
      <w:pPr>
        <w:ind w:firstLine="284"/>
      </w:pPr>
      <w:r>
        <w:t>3.</w:t>
      </w:r>
      <w:r>
        <w:tab/>
        <w:t>Het in onderdeel c als tweede vermelde bedrag wordt verlaagd met € 8.</w:t>
      </w:r>
    </w:p>
    <w:p w:rsidR="008C50F5" w:rsidP="0094436D" w:rsidRDefault="008C50F5" w14:paraId="58BE28AD" w14:textId="77777777"/>
    <w:p w:rsidR="00196518" w:rsidP="0094436D" w:rsidRDefault="00196518" w14:paraId="47C9E8DA" w14:textId="1AA732E2">
      <w:r>
        <w:t>XI</w:t>
      </w:r>
    </w:p>
    <w:p w:rsidR="00196518" w:rsidP="0094436D" w:rsidRDefault="00196518" w14:paraId="2EF0189A" w14:textId="77777777"/>
    <w:p w:rsidR="00196518" w:rsidP="00A079A9" w:rsidRDefault="00196518" w14:paraId="4A527A28" w14:textId="0DF8F46C">
      <w:pPr>
        <w:ind w:firstLine="284"/>
      </w:pPr>
      <w:r>
        <w:t>Artikel IVC komt te luiden:</w:t>
      </w:r>
    </w:p>
    <w:p w:rsidR="00EA0EC7" w:rsidP="0094436D" w:rsidRDefault="00EA0EC7" w14:paraId="6953E667" w14:textId="77777777"/>
    <w:p w:rsidRPr="00A079A9" w:rsidR="00EA0EC7" w:rsidP="0094436D" w:rsidRDefault="00A079A9" w14:paraId="60085ECE" w14:textId="69B6B1B4">
      <w:pPr>
        <w:rPr>
          <w:b/>
          <w:bCs/>
        </w:rPr>
      </w:pPr>
      <w:r w:rsidRPr="00A079A9">
        <w:rPr>
          <w:b/>
          <w:bCs/>
        </w:rPr>
        <w:t>ARTIKEL IVC</w:t>
      </w:r>
    </w:p>
    <w:p w:rsidR="00196518" w:rsidP="0094436D" w:rsidRDefault="00196518" w14:paraId="33A27F52" w14:textId="77777777"/>
    <w:p w:rsidR="00196518" w:rsidP="00A079A9" w:rsidRDefault="00EA0EC7" w14:paraId="59597B0E" w14:textId="20348FD3">
      <w:pPr>
        <w:ind w:firstLine="284"/>
      </w:pPr>
      <w:r>
        <w:t xml:space="preserve">In </w:t>
      </w:r>
      <w:r w:rsidR="00196518">
        <w:t xml:space="preserve">de Wet op de loonbelasting 1964 wordt met ingang van 1 januari 2033 </w:t>
      </w:r>
      <w:r>
        <w:t xml:space="preserve">artikel 22a, tweede lid, </w:t>
      </w:r>
      <w:r w:rsidR="00196518">
        <w:t>als volgt gewijzigd:</w:t>
      </w:r>
    </w:p>
    <w:p w:rsidR="00196518" w:rsidP="00196518" w:rsidRDefault="00196518" w14:paraId="58D2A599" w14:textId="77777777"/>
    <w:p w:rsidR="00196518" w:rsidP="00A079A9" w:rsidRDefault="00196518" w14:paraId="2427B7E6" w14:textId="77777777">
      <w:pPr>
        <w:ind w:firstLine="284"/>
      </w:pPr>
      <w:r>
        <w:t>1.</w:t>
      </w:r>
      <w:r>
        <w:tab/>
        <w:t>Het in onderdeel a vermelde bedrag wordt verlaagd met € 1.</w:t>
      </w:r>
    </w:p>
    <w:p w:rsidR="00A079A9" w:rsidP="00196518" w:rsidRDefault="00A079A9" w14:paraId="2004C70F" w14:textId="77777777"/>
    <w:p w:rsidR="00196518" w:rsidP="00A079A9" w:rsidRDefault="00196518" w14:paraId="22C6B9D0" w14:textId="63FA9A78">
      <w:pPr>
        <w:ind w:firstLine="284"/>
      </w:pPr>
      <w:r>
        <w:t>2.</w:t>
      </w:r>
      <w:r>
        <w:tab/>
        <w:t xml:space="preserve">Het in onderdeel b als tweede vermelde bedrag wordt verlaagd met € 3. </w:t>
      </w:r>
    </w:p>
    <w:p w:rsidR="00A079A9" w:rsidP="00196518" w:rsidRDefault="00A079A9" w14:paraId="6F1A82E0" w14:textId="77777777"/>
    <w:p w:rsidR="00196518" w:rsidP="00A079A9" w:rsidRDefault="00196518" w14:paraId="730351B5" w14:textId="6460C2B5">
      <w:pPr>
        <w:ind w:firstLine="284"/>
      </w:pPr>
      <w:r>
        <w:t>3.</w:t>
      </w:r>
      <w:r>
        <w:tab/>
        <w:t>Het in onderdeel c als tweede vermelde bedrag wordt verlaagd met € 3.</w:t>
      </w:r>
    </w:p>
    <w:p w:rsidR="00196518" w:rsidP="0094436D" w:rsidRDefault="00196518" w14:paraId="6B28C9CB" w14:textId="77777777"/>
    <w:p w:rsidR="00196518" w:rsidP="0094436D" w:rsidRDefault="00196518" w14:paraId="6E46A1B2" w14:textId="16CA06F5">
      <w:r>
        <w:t>XII</w:t>
      </w:r>
    </w:p>
    <w:p w:rsidR="00196518" w:rsidP="0094436D" w:rsidRDefault="00196518" w14:paraId="5CA7241D" w14:textId="77777777"/>
    <w:p w:rsidR="00196518" w:rsidP="00A079A9" w:rsidRDefault="00196518" w14:paraId="6B393867" w14:textId="4734CE0A">
      <w:pPr>
        <w:ind w:firstLine="284"/>
      </w:pPr>
      <w:r>
        <w:t>Artikel IVD vervalt.</w:t>
      </w:r>
    </w:p>
    <w:p w:rsidR="00196518" w:rsidP="0094436D" w:rsidRDefault="00196518" w14:paraId="7D49FCAD" w14:textId="77777777"/>
    <w:p w:rsidR="0094436D" w:rsidP="0094436D" w:rsidRDefault="00E76ADB" w14:paraId="3C0338B6" w14:textId="0D72F360">
      <w:r>
        <w:t>XIII</w:t>
      </w:r>
    </w:p>
    <w:p w:rsidR="0094436D" w:rsidP="0094436D" w:rsidRDefault="0094436D" w14:paraId="50163DEA" w14:textId="3D85E7F9"/>
    <w:p w:rsidR="00E3450E" w:rsidP="00A079A9" w:rsidRDefault="00E76ADB" w14:paraId="17E56F1D" w14:textId="1B7E46EE">
      <w:pPr>
        <w:ind w:firstLine="284"/>
      </w:pPr>
      <w:r>
        <w:t>Na a</w:t>
      </w:r>
      <w:r w:rsidR="0094436D">
        <w:t>rtikel XL</w:t>
      </w:r>
      <w:r w:rsidR="009E3005">
        <w:t>VI</w:t>
      </w:r>
      <w:r>
        <w:t xml:space="preserve"> worden vier artikelen ingevoegd, luidende:</w:t>
      </w:r>
    </w:p>
    <w:p w:rsidR="006E211C" w:rsidP="0094436D" w:rsidRDefault="006E211C" w14:paraId="6802CDA9" w14:textId="77777777"/>
    <w:p w:rsidRPr="00A079A9" w:rsidR="00E76ADB" w:rsidP="0094436D" w:rsidRDefault="00A079A9" w14:paraId="697BAF11" w14:textId="072ACE25">
      <w:pPr>
        <w:rPr>
          <w:b/>
          <w:bCs/>
        </w:rPr>
      </w:pPr>
      <w:r w:rsidRPr="00A079A9">
        <w:rPr>
          <w:b/>
          <w:bCs/>
        </w:rPr>
        <w:t>ARTIKEL XLVIA</w:t>
      </w:r>
    </w:p>
    <w:p w:rsidR="00E76ADB" w:rsidP="0094436D" w:rsidRDefault="00E76ADB" w14:paraId="385F6E38" w14:textId="77777777"/>
    <w:p w:rsidR="00552412" w:rsidP="00A079A9" w:rsidRDefault="00552412" w14:paraId="300A8AFA" w14:textId="73E3357A">
      <w:pPr>
        <w:ind w:firstLine="284"/>
      </w:pPr>
      <w:bookmarkStart w:name="_Hlk214963542" w:id="2"/>
      <w:r w:rsidRPr="00552412">
        <w:t>Bij de toepassing van artikel 10.1 van de Wet inkomstenbelasting 2001 en artikel 22d van de Wet op de loonbelasting 1964 bij het begin van het kalenderjaar 202</w:t>
      </w:r>
      <w:r>
        <w:t>6</w:t>
      </w:r>
      <w:r w:rsidRPr="00552412">
        <w:t xml:space="preserve"> met betrekking tot</w:t>
      </w:r>
      <w:r>
        <w:t>:</w:t>
      </w:r>
    </w:p>
    <w:p w:rsidR="00552412" w:rsidP="00A079A9" w:rsidRDefault="00552412" w14:paraId="66B1CE2F" w14:textId="5B00E21C">
      <w:pPr>
        <w:ind w:firstLine="284"/>
      </w:pPr>
      <w:r w:rsidRPr="00552412">
        <w:t>a.</w:t>
      </w:r>
      <w:r>
        <w:t xml:space="preserve"> </w:t>
      </w:r>
      <w:r w:rsidRPr="00552412">
        <w:t xml:space="preserve">het in artikel 8.11, tweede lid, eerste zin, onderdeel a, van de Wet inkomstenbelasting 2001 en artikel 22a, tweede lid, onderdeel a, van de Wet op de loonbelasting 1964 vermelde bedrag wordt dat bedrag berekend door het vóór toepassing van artikel I, onderdeel </w:t>
      </w:r>
      <w:r>
        <w:t>Ga</w:t>
      </w:r>
      <w:r w:rsidRPr="00552412">
        <w:t xml:space="preserve">, </w:t>
      </w:r>
      <w:r w:rsidR="009E3005">
        <w:t>onder 1</w:t>
      </w:r>
      <w:r w:rsidRPr="00552412">
        <w:t>, in artikel 8.11, tweede lid, eerste zin, onderdeel a, van de Wet inkomstenbelasting 2001 vermelde bedrag te vermenigvuldigen met</w:t>
      </w:r>
      <w:r w:rsidR="009A669E">
        <w:t xml:space="preserve"> </w:t>
      </w:r>
      <w:r w:rsidRPr="009A669E" w:rsidR="009A669E">
        <w:t xml:space="preserve">1,0153120 </w:t>
      </w:r>
      <w:r w:rsidRPr="00552412">
        <w:t xml:space="preserve">en vervolgens te verhogen met het in artikel I, onderdeel </w:t>
      </w:r>
      <w:r>
        <w:t>Ga</w:t>
      </w:r>
      <w:r w:rsidRPr="00552412">
        <w:t xml:space="preserve">, </w:t>
      </w:r>
      <w:r w:rsidR="009E3005">
        <w:t>onder 1</w:t>
      </w:r>
      <w:r w:rsidRPr="00552412">
        <w:t>, vermelde bedrag;</w:t>
      </w:r>
    </w:p>
    <w:p w:rsidR="00552412" w:rsidP="00A079A9" w:rsidRDefault="00552412" w14:paraId="1438BCC5" w14:textId="33699C2D">
      <w:pPr>
        <w:ind w:firstLine="284"/>
      </w:pPr>
      <w:r w:rsidRPr="00552412">
        <w:t>b.</w:t>
      </w:r>
      <w:r>
        <w:t xml:space="preserve"> </w:t>
      </w:r>
      <w:r w:rsidRPr="00552412">
        <w:t xml:space="preserve">het in artikel 8.11, tweede lid, eerste zin, onderdeel b, van de Wet inkomstenbelasting 2001 en artikel 22a, tweede lid, onderdeel b, van de Wet op de loonbelasting 1964 als tweede vermelde bedrag wordt dat bedrag berekend door het vóór toepassing van artikel I, onderdeel </w:t>
      </w:r>
      <w:r>
        <w:t>Ga</w:t>
      </w:r>
      <w:r w:rsidRPr="00552412">
        <w:t xml:space="preserve">, </w:t>
      </w:r>
      <w:r w:rsidR="00DA5557">
        <w:t>onder 2</w:t>
      </w:r>
      <w:r w:rsidRPr="00552412">
        <w:t xml:space="preserve">, in artikel 8.11, tweede lid, eerste zin, onderdeel b, van de Wet inkomstenbelasting 2001 als tweede vermelde bedrag te vermenigvuldigen met </w:t>
      </w:r>
      <w:r w:rsidRPr="009A669E" w:rsidR="009A669E">
        <w:t xml:space="preserve">1,0153120 </w:t>
      </w:r>
      <w:r w:rsidRPr="00552412">
        <w:t xml:space="preserve">en vervolgens te verhogen met het in artikel I, onderdeel </w:t>
      </w:r>
      <w:r>
        <w:t>Ga</w:t>
      </w:r>
      <w:r w:rsidRPr="00552412">
        <w:t xml:space="preserve">, </w:t>
      </w:r>
      <w:r w:rsidR="00DA5557">
        <w:t>onder 2</w:t>
      </w:r>
      <w:r w:rsidRPr="00552412">
        <w:t>, vermelde bedrag;</w:t>
      </w:r>
    </w:p>
    <w:p w:rsidR="00552412" w:rsidP="00A079A9" w:rsidRDefault="00552412" w14:paraId="31437F56" w14:textId="12F6A154">
      <w:pPr>
        <w:ind w:firstLine="284"/>
      </w:pPr>
      <w:r w:rsidRPr="00552412">
        <w:t>c.</w:t>
      </w:r>
      <w:r>
        <w:t xml:space="preserve"> </w:t>
      </w:r>
      <w:r w:rsidRPr="00552412">
        <w:t>het in artikel 8.11, tweede lid, eerste zin, onderdeel c, van de Wet inkomstenbelasting 2001 en artikel 22a, tweede lid, onderdeel c, van de Wet op de loonbelasting 1964 als tweede vermelde bedrag wordt dat bedrag berekend door het vóór toepassing van artikel I, onderdeel</w:t>
      </w:r>
      <w:r>
        <w:t xml:space="preserve"> Ga</w:t>
      </w:r>
      <w:r w:rsidRPr="00552412">
        <w:t xml:space="preserve">, </w:t>
      </w:r>
      <w:r w:rsidR="00DA5557">
        <w:t>onder 3</w:t>
      </w:r>
      <w:r w:rsidRPr="00552412">
        <w:t xml:space="preserve">, in artikel 8.11, tweede lid, eerste zin, onderdeel c, van de Wet inkomstenbelasting 2001 als tweede vermelde bedrag te vermenigvuldigen met </w:t>
      </w:r>
      <w:r w:rsidRPr="009A669E" w:rsidR="009A669E">
        <w:t xml:space="preserve">1,0153120 </w:t>
      </w:r>
      <w:r w:rsidRPr="00552412">
        <w:t>en vervolgens te verhogen met het in artikel I, onderdeel</w:t>
      </w:r>
      <w:r>
        <w:t xml:space="preserve"> Ga</w:t>
      </w:r>
      <w:r w:rsidRPr="00552412">
        <w:t xml:space="preserve">, </w:t>
      </w:r>
      <w:r w:rsidR="00DA5557">
        <w:t>onder 3</w:t>
      </w:r>
      <w:r w:rsidRPr="00552412">
        <w:t>, vermelde bedrag.</w:t>
      </w:r>
    </w:p>
    <w:bookmarkEnd w:id="2"/>
    <w:p w:rsidR="00552412" w:rsidP="0094436D" w:rsidRDefault="00552412" w14:paraId="14116675" w14:textId="77777777"/>
    <w:p w:rsidR="00A079A9" w:rsidP="0094436D" w:rsidRDefault="00A079A9" w14:paraId="0943DA22" w14:textId="77777777"/>
    <w:p w:rsidRPr="00A079A9" w:rsidR="00E76ADB" w:rsidP="00EA1CE4" w:rsidRDefault="00A079A9" w14:paraId="008D17E2" w14:textId="4A98E811">
      <w:pPr>
        <w:rPr>
          <w:b/>
          <w:bCs/>
        </w:rPr>
      </w:pPr>
      <w:r w:rsidRPr="00A079A9">
        <w:rPr>
          <w:b/>
          <w:bCs/>
        </w:rPr>
        <w:t>ARTIKEL XLVIB</w:t>
      </w:r>
    </w:p>
    <w:p w:rsidR="00E76ADB" w:rsidP="00EA1CE4" w:rsidRDefault="00E76ADB" w14:paraId="4B872CEC" w14:textId="77777777"/>
    <w:p w:rsidR="00552412" w:rsidP="00A079A9" w:rsidRDefault="00552412" w14:paraId="43563F2D" w14:textId="5D407E63">
      <w:pPr>
        <w:ind w:firstLine="284"/>
      </w:pPr>
      <w:bookmarkStart w:name="_Hlk214963685" w:id="3"/>
      <w:r w:rsidRPr="00552412">
        <w:t>Bij de toepassing van artikel 10.1 van de Wet inkomstenbelasting 2001 en artikel 22d van de Wet op de loonbelasting 1964 bij het begin van het kalenderjaar 20</w:t>
      </w:r>
      <w:r>
        <w:t>31</w:t>
      </w:r>
      <w:r w:rsidRPr="00552412">
        <w:t xml:space="preserve"> met betrekking tot</w:t>
      </w:r>
      <w:r>
        <w:t>:</w:t>
      </w:r>
    </w:p>
    <w:p w:rsidR="00552412" w:rsidP="00A079A9" w:rsidRDefault="00552412" w14:paraId="5EC27378" w14:textId="624F2208">
      <w:pPr>
        <w:ind w:firstLine="284"/>
      </w:pPr>
      <w:r w:rsidRPr="00552412">
        <w:t>a.</w:t>
      </w:r>
      <w:r>
        <w:t xml:space="preserve"> </w:t>
      </w:r>
      <w:r w:rsidRPr="00552412">
        <w:t>het in artikel 8.11, tweede lid, eerste zin, onderdeel a, van de Wet inkomstenbelasting 2001 en artikel 22a, tweede lid, onderdeel a, van de Wet op de loonbelasting 1964 vermelde bedrag wordt dat bedrag berekend door het vóór toepassing van artikel I</w:t>
      </w:r>
      <w:r>
        <w:t xml:space="preserve">IA, </w:t>
      </w:r>
      <w:r w:rsidR="00DA5557">
        <w:t>onder 1</w:t>
      </w:r>
      <w:r>
        <w:t>,</w:t>
      </w:r>
      <w:r w:rsidRPr="00552412">
        <w:t xml:space="preserve"> in artikel 8.11, tweede lid, eerste zin, onderdeel a, van de Wet inkomstenbelasting 2001 vermelde bedrag te vermenigvuldigen met de tabelcorrectiefactor, bedoeld in artikel 10.2 van de Wet inkomstenbelasting 2001, en vervolgens te verhogen met het in artikel I</w:t>
      </w:r>
      <w:r>
        <w:t>IA</w:t>
      </w:r>
      <w:r w:rsidRPr="00552412">
        <w:t xml:space="preserve">, </w:t>
      </w:r>
      <w:r w:rsidR="00DA5557">
        <w:t>onder 1</w:t>
      </w:r>
      <w:r w:rsidRPr="00552412">
        <w:t>, vermelde bedrag;</w:t>
      </w:r>
    </w:p>
    <w:p w:rsidR="00552412" w:rsidP="00A079A9" w:rsidRDefault="00552412" w14:paraId="64D49F6E" w14:textId="0235BD4F">
      <w:pPr>
        <w:ind w:firstLine="284"/>
      </w:pPr>
      <w:r w:rsidRPr="00552412">
        <w:t>b.</w:t>
      </w:r>
      <w:r>
        <w:t xml:space="preserve"> </w:t>
      </w:r>
      <w:r w:rsidRPr="00552412">
        <w:t>het in artikel 8.11, tweede lid, eerste zin, onderdeel b, van de Wet inkomstenbelasting 2001 en artikel 22a, tweede lid, onderdeel b, van de Wet op de loonbelasting 1964 als tweede vermelde bedrag wordt dat bedrag berekend door het vóór toepassing van artikel I</w:t>
      </w:r>
      <w:r>
        <w:t xml:space="preserve">IA, </w:t>
      </w:r>
      <w:r w:rsidR="00DA5557">
        <w:t>onder 2</w:t>
      </w:r>
      <w:r w:rsidRPr="00552412">
        <w:t>, in artikel 8.11, tweede lid, eerste zin, onderdeel b, van de Wet inkomstenbelasting 2001 als tweede vermelde bedrag te vermenigvuldigen met de tabelcorrectiefactor, bedoeld in artikel 10.2 van de Wet inkomstenbelasting 2001, en vervolgens te verhogen met het in artikel I</w:t>
      </w:r>
      <w:r>
        <w:t>IA</w:t>
      </w:r>
      <w:r w:rsidRPr="00552412">
        <w:t xml:space="preserve">, </w:t>
      </w:r>
      <w:r w:rsidR="00DA5557">
        <w:t>onder 2</w:t>
      </w:r>
      <w:r w:rsidRPr="00552412">
        <w:t>, vermelde bedrag;</w:t>
      </w:r>
    </w:p>
    <w:p w:rsidR="00552412" w:rsidP="00A079A9" w:rsidRDefault="00552412" w14:paraId="4BF51AD3" w14:textId="02EC3A42">
      <w:pPr>
        <w:ind w:firstLine="284"/>
      </w:pPr>
      <w:r w:rsidRPr="00552412">
        <w:t>c.</w:t>
      </w:r>
      <w:r>
        <w:t xml:space="preserve"> </w:t>
      </w:r>
      <w:r w:rsidRPr="00552412">
        <w:t>het in artikel 8.11, tweede lid, eerste zin, onderdeel c, van de Wet inkomstenbelasting 2001 en artikel 22a, tweede lid, onderdeel c, van de Wet op de loonbelasting 1964 als tweede vermelde bedrag wordt dat bedrag berekend door het vóór toepassing van artikel I</w:t>
      </w:r>
      <w:r>
        <w:t>IA,</w:t>
      </w:r>
      <w:r w:rsidRPr="00552412">
        <w:t xml:space="preserve"> </w:t>
      </w:r>
      <w:r w:rsidR="00DA5557">
        <w:t>onder 3</w:t>
      </w:r>
      <w:r w:rsidRPr="00552412">
        <w:t>, in artikel 8.11, tweede lid, eerste zin, onderdeel c, van de Wet inkomstenbelasting 2001 als tweede vermelde bedrag te vermenigvuldigen met de tabelcorrectiefactor, bedoeld in artikel 10.2 van de Wet inkomstenbelasting 2001, en vervolgens te verhogen met het in artikel I</w:t>
      </w:r>
      <w:r>
        <w:t>IA</w:t>
      </w:r>
      <w:r w:rsidRPr="00552412">
        <w:t xml:space="preserve">, </w:t>
      </w:r>
      <w:r w:rsidR="00DA5557">
        <w:t>onder 3</w:t>
      </w:r>
      <w:r w:rsidRPr="00552412">
        <w:t>, vermelde bedrag.</w:t>
      </w:r>
    </w:p>
    <w:bookmarkEnd w:id="3"/>
    <w:p w:rsidR="00552412" w:rsidP="00EA1CE4" w:rsidRDefault="00552412" w14:paraId="750BCD89" w14:textId="77777777"/>
    <w:p w:rsidR="00A079A9" w:rsidP="00EA1CE4" w:rsidRDefault="00A079A9" w14:paraId="41F5B3F2" w14:textId="77777777"/>
    <w:p w:rsidRPr="00A079A9" w:rsidR="00E76ADB" w:rsidP="00E76ADB" w:rsidRDefault="00A079A9" w14:paraId="570EF4DE" w14:textId="18FBFAD2">
      <w:pPr>
        <w:rPr>
          <w:b/>
          <w:bCs/>
        </w:rPr>
      </w:pPr>
      <w:r w:rsidRPr="00A079A9">
        <w:rPr>
          <w:b/>
          <w:bCs/>
        </w:rPr>
        <w:t>ARTIKEL XLVIC</w:t>
      </w:r>
    </w:p>
    <w:p w:rsidR="00E76ADB" w:rsidP="00E76ADB" w:rsidRDefault="00E76ADB" w14:paraId="5A5B192E" w14:textId="77777777"/>
    <w:p w:rsidRPr="00552412" w:rsidR="00552412" w:rsidP="00A079A9" w:rsidRDefault="00552412" w14:paraId="1374229D" w14:textId="52ECD020">
      <w:pPr>
        <w:ind w:firstLine="284"/>
      </w:pPr>
      <w:r w:rsidRPr="00552412">
        <w:t>Bij de toepassing van artikel 10.1 van de Wet inkomstenbelasting 2001 en artikel 22d van de Wet op de loonbelasting 1964 bij het begin van het kalenderjaar 203</w:t>
      </w:r>
      <w:r>
        <w:t>2</w:t>
      </w:r>
      <w:r w:rsidRPr="00552412">
        <w:t xml:space="preserve"> met betrekking tot:</w:t>
      </w:r>
    </w:p>
    <w:p w:rsidRPr="00552412" w:rsidR="00552412" w:rsidP="00A079A9" w:rsidRDefault="00552412" w14:paraId="6960AC6A" w14:textId="45806147">
      <w:pPr>
        <w:ind w:firstLine="284"/>
      </w:pPr>
      <w:r w:rsidRPr="00552412">
        <w:lastRenderedPageBreak/>
        <w:t>a. het in artikel 8.11, tweede lid, eerste zin, onderdeel a, van de Wet inkomstenbelasting 2001 en artikel 22a, tweede lid, onderdeel a, van de Wet op de loonbelasting 1964 vermelde bedrag wordt dat bedrag berekend door het vóór toepassing van artikel II</w:t>
      </w:r>
      <w:r>
        <w:t>B</w:t>
      </w:r>
      <w:r w:rsidRPr="00552412">
        <w:t xml:space="preserve">, </w:t>
      </w:r>
      <w:r w:rsidR="00DA5557">
        <w:t>onder 1</w:t>
      </w:r>
      <w:r w:rsidRPr="00552412">
        <w:t>, in artikel 8.11, tweede lid, eerste zin, onderdeel a, van de Wet inkomstenbelasting 2001 vermelde bedrag te vermenigvuldigen met de tabelcorrectiefactor, bedoeld in artikel 10.2 van de Wet inkomstenbelasting 2001, en vervolgens te verhogen met het in artikel I</w:t>
      </w:r>
      <w:r>
        <w:t>IB</w:t>
      </w:r>
      <w:r w:rsidRPr="00552412">
        <w:t xml:space="preserve">, </w:t>
      </w:r>
      <w:r w:rsidR="00DA5557">
        <w:t>onder 1</w:t>
      </w:r>
      <w:r w:rsidRPr="00552412">
        <w:t>, vermelde bedrag;</w:t>
      </w:r>
    </w:p>
    <w:p w:rsidRPr="00552412" w:rsidR="00552412" w:rsidP="00A079A9" w:rsidRDefault="00552412" w14:paraId="3CC34503" w14:textId="27E6C78D">
      <w:pPr>
        <w:ind w:firstLine="284"/>
      </w:pPr>
      <w:r w:rsidRPr="00552412">
        <w:t>b. het in artikel 8.11, tweede lid, eerste zin, onderdeel b, van de Wet inkomstenbelasting 2001 en artikel 22a, tweede lid, onderdeel b, van de Wet op de loonbelasting 1964 als tweede vermelde bedrag wordt dat bedrag berekend door het vóór toepassing van artikel II</w:t>
      </w:r>
      <w:r>
        <w:t>B</w:t>
      </w:r>
      <w:r w:rsidRPr="00552412">
        <w:t xml:space="preserve">, </w:t>
      </w:r>
      <w:r w:rsidR="00DA5557">
        <w:t>onder 2</w:t>
      </w:r>
      <w:r w:rsidRPr="00552412">
        <w:t>, in artikel 8.11, tweede lid, eerste zin, onderdeel b, van de Wet inkomstenbelasting 2001 als tweede vermelde bedrag te vermenigvuldigen met de tabelcorrectiefactor, bedoeld in artikel 10.2 van de Wet inkomstenbelasting 2001, en vervolgens te verhogen met het in artikel II</w:t>
      </w:r>
      <w:r>
        <w:t>B</w:t>
      </w:r>
      <w:r w:rsidRPr="00552412">
        <w:t xml:space="preserve">, </w:t>
      </w:r>
      <w:r w:rsidR="00DA5557">
        <w:t>onder 2</w:t>
      </w:r>
      <w:r w:rsidRPr="00552412">
        <w:t>, vermelde bedrag;</w:t>
      </w:r>
    </w:p>
    <w:p w:rsidRPr="00552412" w:rsidR="00552412" w:rsidP="00A079A9" w:rsidRDefault="00552412" w14:paraId="2A3B4A26" w14:textId="2D00A56E">
      <w:pPr>
        <w:ind w:firstLine="284"/>
      </w:pPr>
      <w:r w:rsidRPr="00552412">
        <w:t>c. het in artikel 8.11, tweede lid, eerste zin, onderdeel c, van de Wet inkomstenbelasting 2001 en artikel 22a, tweede lid, onderdeel c, van de Wet op de loonbelasting 1964 als tweede vermelde bedrag wordt dat bedrag berekend door het vóór toepassing van artikel II</w:t>
      </w:r>
      <w:r>
        <w:t>B</w:t>
      </w:r>
      <w:r w:rsidRPr="00552412">
        <w:t xml:space="preserve">, </w:t>
      </w:r>
      <w:r w:rsidR="00DA5557">
        <w:t>onder 3</w:t>
      </w:r>
      <w:r w:rsidRPr="00552412">
        <w:t>, in artikel 8.11, tweede lid, eerste zin, onderdeel c, van de Wet inkomstenbelasting 2001 als tweede vermelde bedrag te vermenigvuldigen met de tabelcorrectiefactor, bedoeld in artikel 10.2 van de Wet inkomstenbelasting 2001, en vervolgens te verhogen met het in artikel II</w:t>
      </w:r>
      <w:r>
        <w:t>B</w:t>
      </w:r>
      <w:r w:rsidRPr="00552412">
        <w:t xml:space="preserve">, </w:t>
      </w:r>
      <w:r w:rsidR="00DA5557">
        <w:t>onder 3</w:t>
      </w:r>
      <w:r w:rsidRPr="00552412">
        <w:t>, vermelde bedrag.</w:t>
      </w:r>
    </w:p>
    <w:p w:rsidR="00552412" w:rsidP="00E76ADB" w:rsidRDefault="00552412" w14:paraId="30B3603D" w14:textId="77777777"/>
    <w:p w:rsidR="00A079A9" w:rsidP="00E76ADB" w:rsidRDefault="00A079A9" w14:paraId="77C7777E" w14:textId="77777777"/>
    <w:p w:rsidRPr="00A079A9" w:rsidR="00E76ADB" w:rsidP="00E76ADB" w:rsidRDefault="00A079A9" w14:paraId="4D3785C4" w14:textId="5A86D048">
      <w:pPr>
        <w:rPr>
          <w:b/>
          <w:bCs/>
        </w:rPr>
      </w:pPr>
      <w:r w:rsidRPr="00A079A9">
        <w:rPr>
          <w:b/>
          <w:bCs/>
        </w:rPr>
        <w:t>ARTIKEL XLVID</w:t>
      </w:r>
    </w:p>
    <w:p w:rsidR="00A02CDC" w:rsidP="00E76ADB" w:rsidRDefault="00A02CDC" w14:paraId="2D8064A1" w14:textId="77777777"/>
    <w:p w:rsidR="009A669E" w:rsidP="00A079A9" w:rsidRDefault="009A669E" w14:paraId="5E997C6C" w14:textId="7E9574B4">
      <w:pPr>
        <w:ind w:firstLine="284"/>
      </w:pPr>
      <w:r>
        <w:t>Bij de toepassing van artikel 10.1 van de Wet inkomstenbelasting 2001 en artikel 22d van de Wet op de loonbelasting 1964 bij het begin van het kalenderjaar 2033 met betrekking tot:</w:t>
      </w:r>
    </w:p>
    <w:p w:rsidR="009A669E" w:rsidP="00A079A9" w:rsidRDefault="009A669E" w14:paraId="41471E11" w14:textId="4203699A">
      <w:pPr>
        <w:ind w:firstLine="284"/>
      </w:pPr>
      <w:r>
        <w:t xml:space="preserve">a. het in artikel 8.11, tweede lid, eerste zin, onderdeel a, van de Wet inkomstenbelasting 2001 en artikel 22a, tweede lid, onderdeel a, van de Wet op de loonbelasting 1964 vermelde bedrag wordt dat bedrag berekend door het vóór toepassing van artikel IIC, </w:t>
      </w:r>
      <w:r w:rsidR="00DA5557">
        <w:t>onder 1</w:t>
      </w:r>
      <w:r>
        <w:t xml:space="preserve">, in artikel 8.11, tweede lid, eerste zin, onderdeel a, van de Wet inkomstenbelasting 2001 vermelde bedrag te vermenigvuldigen met de tabelcorrectiefactor, bedoeld in artikel 10.2 van de Wet inkomstenbelasting 2001, en vervolgens te verhogen met het in artikel IIC, </w:t>
      </w:r>
      <w:r w:rsidR="00DA5557">
        <w:t>onder 1</w:t>
      </w:r>
      <w:r>
        <w:t>, vermelde bedrag;</w:t>
      </w:r>
    </w:p>
    <w:p w:rsidR="009A669E" w:rsidP="00A079A9" w:rsidRDefault="009A669E" w14:paraId="60593C0E" w14:textId="7D2B1418">
      <w:pPr>
        <w:ind w:firstLine="284"/>
      </w:pPr>
      <w:r>
        <w:t xml:space="preserve">b. het in artikel 8.11, tweede lid, eerste zin, onderdeel b, van de Wet inkomstenbelasting 2001 en artikel 22a, tweede lid, onderdeel b, van de Wet op de loonbelasting 1964 als tweede vermelde bedrag wordt dat bedrag berekend door het vóór toepassing van artikel IIC, </w:t>
      </w:r>
      <w:r w:rsidR="00DA5557">
        <w:t>onder 2</w:t>
      </w:r>
      <w:r>
        <w:t xml:space="preserve">, in artikel 8.11, tweede lid, eerste zin, onderdeel b, van de Wet inkomstenbelasting 2001 als tweede vermelde bedrag te vermenigvuldigen met de tabelcorrectiefactor, bedoeld in artikel 10.2 van de Wet inkomstenbelasting 2001, en vervolgens te verhogen met het in artikel IIC, </w:t>
      </w:r>
      <w:r w:rsidR="00DA5557">
        <w:t>onder 2</w:t>
      </w:r>
      <w:r>
        <w:t>, vermelde bedrag;</w:t>
      </w:r>
    </w:p>
    <w:p w:rsidR="00552412" w:rsidP="00A079A9" w:rsidRDefault="009A669E" w14:paraId="77640B2C" w14:textId="648C9BDD">
      <w:pPr>
        <w:ind w:firstLine="284"/>
      </w:pPr>
      <w:r>
        <w:t xml:space="preserve">c. het in artikel 8.11, tweede lid, eerste zin, onderdeel c, van de Wet inkomstenbelasting 2001 en artikel 22a, tweede lid, onderdeel c, van de Wet op de loonbelasting 1964 als tweede vermelde bedrag wordt dat bedrag berekend door het vóór toepassing van artikel IIC, </w:t>
      </w:r>
      <w:r w:rsidR="00DA5557">
        <w:t>onder 3</w:t>
      </w:r>
      <w:r>
        <w:t xml:space="preserve">, in artikel 8.11, tweede lid, eerste zin, onderdeel c, van de Wet inkomstenbelasting 2001 als tweede vermelde bedrag te vermenigvuldigen met de tabelcorrectiefactor, bedoeld in artikel 10.2 van de Wet inkomstenbelasting 2001, en vervolgens te verhogen met het in artikel IIC, </w:t>
      </w:r>
      <w:r w:rsidR="00DA5557">
        <w:t>onder 3</w:t>
      </w:r>
      <w:r>
        <w:t>, vermelde bedrag.</w:t>
      </w:r>
    </w:p>
    <w:p w:rsidR="00552412" w:rsidP="00E76ADB" w:rsidRDefault="00552412" w14:paraId="6DFF44E7" w14:textId="77777777"/>
    <w:p w:rsidRPr="00EA69AC" w:rsidR="003C21AC" w:rsidP="00EA1CE4" w:rsidRDefault="003C21AC" w14:paraId="3DD119C9" w14:textId="3993ED06">
      <w:pPr>
        <w:rPr>
          <w:b/>
        </w:rPr>
      </w:pPr>
      <w:r w:rsidRPr="00EA69AC">
        <w:rPr>
          <w:b/>
        </w:rPr>
        <w:t>Toelichting</w:t>
      </w:r>
    </w:p>
    <w:p w:rsidR="00A079A9" w:rsidP="00BF623B" w:rsidRDefault="00A079A9" w14:paraId="0FFFDFC7" w14:textId="77777777"/>
    <w:p w:rsidR="00FC5AA7" w:rsidP="00BF623B" w:rsidRDefault="00017D98" w14:paraId="68B4A154" w14:textId="77F869CD">
      <w:r>
        <w:t xml:space="preserve">Dit amendement draait de verhoging van </w:t>
      </w:r>
      <w:r w:rsidR="00E4785D">
        <w:t xml:space="preserve">het tarief in de eerste schijf van de </w:t>
      </w:r>
      <w:r w:rsidR="00D55A96">
        <w:t xml:space="preserve">inkomstenbelasting terug, die is ontstaan ter dekking van de verhoging van de </w:t>
      </w:r>
      <w:r w:rsidR="002A45C2">
        <w:t>a</w:t>
      </w:r>
      <w:r w:rsidR="00D55A96">
        <w:t xml:space="preserve">rbeidskorting in het Belastingplan en de nota van wijziging daarop. </w:t>
      </w:r>
      <w:r w:rsidR="00C34EB3">
        <w:t>In de geest van de</w:t>
      </w:r>
      <w:r w:rsidR="00BC0CA5">
        <w:t xml:space="preserve"> aangenomen</w:t>
      </w:r>
      <w:r w:rsidR="00C34EB3">
        <w:t xml:space="preserve"> motie Klaver/Kouwenhoven </w:t>
      </w:r>
      <w:r w:rsidR="00881BD2">
        <w:t>(</w:t>
      </w:r>
      <w:r w:rsidRPr="0032453D" w:rsidR="00881BD2">
        <w:t>36800-IX</w:t>
      </w:r>
      <w:r w:rsidR="00881BD2">
        <w:t>, nr.</w:t>
      </w:r>
      <w:r w:rsidR="00357C14">
        <w:t xml:space="preserve"> </w:t>
      </w:r>
      <w:r w:rsidRPr="0032453D" w:rsidR="00881BD2">
        <w:t>13</w:t>
      </w:r>
      <w:r w:rsidR="00881BD2">
        <w:t>)</w:t>
      </w:r>
      <w:r w:rsidR="00357C14">
        <w:t xml:space="preserve"> </w:t>
      </w:r>
      <w:r w:rsidR="00FE2CD9">
        <w:t>laat dit amendement de bijgestelde knikpunten van kracht, maar verlaagt het de arbeidskorting evenredig over de hele breedte</w:t>
      </w:r>
      <w:r w:rsidR="009C3206">
        <w:t>.</w:t>
      </w:r>
    </w:p>
    <w:p w:rsidR="00A079A9" w:rsidP="00BF623B" w:rsidRDefault="00A079A9" w14:paraId="2883CF99" w14:textId="77777777"/>
    <w:p w:rsidR="00FC5AA7" w:rsidP="00FC5AA7" w:rsidRDefault="00FC5AA7" w14:paraId="6775ED88" w14:textId="4269E7AB">
      <w:r>
        <w:t xml:space="preserve">Het is totaal onnodig om de al forse arbeidskorting nog verder te verhogen. En het is tegelijkertijd juist van </w:t>
      </w:r>
      <w:r>
        <w:lastRenderedPageBreak/>
        <w:t>belang dat het belastingtarief in de eerste schijf van de inkomstenbelasting zo laag mogelijk is. Bovendien is dit amendement in lijn met de door de Kamer bij de Algemene Politieke Beschouwingen aangenomen motie van de leden Van Hijum en Bikker over de verhoging van de arbeidskorting terugdraaien en het tarief in de eerste schijf van de inkomstenbelasting met de vrijvallende middelen verlagen (36 800 nr. 30).</w:t>
      </w:r>
    </w:p>
    <w:p w:rsidR="00A079A9" w:rsidP="00481858" w:rsidRDefault="00A079A9" w14:paraId="27CA6CBF" w14:textId="77777777">
      <w:pPr>
        <w:rPr>
          <w:b/>
          <w:bCs/>
        </w:rPr>
      </w:pPr>
    </w:p>
    <w:p w:rsidRPr="00A079A9" w:rsidR="00FC5AA7" w:rsidP="00481858" w:rsidRDefault="00FC5AA7" w14:paraId="13B101AE" w14:textId="583296A7">
      <w:pPr>
        <w:rPr>
          <w:i/>
          <w:iCs/>
        </w:rPr>
      </w:pPr>
      <w:r w:rsidRPr="00A079A9">
        <w:rPr>
          <w:i/>
          <w:iCs/>
        </w:rPr>
        <w:t>Technische toelichting</w:t>
      </w:r>
    </w:p>
    <w:p w:rsidR="00481858" w:rsidP="00481858" w:rsidRDefault="00481858" w14:paraId="3CAB4973" w14:textId="73E96BB3">
      <w:r>
        <w:t xml:space="preserve">Met het onderhavige amendement wordt de </w:t>
      </w:r>
      <w:r w:rsidR="006E211C">
        <w:t>naar aanleiding van de motie Klaver/Kouwenhoven</w:t>
      </w:r>
      <w:r w:rsidR="00881BD2">
        <w:t xml:space="preserve"> </w:t>
      </w:r>
      <w:r w:rsidR="00A02CDC">
        <w:t xml:space="preserve">via een nota van wijziging </w:t>
      </w:r>
      <w:r>
        <w:t xml:space="preserve">in het wetsvoorstel opgenomen verhoging </w:t>
      </w:r>
      <w:r w:rsidR="00B43848">
        <w:t xml:space="preserve">– ten opzichte van het oorspronkelijke wetsvoorstel - </w:t>
      </w:r>
      <w:r>
        <w:t xml:space="preserve">van </w:t>
      </w:r>
      <w:r w:rsidR="006E211C">
        <w:t xml:space="preserve">het tarief </w:t>
      </w:r>
      <w:r w:rsidR="007E7E68">
        <w:t>in</w:t>
      </w:r>
      <w:r w:rsidR="00B43848">
        <w:t xml:space="preserve"> de </w:t>
      </w:r>
      <w:r w:rsidR="006E211C">
        <w:t>eerste schijf</w:t>
      </w:r>
      <w:r w:rsidR="002C3BF5">
        <w:t xml:space="preserve"> </w:t>
      </w:r>
      <w:r w:rsidR="00B43848">
        <w:t xml:space="preserve">voor de inkomstenbelasting en de loonbelasting </w:t>
      </w:r>
      <w:r w:rsidR="002C3BF5">
        <w:t>(</w:t>
      </w:r>
      <w:r w:rsidRPr="00DC5141" w:rsidR="002C3BF5">
        <w:t xml:space="preserve">met </w:t>
      </w:r>
      <w:r w:rsidRPr="00DC5141" w:rsidR="004B77E5">
        <w:t>0,05</w:t>
      </w:r>
      <w:r w:rsidRPr="00DC5141" w:rsidR="002C3BF5">
        <w:t>%-</w:t>
      </w:r>
      <w:r w:rsidR="002C3BF5">
        <w:t>punt)</w:t>
      </w:r>
      <w:r>
        <w:t xml:space="preserve"> </w:t>
      </w:r>
      <w:r w:rsidR="00196518">
        <w:t xml:space="preserve">voor het jaar 2026 </w:t>
      </w:r>
      <w:r>
        <w:t>ongedaan gemaakt</w:t>
      </w:r>
      <w:r w:rsidR="002C3BF5">
        <w:t xml:space="preserve">. </w:t>
      </w:r>
      <w:r w:rsidR="008C2F60">
        <w:t xml:space="preserve">Na de nota van wijziging was de in het wetsvoorstel Belastingplan 2026 opgenomen </w:t>
      </w:r>
      <w:r w:rsidR="00B074C3">
        <w:t xml:space="preserve">verlaging 0,07%-punt. Met dit amendement wordt een </w:t>
      </w:r>
      <w:r w:rsidR="00DA5557">
        <w:t xml:space="preserve">verdere </w:t>
      </w:r>
      <w:r w:rsidR="00B074C3">
        <w:t xml:space="preserve">verlaging van 0,05%-punt voorgesteld. In totaal betreft dit dus een verlaging </w:t>
      </w:r>
      <w:r w:rsidR="00DA5557">
        <w:t>met</w:t>
      </w:r>
      <w:r w:rsidR="00B074C3">
        <w:t xml:space="preserve"> 0,12%-punt. </w:t>
      </w:r>
    </w:p>
    <w:p w:rsidR="00A079A9" w:rsidP="00481858" w:rsidRDefault="00A079A9" w14:paraId="60BF522B" w14:textId="77777777"/>
    <w:p w:rsidR="00196518" w:rsidP="00BF623B" w:rsidRDefault="00AD40E0" w14:paraId="0FD4D48C" w14:textId="32CC079F">
      <w:r>
        <w:t xml:space="preserve">Ter dekking hiervan wordt de arbeidskorting </w:t>
      </w:r>
      <w:r w:rsidR="00B43848">
        <w:t xml:space="preserve">voor het kalenderjaar 2026 </w:t>
      </w:r>
      <w:r>
        <w:t>per knikpunt evenredig verlaagd met</w:t>
      </w:r>
      <w:r w:rsidR="004B77E5">
        <w:t xml:space="preserve"> € 5 bij het eerste knikpunt, € 25 bij het tweede knikpunt en € 27 bij het derde knikpunt</w:t>
      </w:r>
      <w:r w:rsidR="00B43848">
        <w:t>.</w:t>
      </w:r>
      <w:r w:rsidR="004B77E5">
        <w:t xml:space="preserve"> </w:t>
      </w:r>
    </w:p>
    <w:p w:rsidR="00A079A9" w:rsidP="00BF623B" w:rsidRDefault="00A079A9" w14:paraId="35319CF1" w14:textId="77777777"/>
    <w:p w:rsidR="004B77E5" w:rsidP="00BF623B" w:rsidRDefault="004B77E5" w14:paraId="38AD3DDD" w14:textId="0E17190A">
      <w:r>
        <w:t xml:space="preserve">Voor de </w:t>
      </w:r>
      <w:r w:rsidR="00B43848">
        <w:t>kalender</w:t>
      </w:r>
      <w:r>
        <w:t xml:space="preserve">jaren 2031, 2032, 2033 en 2035 wordt </w:t>
      </w:r>
      <w:r w:rsidR="00B43848">
        <w:t>genoemd</w:t>
      </w:r>
      <w:r>
        <w:t xml:space="preserve"> tarief in de eerste schijf </w:t>
      </w:r>
      <w:r w:rsidR="00B43848">
        <w:t xml:space="preserve">met dit amendement </w:t>
      </w:r>
      <w:r w:rsidR="005C796F">
        <w:t xml:space="preserve">jaarlijks </w:t>
      </w:r>
      <w:r>
        <w:t>met 0,01%-punt verlaagd.</w:t>
      </w:r>
      <w:r w:rsidR="00AD40E0">
        <w:t xml:space="preserve"> </w:t>
      </w:r>
      <w:r w:rsidR="00DA5557">
        <w:t xml:space="preserve">Dit wordt vormgegeven door de in het wetsvoorstel opgenomen verhogingen met 0,01%-punt te laten vervallen. </w:t>
      </w:r>
      <w:r>
        <w:t xml:space="preserve">De </w:t>
      </w:r>
      <w:r w:rsidR="00DA5557">
        <w:t>met die aanpassing van het tarief</w:t>
      </w:r>
      <w:r w:rsidR="00B43848">
        <w:t xml:space="preserve"> </w:t>
      </w:r>
      <w:r w:rsidR="00DA5557">
        <w:t xml:space="preserve">(ten opzichte van het wetsvoorstel) </w:t>
      </w:r>
      <w:r w:rsidR="00B43848">
        <w:t xml:space="preserve">samenhangende </w:t>
      </w:r>
      <w:r>
        <w:t xml:space="preserve">verlaging van de knikpunten in de arbeidskorting voor deze </w:t>
      </w:r>
      <w:r w:rsidR="005C796F">
        <w:t>kalender</w:t>
      </w:r>
      <w:r>
        <w:t xml:space="preserve">jaren is </w:t>
      </w:r>
      <w:r w:rsidR="00B43848">
        <w:t xml:space="preserve">– samen met de verlaging voor het kalenderjaar 2026 - </w:t>
      </w:r>
      <w:r>
        <w:t>in de hierna opgenomen tabel weergegeven.</w:t>
      </w:r>
      <w:r w:rsidR="00DA5557">
        <w:t xml:space="preserve"> Deze bedragen worden als zodanig niet geïndexeerd.</w:t>
      </w:r>
    </w:p>
    <w:p w:rsidR="004B77E5" w:rsidP="00BF623B" w:rsidRDefault="004B77E5" w14:paraId="53A1AC19" w14:textId="77777777"/>
    <w:p w:rsidRPr="00A079A9" w:rsidR="004B77E5" w:rsidP="00BF623B" w:rsidRDefault="004B77E5" w14:paraId="21C09906" w14:textId="507C0180">
      <w:pPr>
        <w:rPr>
          <w:i/>
          <w:iCs/>
          <w:szCs w:val="24"/>
        </w:rPr>
      </w:pPr>
      <w:r w:rsidRPr="00A079A9">
        <w:rPr>
          <w:i/>
          <w:iCs/>
          <w:szCs w:val="24"/>
        </w:rPr>
        <w:t>Verlaging arbeidskorting per knikpunt (in lopende prijzen)</w:t>
      </w:r>
    </w:p>
    <w:tbl>
      <w:tblPr>
        <w:tblW w:w="9913" w:type="dxa"/>
        <w:tblLayout w:type="fixed"/>
        <w:tblCellMar>
          <w:left w:w="0" w:type="dxa"/>
          <w:right w:w="0" w:type="dxa"/>
        </w:tblCellMar>
        <w:tblLook w:val="04A0" w:firstRow="1" w:lastRow="0" w:firstColumn="1" w:lastColumn="0" w:noHBand="0" w:noVBand="1"/>
      </w:tblPr>
      <w:tblGrid>
        <w:gridCol w:w="3109"/>
        <w:gridCol w:w="1360"/>
        <w:gridCol w:w="1361"/>
        <w:gridCol w:w="1361"/>
        <w:gridCol w:w="1361"/>
        <w:gridCol w:w="1361"/>
      </w:tblGrid>
      <w:tr w:rsidRPr="00A079A9" w:rsidR="004B77E5" w:rsidTr="00F97A90" w14:paraId="0F9E70C4" w14:textId="77777777">
        <w:trPr>
          <w:trHeight w:val="358"/>
        </w:trPr>
        <w:tc>
          <w:tcPr>
            <w:tcW w:w="3109"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79A9" w:rsidR="004B77E5" w:rsidP="004B77E5" w:rsidRDefault="004B77E5" w14:paraId="0FD2CCA0" w14:textId="77777777">
            <w:pPr>
              <w:widowControl/>
              <w:rPr>
                <w:rFonts w:eastAsia="Calibri"/>
                <w:szCs w:val="24"/>
              </w:rPr>
            </w:pPr>
          </w:p>
        </w:tc>
        <w:tc>
          <w:tcPr>
            <w:tcW w:w="136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2500C435" w14:textId="77777777">
            <w:pPr>
              <w:widowControl/>
              <w:jc w:val="right"/>
              <w:rPr>
                <w:rFonts w:eastAsia="Calibri"/>
                <w:szCs w:val="24"/>
              </w:rPr>
            </w:pPr>
            <w:r w:rsidRPr="00A079A9">
              <w:rPr>
                <w:rFonts w:eastAsia="Calibri"/>
                <w:szCs w:val="24"/>
              </w:rPr>
              <w:t>2026</w:t>
            </w:r>
          </w:p>
        </w:tc>
        <w:tc>
          <w:tcPr>
            <w:tcW w:w="136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770CDF4F" w14:textId="77777777">
            <w:pPr>
              <w:widowControl/>
              <w:jc w:val="right"/>
              <w:rPr>
                <w:rFonts w:eastAsia="Calibri"/>
                <w:szCs w:val="24"/>
              </w:rPr>
            </w:pPr>
            <w:r w:rsidRPr="00A079A9">
              <w:rPr>
                <w:rFonts w:eastAsia="Calibri"/>
                <w:szCs w:val="24"/>
              </w:rPr>
              <w:t>2031</w:t>
            </w:r>
          </w:p>
        </w:tc>
        <w:tc>
          <w:tcPr>
            <w:tcW w:w="136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43DFCD2A" w14:textId="77777777">
            <w:pPr>
              <w:widowControl/>
              <w:jc w:val="right"/>
              <w:rPr>
                <w:rFonts w:eastAsia="Calibri"/>
                <w:szCs w:val="24"/>
              </w:rPr>
            </w:pPr>
            <w:r w:rsidRPr="00A079A9">
              <w:rPr>
                <w:rFonts w:eastAsia="Calibri"/>
                <w:szCs w:val="24"/>
              </w:rPr>
              <w:t>2032</w:t>
            </w:r>
          </w:p>
        </w:tc>
        <w:tc>
          <w:tcPr>
            <w:tcW w:w="136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7BCE9AA6" w14:textId="77777777">
            <w:pPr>
              <w:widowControl/>
              <w:jc w:val="right"/>
              <w:rPr>
                <w:rFonts w:eastAsia="Calibri"/>
                <w:szCs w:val="24"/>
              </w:rPr>
            </w:pPr>
            <w:r w:rsidRPr="00A079A9">
              <w:rPr>
                <w:rFonts w:eastAsia="Calibri"/>
                <w:szCs w:val="24"/>
              </w:rPr>
              <w:t>2033</w:t>
            </w:r>
          </w:p>
        </w:tc>
        <w:tc>
          <w:tcPr>
            <w:tcW w:w="136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36C71C88" w14:textId="77777777">
            <w:pPr>
              <w:widowControl/>
              <w:jc w:val="right"/>
              <w:rPr>
                <w:rFonts w:eastAsia="Calibri"/>
                <w:szCs w:val="24"/>
              </w:rPr>
            </w:pPr>
            <w:r w:rsidRPr="00A079A9">
              <w:rPr>
                <w:rFonts w:eastAsia="Calibri"/>
                <w:szCs w:val="24"/>
              </w:rPr>
              <w:t>2035</w:t>
            </w:r>
          </w:p>
        </w:tc>
      </w:tr>
      <w:tr w:rsidRPr="00A079A9" w:rsidR="004B77E5" w:rsidTr="00F97A90" w14:paraId="721F9F6D" w14:textId="77777777">
        <w:trPr>
          <w:trHeight w:val="327"/>
        </w:trPr>
        <w:tc>
          <w:tcPr>
            <w:tcW w:w="310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79A9" w:rsidR="004B77E5" w:rsidP="004B77E5" w:rsidRDefault="004B77E5" w14:paraId="4C58BD22" w14:textId="77777777">
            <w:pPr>
              <w:widowControl/>
              <w:rPr>
                <w:rFonts w:eastAsia="Calibri"/>
                <w:szCs w:val="24"/>
              </w:rPr>
            </w:pPr>
            <w:r w:rsidRPr="00A079A9">
              <w:rPr>
                <w:rFonts w:eastAsia="Calibri"/>
                <w:szCs w:val="24"/>
              </w:rPr>
              <w:t>1</w:t>
            </w:r>
            <w:r w:rsidRPr="00A079A9">
              <w:rPr>
                <w:rFonts w:eastAsia="Calibri"/>
                <w:szCs w:val="24"/>
                <w:vertAlign w:val="superscript"/>
              </w:rPr>
              <w:t>e</w:t>
            </w:r>
            <w:r w:rsidRPr="00A079A9">
              <w:rPr>
                <w:rFonts w:eastAsia="Calibri"/>
                <w:szCs w:val="24"/>
              </w:rPr>
              <w:t xml:space="preserve"> knikpunt</w:t>
            </w:r>
          </w:p>
        </w:tc>
        <w:tc>
          <w:tcPr>
            <w:tcW w:w="13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035CA875" w14:textId="77777777">
            <w:pPr>
              <w:widowControl/>
              <w:jc w:val="right"/>
              <w:rPr>
                <w:rFonts w:eastAsia="Calibri"/>
                <w:szCs w:val="24"/>
              </w:rPr>
            </w:pPr>
            <w:r w:rsidRPr="00A079A9">
              <w:rPr>
                <w:rFonts w:eastAsia="Calibri"/>
                <w:szCs w:val="24"/>
              </w:rPr>
              <w:t>-5</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7711DFCE" w14:textId="77777777">
            <w:pPr>
              <w:widowControl/>
              <w:jc w:val="right"/>
              <w:rPr>
                <w:rFonts w:eastAsia="Calibri"/>
                <w:szCs w:val="24"/>
              </w:rPr>
            </w:pPr>
            <w:r w:rsidRPr="00A079A9">
              <w:rPr>
                <w:rFonts w:eastAsia="Calibri"/>
                <w:szCs w:val="24"/>
              </w:rPr>
              <w:t>-1</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03C3DB60" w14:textId="77777777">
            <w:pPr>
              <w:widowControl/>
              <w:jc w:val="right"/>
              <w:rPr>
                <w:rFonts w:eastAsia="Calibri"/>
                <w:szCs w:val="24"/>
              </w:rPr>
            </w:pPr>
            <w:r w:rsidRPr="00A079A9">
              <w:rPr>
                <w:rFonts w:eastAsia="Calibri"/>
                <w:szCs w:val="24"/>
              </w:rPr>
              <w:t>-1</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0BC396F8" w14:textId="77777777">
            <w:pPr>
              <w:widowControl/>
              <w:jc w:val="right"/>
              <w:rPr>
                <w:rFonts w:eastAsia="Calibri"/>
                <w:szCs w:val="24"/>
              </w:rPr>
            </w:pPr>
            <w:r w:rsidRPr="00A079A9">
              <w:rPr>
                <w:rFonts w:eastAsia="Calibri"/>
                <w:szCs w:val="24"/>
              </w:rPr>
              <w:t>-1</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A079A9" w:rsidR="004B77E5" w:rsidP="00F97A90" w:rsidRDefault="004B77E5" w14:paraId="6EDB6787" w14:textId="77777777">
            <w:pPr>
              <w:widowControl/>
              <w:jc w:val="right"/>
              <w:rPr>
                <w:rFonts w:eastAsia="Calibri"/>
                <w:szCs w:val="24"/>
              </w:rPr>
            </w:pPr>
          </w:p>
        </w:tc>
      </w:tr>
      <w:tr w:rsidRPr="00A079A9" w:rsidR="004B77E5" w:rsidTr="00F97A90" w14:paraId="6826746C" w14:textId="77777777">
        <w:trPr>
          <w:trHeight w:val="327"/>
        </w:trPr>
        <w:tc>
          <w:tcPr>
            <w:tcW w:w="310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79A9" w:rsidR="004B77E5" w:rsidP="004B77E5" w:rsidRDefault="004B77E5" w14:paraId="4233FC54" w14:textId="77777777">
            <w:pPr>
              <w:widowControl/>
              <w:rPr>
                <w:rFonts w:eastAsia="Calibri"/>
                <w:szCs w:val="24"/>
              </w:rPr>
            </w:pPr>
            <w:r w:rsidRPr="00A079A9">
              <w:rPr>
                <w:rFonts w:eastAsia="Calibri"/>
                <w:szCs w:val="24"/>
              </w:rPr>
              <w:t>2</w:t>
            </w:r>
            <w:r w:rsidRPr="00A079A9">
              <w:rPr>
                <w:rFonts w:eastAsia="Calibri"/>
                <w:szCs w:val="24"/>
                <w:vertAlign w:val="superscript"/>
              </w:rPr>
              <w:t>e</w:t>
            </w:r>
            <w:r w:rsidRPr="00A079A9">
              <w:rPr>
                <w:rFonts w:eastAsia="Calibri"/>
                <w:szCs w:val="24"/>
              </w:rPr>
              <w:t xml:space="preserve"> knikpunt</w:t>
            </w:r>
          </w:p>
        </w:tc>
        <w:tc>
          <w:tcPr>
            <w:tcW w:w="13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5F63F35D" w14:textId="77777777">
            <w:pPr>
              <w:widowControl/>
              <w:jc w:val="right"/>
              <w:rPr>
                <w:rFonts w:eastAsia="Calibri"/>
                <w:szCs w:val="24"/>
              </w:rPr>
            </w:pPr>
            <w:r w:rsidRPr="00A079A9">
              <w:rPr>
                <w:rFonts w:eastAsia="Calibri"/>
                <w:szCs w:val="24"/>
              </w:rPr>
              <w:t>-25</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4B2A0C7A" w14:textId="77777777">
            <w:pPr>
              <w:widowControl/>
              <w:jc w:val="right"/>
              <w:rPr>
                <w:rFonts w:eastAsia="Calibri"/>
                <w:szCs w:val="24"/>
              </w:rPr>
            </w:pPr>
            <w:r w:rsidRPr="00A079A9">
              <w:rPr>
                <w:rFonts w:eastAsia="Calibri"/>
                <w:szCs w:val="24"/>
              </w:rPr>
              <w:t>-5</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272D8A99" w14:textId="77777777">
            <w:pPr>
              <w:widowControl/>
              <w:jc w:val="right"/>
              <w:rPr>
                <w:rFonts w:eastAsia="Calibri"/>
                <w:szCs w:val="24"/>
              </w:rPr>
            </w:pPr>
            <w:r w:rsidRPr="00A079A9">
              <w:rPr>
                <w:rFonts w:eastAsia="Calibri"/>
                <w:szCs w:val="24"/>
              </w:rPr>
              <w:t>-7</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192AE71A" w14:textId="77777777">
            <w:pPr>
              <w:widowControl/>
              <w:jc w:val="right"/>
              <w:rPr>
                <w:rFonts w:eastAsia="Calibri"/>
                <w:szCs w:val="24"/>
              </w:rPr>
            </w:pPr>
            <w:r w:rsidRPr="00A079A9">
              <w:rPr>
                <w:rFonts w:eastAsia="Calibri"/>
                <w:szCs w:val="24"/>
              </w:rPr>
              <w:t>-3</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A079A9" w:rsidR="004B77E5" w:rsidP="00F97A90" w:rsidRDefault="004B77E5" w14:paraId="2FE7BC10" w14:textId="77777777">
            <w:pPr>
              <w:widowControl/>
              <w:jc w:val="right"/>
              <w:rPr>
                <w:rFonts w:eastAsia="Calibri"/>
                <w:szCs w:val="24"/>
              </w:rPr>
            </w:pPr>
          </w:p>
        </w:tc>
      </w:tr>
      <w:tr w:rsidRPr="00A079A9" w:rsidR="004B77E5" w:rsidTr="00F97A90" w14:paraId="35351B59" w14:textId="77777777">
        <w:trPr>
          <w:trHeight w:val="327"/>
        </w:trPr>
        <w:tc>
          <w:tcPr>
            <w:tcW w:w="310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79A9" w:rsidR="004B77E5" w:rsidP="004B77E5" w:rsidRDefault="004B77E5" w14:paraId="264D3F6F" w14:textId="77777777">
            <w:pPr>
              <w:widowControl/>
              <w:rPr>
                <w:rFonts w:eastAsia="Calibri"/>
                <w:szCs w:val="24"/>
              </w:rPr>
            </w:pPr>
            <w:r w:rsidRPr="00A079A9">
              <w:rPr>
                <w:rFonts w:eastAsia="Calibri"/>
                <w:szCs w:val="24"/>
              </w:rPr>
              <w:t>3</w:t>
            </w:r>
            <w:r w:rsidRPr="00A079A9">
              <w:rPr>
                <w:rFonts w:eastAsia="Calibri"/>
                <w:szCs w:val="24"/>
                <w:vertAlign w:val="superscript"/>
              </w:rPr>
              <w:t>e</w:t>
            </w:r>
            <w:r w:rsidRPr="00A079A9">
              <w:rPr>
                <w:rFonts w:eastAsia="Calibri"/>
                <w:szCs w:val="24"/>
              </w:rPr>
              <w:t xml:space="preserve"> knikpunt</w:t>
            </w:r>
          </w:p>
        </w:tc>
        <w:tc>
          <w:tcPr>
            <w:tcW w:w="13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7C8743E3" w14:textId="77777777">
            <w:pPr>
              <w:widowControl/>
              <w:jc w:val="right"/>
              <w:rPr>
                <w:rFonts w:eastAsia="Calibri"/>
                <w:szCs w:val="24"/>
              </w:rPr>
            </w:pPr>
            <w:r w:rsidRPr="00A079A9">
              <w:rPr>
                <w:rFonts w:eastAsia="Calibri"/>
                <w:szCs w:val="24"/>
              </w:rPr>
              <w:t>-27</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6C95CF3D" w14:textId="77777777">
            <w:pPr>
              <w:widowControl/>
              <w:jc w:val="right"/>
              <w:rPr>
                <w:rFonts w:eastAsia="Calibri"/>
                <w:szCs w:val="24"/>
              </w:rPr>
            </w:pPr>
            <w:r w:rsidRPr="00A079A9">
              <w:rPr>
                <w:rFonts w:eastAsia="Calibri"/>
                <w:szCs w:val="24"/>
              </w:rPr>
              <w:t>-5</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4A3C3A11" w14:textId="77777777">
            <w:pPr>
              <w:widowControl/>
              <w:jc w:val="right"/>
              <w:rPr>
                <w:rFonts w:eastAsia="Calibri"/>
                <w:szCs w:val="24"/>
              </w:rPr>
            </w:pPr>
            <w:r w:rsidRPr="00A079A9">
              <w:rPr>
                <w:rFonts w:eastAsia="Calibri"/>
                <w:szCs w:val="24"/>
              </w:rPr>
              <w:t>-8</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4B77E5" w:rsidP="00F97A90" w:rsidRDefault="004B77E5" w14:paraId="038C6F07" w14:textId="77777777">
            <w:pPr>
              <w:widowControl/>
              <w:jc w:val="right"/>
              <w:rPr>
                <w:rFonts w:eastAsia="Calibri"/>
                <w:szCs w:val="24"/>
              </w:rPr>
            </w:pPr>
            <w:r w:rsidRPr="00A079A9">
              <w:rPr>
                <w:rFonts w:eastAsia="Calibri"/>
                <w:szCs w:val="24"/>
              </w:rPr>
              <w:t>-3</w:t>
            </w:r>
          </w:p>
        </w:tc>
        <w:tc>
          <w:tcPr>
            <w:tcW w:w="1361"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A079A9" w:rsidR="004B77E5" w:rsidP="00F97A90" w:rsidRDefault="004B77E5" w14:paraId="41B41923" w14:textId="77777777">
            <w:pPr>
              <w:widowControl/>
              <w:jc w:val="right"/>
              <w:rPr>
                <w:rFonts w:eastAsia="Calibri"/>
                <w:szCs w:val="24"/>
              </w:rPr>
            </w:pPr>
          </w:p>
        </w:tc>
      </w:tr>
    </w:tbl>
    <w:p w:rsidRPr="00A079A9" w:rsidR="00481858" w:rsidP="00481858" w:rsidRDefault="00481858" w14:paraId="26006144" w14:textId="77777777">
      <w:pPr>
        <w:rPr>
          <w:szCs w:val="24"/>
        </w:rPr>
      </w:pPr>
    </w:p>
    <w:p w:rsidRPr="00A079A9" w:rsidR="00481858" w:rsidP="00BF623B" w:rsidRDefault="00DA1591" w14:paraId="30E0A82C" w14:textId="48476344">
      <w:pPr>
        <w:rPr>
          <w:i/>
          <w:iCs/>
          <w:szCs w:val="24"/>
        </w:rPr>
      </w:pPr>
      <w:r w:rsidRPr="00A079A9">
        <w:rPr>
          <w:i/>
          <w:iCs/>
          <w:szCs w:val="24"/>
        </w:rPr>
        <w:t>Budgettaire tabel</w:t>
      </w:r>
    </w:p>
    <w:tbl>
      <w:tblPr>
        <w:tblW w:w="9913" w:type="dxa"/>
        <w:tblLayout w:type="fixed"/>
        <w:tblCellMar>
          <w:left w:w="0" w:type="dxa"/>
          <w:right w:w="0" w:type="dxa"/>
        </w:tblCellMar>
        <w:tblLook w:val="04A0" w:firstRow="1" w:lastRow="0" w:firstColumn="1" w:lastColumn="0" w:noHBand="0" w:noVBand="1"/>
      </w:tblPr>
      <w:tblGrid>
        <w:gridCol w:w="2542"/>
        <w:gridCol w:w="819"/>
        <w:gridCol w:w="819"/>
        <w:gridCol w:w="819"/>
        <w:gridCol w:w="819"/>
        <w:gridCol w:w="819"/>
        <w:gridCol w:w="819"/>
        <w:gridCol w:w="819"/>
        <w:gridCol w:w="819"/>
        <w:gridCol w:w="819"/>
      </w:tblGrid>
      <w:tr w:rsidRPr="00A079A9" w:rsidR="0098528B" w:rsidTr="0098528B" w14:paraId="62643178" w14:textId="1C47D936">
        <w:trPr>
          <w:trHeight w:val="255"/>
        </w:trPr>
        <w:tc>
          <w:tcPr>
            <w:tcW w:w="2542"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787DBEDF" w14:textId="77777777">
            <w:pPr>
              <w:widowControl/>
              <w:rPr>
                <w:rFonts w:eastAsia="Calibri"/>
                <w:szCs w:val="24"/>
              </w:rPr>
            </w:pPr>
          </w:p>
        </w:tc>
        <w:tc>
          <w:tcPr>
            <w:tcW w:w="81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0B106A79" w14:textId="77777777">
            <w:pPr>
              <w:widowControl/>
              <w:jc w:val="right"/>
              <w:rPr>
                <w:rFonts w:eastAsia="Calibri"/>
                <w:b/>
                <w:bCs/>
                <w:szCs w:val="24"/>
              </w:rPr>
            </w:pPr>
            <w:r w:rsidRPr="00A079A9">
              <w:rPr>
                <w:rFonts w:eastAsia="Calibri"/>
                <w:b/>
                <w:bCs/>
                <w:szCs w:val="24"/>
              </w:rPr>
              <w:t>2026</w:t>
            </w:r>
          </w:p>
        </w:tc>
        <w:tc>
          <w:tcPr>
            <w:tcW w:w="81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0FD1685F" w14:textId="77777777">
            <w:pPr>
              <w:widowControl/>
              <w:jc w:val="right"/>
              <w:rPr>
                <w:rFonts w:eastAsia="Calibri"/>
                <w:b/>
                <w:bCs/>
                <w:szCs w:val="24"/>
              </w:rPr>
            </w:pPr>
            <w:r w:rsidRPr="00A079A9">
              <w:rPr>
                <w:rFonts w:eastAsia="Calibri"/>
                <w:b/>
                <w:bCs/>
                <w:szCs w:val="24"/>
              </w:rPr>
              <w:t>2027</w:t>
            </w:r>
          </w:p>
        </w:tc>
        <w:tc>
          <w:tcPr>
            <w:tcW w:w="81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6F9DB1C4" w14:textId="77777777">
            <w:pPr>
              <w:widowControl/>
              <w:jc w:val="right"/>
              <w:rPr>
                <w:rFonts w:eastAsia="Calibri"/>
                <w:b/>
                <w:bCs/>
                <w:szCs w:val="24"/>
              </w:rPr>
            </w:pPr>
            <w:r w:rsidRPr="00A079A9">
              <w:rPr>
                <w:rFonts w:eastAsia="Calibri"/>
                <w:b/>
                <w:bCs/>
                <w:szCs w:val="24"/>
              </w:rPr>
              <w:t>2028</w:t>
            </w:r>
          </w:p>
        </w:tc>
        <w:tc>
          <w:tcPr>
            <w:tcW w:w="81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0FB9A152" w14:textId="77777777">
            <w:pPr>
              <w:widowControl/>
              <w:jc w:val="right"/>
              <w:rPr>
                <w:rFonts w:eastAsia="Calibri"/>
                <w:b/>
                <w:bCs/>
                <w:szCs w:val="24"/>
              </w:rPr>
            </w:pPr>
            <w:r w:rsidRPr="00A079A9">
              <w:rPr>
                <w:rFonts w:eastAsia="Calibri"/>
                <w:b/>
                <w:bCs/>
                <w:szCs w:val="24"/>
              </w:rPr>
              <w:t>2029</w:t>
            </w:r>
          </w:p>
        </w:tc>
        <w:tc>
          <w:tcPr>
            <w:tcW w:w="81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5F6E76AB" w14:textId="77777777">
            <w:pPr>
              <w:widowControl/>
              <w:jc w:val="right"/>
              <w:rPr>
                <w:rFonts w:eastAsia="Calibri"/>
                <w:b/>
                <w:bCs/>
                <w:szCs w:val="24"/>
              </w:rPr>
            </w:pPr>
            <w:r w:rsidRPr="00A079A9">
              <w:rPr>
                <w:rFonts w:eastAsia="Calibri"/>
                <w:b/>
                <w:bCs/>
                <w:szCs w:val="24"/>
              </w:rPr>
              <w:t>2030</w:t>
            </w:r>
          </w:p>
        </w:tc>
        <w:tc>
          <w:tcPr>
            <w:tcW w:w="81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2BCB5A96" w14:textId="77777777">
            <w:pPr>
              <w:widowControl/>
              <w:jc w:val="right"/>
              <w:rPr>
                <w:rFonts w:eastAsia="Calibri"/>
                <w:b/>
                <w:bCs/>
                <w:szCs w:val="24"/>
              </w:rPr>
            </w:pPr>
            <w:r w:rsidRPr="00A079A9">
              <w:rPr>
                <w:rFonts w:eastAsia="Calibri"/>
                <w:b/>
                <w:bCs/>
                <w:szCs w:val="24"/>
              </w:rPr>
              <w:t>2031</w:t>
            </w:r>
          </w:p>
        </w:tc>
        <w:tc>
          <w:tcPr>
            <w:tcW w:w="81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335EE584" w14:textId="77777777">
            <w:pPr>
              <w:widowControl/>
              <w:jc w:val="right"/>
              <w:rPr>
                <w:rFonts w:eastAsia="Calibri"/>
                <w:b/>
                <w:bCs/>
                <w:szCs w:val="24"/>
              </w:rPr>
            </w:pPr>
            <w:r w:rsidRPr="00A079A9">
              <w:rPr>
                <w:rFonts w:eastAsia="Calibri"/>
                <w:b/>
                <w:bCs/>
                <w:szCs w:val="24"/>
              </w:rPr>
              <w:t>2032</w:t>
            </w:r>
          </w:p>
        </w:tc>
        <w:tc>
          <w:tcPr>
            <w:tcW w:w="81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5A97B532" w14:textId="77777777">
            <w:pPr>
              <w:widowControl/>
              <w:jc w:val="right"/>
              <w:rPr>
                <w:rFonts w:eastAsia="Calibri"/>
                <w:b/>
                <w:bCs/>
                <w:szCs w:val="24"/>
              </w:rPr>
            </w:pPr>
            <w:r w:rsidRPr="00A079A9">
              <w:rPr>
                <w:rFonts w:eastAsia="Calibri"/>
                <w:b/>
                <w:bCs/>
                <w:szCs w:val="24"/>
              </w:rPr>
              <w:t>2033</w:t>
            </w:r>
          </w:p>
        </w:tc>
        <w:tc>
          <w:tcPr>
            <w:tcW w:w="819" w:type="dxa"/>
            <w:tcBorders>
              <w:top w:val="single" w:color="auto" w:sz="8" w:space="0"/>
              <w:left w:val="nil"/>
              <w:bottom w:val="single" w:color="auto" w:sz="8" w:space="0"/>
              <w:right w:val="single" w:color="auto" w:sz="8" w:space="0"/>
            </w:tcBorders>
          </w:tcPr>
          <w:p w:rsidRPr="00A079A9" w:rsidR="0098528B" w:rsidP="00DA1591" w:rsidRDefault="0098528B" w14:paraId="0B64ADE2" w14:textId="170A59F7">
            <w:pPr>
              <w:widowControl/>
              <w:jc w:val="right"/>
              <w:rPr>
                <w:rFonts w:eastAsia="Calibri"/>
                <w:b/>
                <w:bCs/>
                <w:szCs w:val="24"/>
              </w:rPr>
            </w:pPr>
            <w:proofErr w:type="spellStart"/>
            <w:r w:rsidRPr="00A079A9">
              <w:rPr>
                <w:rFonts w:eastAsia="Calibri"/>
                <w:b/>
                <w:bCs/>
                <w:szCs w:val="24"/>
              </w:rPr>
              <w:t>Struc</w:t>
            </w:r>
            <w:proofErr w:type="spellEnd"/>
          </w:p>
        </w:tc>
      </w:tr>
      <w:tr w:rsidRPr="00A079A9" w:rsidR="0098528B" w:rsidTr="0098528B" w14:paraId="0AAE5497" w14:textId="306F7299">
        <w:trPr>
          <w:trHeight w:val="255"/>
        </w:trPr>
        <w:tc>
          <w:tcPr>
            <w:tcW w:w="2542"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38CAC4AD" w14:textId="77777777">
            <w:pPr>
              <w:widowControl/>
              <w:rPr>
                <w:rFonts w:eastAsia="Calibri"/>
                <w:szCs w:val="24"/>
              </w:rPr>
            </w:pPr>
            <w:r w:rsidRPr="00A079A9">
              <w:rPr>
                <w:rFonts w:eastAsia="Calibri"/>
                <w:szCs w:val="24"/>
              </w:rPr>
              <w:t xml:space="preserve">Terugdraaien verhogen TES uit </w:t>
            </w:r>
            <w:proofErr w:type="spellStart"/>
            <w:r w:rsidRPr="00A079A9">
              <w:rPr>
                <w:rFonts w:eastAsia="Calibri"/>
                <w:szCs w:val="24"/>
              </w:rPr>
              <w:t>NvW</w:t>
            </w:r>
            <w:proofErr w:type="spellEnd"/>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55E7F2E5" w14:textId="77777777">
            <w:pPr>
              <w:widowControl/>
              <w:jc w:val="right"/>
              <w:rPr>
                <w:rFonts w:eastAsia="Calibri"/>
                <w:szCs w:val="24"/>
              </w:rPr>
            </w:pPr>
            <w:r w:rsidRPr="00A079A9">
              <w:rPr>
                <w:rFonts w:eastAsia="Calibri"/>
                <w:szCs w:val="24"/>
              </w:rPr>
              <w:t>-189</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3E5E110F" w14:textId="77777777">
            <w:pPr>
              <w:widowControl/>
              <w:jc w:val="right"/>
              <w:rPr>
                <w:rFonts w:eastAsia="Calibri"/>
                <w:szCs w:val="24"/>
              </w:rPr>
            </w:pPr>
            <w:r w:rsidRPr="00A079A9">
              <w:rPr>
                <w:rFonts w:eastAsia="Calibri"/>
                <w:szCs w:val="24"/>
              </w:rPr>
              <w:t>-191</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39C14C6F" w14:textId="77777777">
            <w:pPr>
              <w:widowControl/>
              <w:jc w:val="right"/>
              <w:rPr>
                <w:rFonts w:eastAsia="Calibri"/>
                <w:szCs w:val="24"/>
              </w:rPr>
            </w:pPr>
            <w:r w:rsidRPr="00A079A9">
              <w:rPr>
                <w:rFonts w:eastAsia="Calibri"/>
                <w:szCs w:val="24"/>
              </w:rPr>
              <w:t>-192</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479E0BF3" w14:textId="77777777">
            <w:pPr>
              <w:widowControl/>
              <w:jc w:val="right"/>
              <w:rPr>
                <w:rFonts w:eastAsia="Calibri"/>
                <w:szCs w:val="24"/>
              </w:rPr>
            </w:pPr>
            <w:r w:rsidRPr="00A079A9">
              <w:rPr>
                <w:rFonts w:eastAsia="Calibri"/>
                <w:szCs w:val="24"/>
              </w:rPr>
              <w:t>-192</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153D4A03" w14:textId="77777777">
            <w:pPr>
              <w:widowControl/>
              <w:jc w:val="right"/>
              <w:rPr>
                <w:rFonts w:eastAsia="Calibri"/>
                <w:szCs w:val="24"/>
              </w:rPr>
            </w:pPr>
            <w:r w:rsidRPr="00A079A9">
              <w:rPr>
                <w:rFonts w:eastAsia="Calibri"/>
                <w:szCs w:val="24"/>
              </w:rPr>
              <w:t>-196</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6B4D1BAC" w14:textId="77777777">
            <w:pPr>
              <w:widowControl/>
              <w:jc w:val="right"/>
              <w:rPr>
                <w:rFonts w:eastAsia="Calibri"/>
                <w:szCs w:val="24"/>
              </w:rPr>
            </w:pPr>
            <w:r w:rsidRPr="00A079A9">
              <w:rPr>
                <w:rFonts w:eastAsia="Calibri"/>
                <w:szCs w:val="24"/>
              </w:rPr>
              <w:t>-234</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082B7360" w14:textId="77777777">
            <w:pPr>
              <w:widowControl/>
              <w:jc w:val="right"/>
              <w:rPr>
                <w:rFonts w:eastAsia="Calibri"/>
                <w:szCs w:val="24"/>
              </w:rPr>
            </w:pPr>
            <w:r w:rsidRPr="00A079A9">
              <w:rPr>
                <w:rFonts w:eastAsia="Calibri"/>
                <w:szCs w:val="24"/>
              </w:rPr>
              <w:t>-284</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05F5CDEB" w14:textId="77777777">
            <w:pPr>
              <w:widowControl/>
              <w:jc w:val="right"/>
              <w:rPr>
                <w:rFonts w:eastAsia="Calibri"/>
                <w:szCs w:val="24"/>
              </w:rPr>
            </w:pPr>
            <w:r w:rsidRPr="00A079A9">
              <w:rPr>
                <w:rFonts w:eastAsia="Calibri"/>
                <w:szCs w:val="24"/>
              </w:rPr>
              <w:t>-320</w:t>
            </w:r>
          </w:p>
        </w:tc>
        <w:tc>
          <w:tcPr>
            <w:tcW w:w="819" w:type="dxa"/>
            <w:tcBorders>
              <w:top w:val="nil"/>
              <w:left w:val="nil"/>
              <w:bottom w:val="single" w:color="auto" w:sz="8" w:space="0"/>
              <w:right w:val="single" w:color="auto" w:sz="8" w:space="0"/>
            </w:tcBorders>
          </w:tcPr>
          <w:p w:rsidRPr="00A079A9" w:rsidR="0098528B" w:rsidP="0098528B" w:rsidRDefault="0098528B" w14:paraId="3E8C139A" w14:textId="501A5E33">
            <w:pPr>
              <w:widowControl/>
              <w:jc w:val="right"/>
              <w:rPr>
                <w:rFonts w:eastAsia="Calibri"/>
                <w:szCs w:val="24"/>
              </w:rPr>
            </w:pPr>
            <w:r w:rsidRPr="00A079A9">
              <w:rPr>
                <w:rFonts w:eastAsia="Calibri"/>
                <w:szCs w:val="24"/>
              </w:rPr>
              <w:t>-3</w:t>
            </w:r>
            <w:r w:rsidRPr="00A079A9" w:rsidR="00F97A90">
              <w:rPr>
                <w:rFonts w:eastAsia="Calibri"/>
                <w:szCs w:val="24"/>
              </w:rPr>
              <w:t>11</w:t>
            </w:r>
          </w:p>
        </w:tc>
      </w:tr>
      <w:tr w:rsidRPr="00A079A9" w:rsidR="0098528B" w:rsidTr="0098528B" w14:paraId="7B12DA93" w14:textId="1ED8C161">
        <w:trPr>
          <w:trHeight w:val="255"/>
        </w:trPr>
        <w:tc>
          <w:tcPr>
            <w:tcW w:w="2542"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5CEFED29" w14:textId="77777777">
            <w:pPr>
              <w:widowControl/>
              <w:rPr>
                <w:rFonts w:eastAsia="Calibri"/>
                <w:szCs w:val="24"/>
              </w:rPr>
            </w:pPr>
            <w:r w:rsidRPr="00A079A9">
              <w:rPr>
                <w:rFonts w:eastAsia="Calibri"/>
                <w:szCs w:val="24"/>
              </w:rPr>
              <w:t>Verlagen AK</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7B6A2298" w14:textId="77777777">
            <w:pPr>
              <w:widowControl/>
              <w:jc w:val="right"/>
              <w:rPr>
                <w:rFonts w:eastAsia="Calibri"/>
                <w:szCs w:val="24"/>
              </w:rPr>
            </w:pPr>
            <w:r w:rsidRPr="00A079A9">
              <w:rPr>
                <w:rFonts w:eastAsia="Calibri"/>
                <w:szCs w:val="24"/>
              </w:rPr>
              <w:t>192</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31BE2638" w14:textId="77777777">
            <w:pPr>
              <w:widowControl/>
              <w:jc w:val="right"/>
              <w:rPr>
                <w:rFonts w:eastAsia="Calibri"/>
                <w:szCs w:val="24"/>
              </w:rPr>
            </w:pPr>
            <w:r w:rsidRPr="00A079A9">
              <w:rPr>
                <w:rFonts w:eastAsia="Calibri"/>
                <w:szCs w:val="24"/>
              </w:rPr>
              <w:t>196</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66CCF5B4" w14:textId="77777777">
            <w:pPr>
              <w:widowControl/>
              <w:jc w:val="right"/>
              <w:rPr>
                <w:rFonts w:eastAsia="Calibri"/>
                <w:szCs w:val="24"/>
              </w:rPr>
            </w:pPr>
            <w:r w:rsidRPr="00A079A9">
              <w:rPr>
                <w:rFonts w:eastAsia="Calibri"/>
                <w:szCs w:val="24"/>
              </w:rPr>
              <w:t>197</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5FFADF8B" w14:textId="77777777">
            <w:pPr>
              <w:widowControl/>
              <w:jc w:val="right"/>
              <w:rPr>
                <w:rFonts w:eastAsia="Calibri"/>
                <w:szCs w:val="24"/>
              </w:rPr>
            </w:pPr>
            <w:r w:rsidRPr="00A079A9">
              <w:rPr>
                <w:rFonts w:eastAsia="Calibri"/>
                <w:szCs w:val="24"/>
              </w:rPr>
              <w:t>197</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365EB994" w14:textId="77777777">
            <w:pPr>
              <w:widowControl/>
              <w:jc w:val="right"/>
              <w:rPr>
                <w:rFonts w:eastAsia="Calibri"/>
                <w:szCs w:val="24"/>
              </w:rPr>
            </w:pPr>
            <w:r w:rsidRPr="00A079A9">
              <w:rPr>
                <w:rFonts w:eastAsia="Calibri"/>
                <w:szCs w:val="24"/>
              </w:rPr>
              <w:t>197</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6B0233B0" w14:textId="77777777">
            <w:pPr>
              <w:widowControl/>
              <w:jc w:val="right"/>
              <w:rPr>
                <w:rFonts w:eastAsia="Calibri"/>
                <w:szCs w:val="24"/>
              </w:rPr>
            </w:pPr>
            <w:r w:rsidRPr="00A079A9">
              <w:rPr>
                <w:rFonts w:eastAsia="Calibri"/>
                <w:szCs w:val="24"/>
              </w:rPr>
              <w:t>235</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4E85C75F" w14:textId="77777777">
            <w:pPr>
              <w:widowControl/>
              <w:jc w:val="right"/>
              <w:rPr>
                <w:rFonts w:eastAsia="Calibri"/>
                <w:szCs w:val="24"/>
              </w:rPr>
            </w:pPr>
            <w:r w:rsidRPr="00A079A9">
              <w:rPr>
                <w:rFonts w:eastAsia="Calibri"/>
                <w:szCs w:val="24"/>
              </w:rPr>
              <w:t>282</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7D3E58A8" w14:textId="77777777">
            <w:pPr>
              <w:widowControl/>
              <w:jc w:val="right"/>
              <w:rPr>
                <w:rFonts w:eastAsia="Calibri"/>
                <w:szCs w:val="24"/>
              </w:rPr>
            </w:pPr>
            <w:r w:rsidRPr="00A079A9">
              <w:rPr>
                <w:rFonts w:eastAsia="Calibri"/>
                <w:szCs w:val="24"/>
              </w:rPr>
              <w:t>305</w:t>
            </w:r>
          </w:p>
        </w:tc>
        <w:tc>
          <w:tcPr>
            <w:tcW w:w="819" w:type="dxa"/>
            <w:tcBorders>
              <w:top w:val="nil"/>
              <w:left w:val="nil"/>
              <w:bottom w:val="single" w:color="auto" w:sz="8" w:space="0"/>
              <w:right w:val="single" w:color="auto" w:sz="8" w:space="0"/>
            </w:tcBorders>
          </w:tcPr>
          <w:p w:rsidRPr="00A079A9" w:rsidR="0098528B" w:rsidP="00DA1591" w:rsidRDefault="0098528B" w14:paraId="7C7F762F" w14:textId="64043CF4">
            <w:pPr>
              <w:widowControl/>
              <w:jc w:val="right"/>
              <w:rPr>
                <w:rFonts w:eastAsia="Calibri"/>
                <w:szCs w:val="24"/>
              </w:rPr>
            </w:pPr>
            <w:r w:rsidRPr="00A079A9">
              <w:rPr>
                <w:rFonts w:eastAsia="Calibri"/>
                <w:szCs w:val="24"/>
              </w:rPr>
              <w:t>3</w:t>
            </w:r>
            <w:r w:rsidRPr="00A079A9" w:rsidR="00F97A90">
              <w:rPr>
                <w:rFonts w:eastAsia="Calibri"/>
                <w:szCs w:val="24"/>
              </w:rPr>
              <w:t>29</w:t>
            </w:r>
          </w:p>
        </w:tc>
      </w:tr>
      <w:tr w:rsidRPr="00A079A9" w:rsidR="0098528B" w:rsidTr="0098528B" w14:paraId="01FB3B83" w14:textId="40E5E202">
        <w:trPr>
          <w:trHeight w:val="255"/>
        </w:trPr>
        <w:tc>
          <w:tcPr>
            <w:tcW w:w="2542"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1D583C28" w14:textId="77777777">
            <w:pPr>
              <w:widowControl/>
              <w:rPr>
                <w:rFonts w:eastAsia="Calibri"/>
                <w:b/>
                <w:bCs/>
                <w:szCs w:val="24"/>
              </w:rPr>
            </w:pPr>
            <w:r w:rsidRPr="00A079A9">
              <w:rPr>
                <w:rFonts w:eastAsia="Calibri"/>
                <w:b/>
                <w:bCs/>
                <w:szCs w:val="24"/>
              </w:rPr>
              <w:t>Totaal</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5D087CA8" w14:textId="77777777">
            <w:pPr>
              <w:widowControl/>
              <w:jc w:val="right"/>
              <w:rPr>
                <w:rFonts w:eastAsia="Calibri"/>
                <w:b/>
                <w:bCs/>
                <w:szCs w:val="24"/>
              </w:rPr>
            </w:pPr>
            <w:r w:rsidRPr="00A079A9">
              <w:rPr>
                <w:rFonts w:eastAsia="Calibri"/>
                <w:b/>
                <w:bCs/>
                <w:szCs w:val="24"/>
              </w:rPr>
              <w:t>3</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29A326BA" w14:textId="77777777">
            <w:pPr>
              <w:widowControl/>
              <w:jc w:val="right"/>
              <w:rPr>
                <w:rFonts w:eastAsia="Calibri"/>
                <w:b/>
                <w:bCs/>
                <w:szCs w:val="24"/>
              </w:rPr>
            </w:pPr>
            <w:r w:rsidRPr="00A079A9">
              <w:rPr>
                <w:rFonts w:eastAsia="Calibri"/>
                <w:b/>
                <w:bCs/>
                <w:szCs w:val="24"/>
              </w:rPr>
              <w:t>5</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73118469" w14:textId="77777777">
            <w:pPr>
              <w:widowControl/>
              <w:jc w:val="right"/>
              <w:rPr>
                <w:rFonts w:eastAsia="Calibri"/>
                <w:b/>
                <w:bCs/>
                <w:szCs w:val="24"/>
              </w:rPr>
            </w:pPr>
            <w:r w:rsidRPr="00A079A9">
              <w:rPr>
                <w:rFonts w:eastAsia="Calibri"/>
                <w:b/>
                <w:bCs/>
                <w:szCs w:val="24"/>
              </w:rPr>
              <w:t>5</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02119DFE" w14:textId="77777777">
            <w:pPr>
              <w:widowControl/>
              <w:jc w:val="right"/>
              <w:rPr>
                <w:rFonts w:eastAsia="Calibri"/>
                <w:b/>
                <w:bCs/>
                <w:szCs w:val="24"/>
              </w:rPr>
            </w:pPr>
            <w:r w:rsidRPr="00A079A9">
              <w:rPr>
                <w:rFonts w:eastAsia="Calibri"/>
                <w:b/>
                <w:bCs/>
                <w:szCs w:val="24"/>
              </w:rPr>
              <w:t>4</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78E6D7D6" w14:textId="77777777">
            <w:pPr>
              <w:widowControl/>
              <w:jc w:val="right"/>
              <w:rPr>
                <w:rFonts w:eastAsia="Calibri"/>
                <w:b/>
                <w:bCs/>
                <w:szCs w:val="24"/>
              </w:rPr>
            </w:pPr>
            <w:r w:rsidRPr="00A079A9">
              <w:rPr>
                <w:rFonts w:eastAsia="Calibri"/>
                <w:b/>
                <w:bCs/>
                <w:szCs w:val="24"/>
              </w:rPr>
              <w:t>1</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4AF32049" w14:textId="77777777">
            <w:pPr>
              <w:widowControl/>
              <w:jc w:val="right"/>
              <w:rPr>
                <w:rFonts w:eastAsia="Calibri"/>
                <w:b/>
                <w:bCs/>
                <w:szCs w:val="24"/>
              </w:rPr>
            </w:pPr>
            <w:r w:rsidRPr="00A079A9">
              <w:rPr>
                <w:rFonts w:eastAsia="Calibri"/>
                <w:b/>
                <w:bCs/>
                <w:szCs w:val="24"/>
              </w:rPr>
              <w:t>1</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6C2A5E84" w14:textId="77777777">
            <w:pPr>
              <w:widowControl/>
              <w:jc w:val="right"/>
              <w:rPr>
                <w:rFonts w:eastAsia="Calibri"/>
                <w:b/>
                <w:bCs/>
                <w:szCs w:val="24"/>
              </w:rPr>
            </w:pPr>
            <w:r w:rsidRPr="00A079A9">
              <w:rPr>
                <w:rFonts w:eastAsia="Calibri"/>
                <w:b/>
                <w:bCs/>
                <w:szCs w:val="24"/>
              </w:rPr>
              <w:t>-1</w:t>
            </w:r>
          </w:p>
        </w:tc>
        <w:tc>
          <w:tcPr>
            <w:tcW w:w="81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A079A9" w:rsidR="0098528B" w:rsidP="00DA1591" w:rsidRDefault="0098528B" w14:paraId="3078F187" w14:textId="77777777">
            <w:pPr>
              <w:widowControl/>
              <w:jc w:val="right"/>
              <w:rPr>
                <w:rFonts w:eastAsia="Calibri"/>
                <w:b/>
                <w:bCs/>
                <w:szCs w:val="24"/>
              </w:rPr>
            </w:pPr>
            <w:r w:rsidRPr="00A079A9">
              <w:rPr>
                <w:rFonts w:eastAsia="Calibri"/>
                <w:b/>
                <w:bCs/>
                <w:szCs w:val="24"/>
              </w:rPr>
              <w:t>-15</w:t>
            </w:r>
          </w:p>
        </w:tc>
        <w:tc>
          <w:tcPr>
            <w:tcW w:w="819" w:type="dxa"/>
            <w:tcBorders>
              <w:top w:val="nil"/>
              <w:left w:val="nil"/>
              <w:bottom w:val="single" w:color="auto" w:sz="8" w:space="0"/>
              <w:right w:val="single" w:color="auto" w:sz="8" w:space="0"/>
            </w:tcBorders>
          </w:tcPr>
          <w:p w:rsidRPr="00A079A9" w:rsidR="0098528B" w:rsidP="00DA1591" w:rsidRDefault="0098528B" w14:paraId="4E1C4729" w14:textId="4ADA8FCE">
            <w:pPr>
              <w:widowControl/>
              <w:jc w:val="right"/>
              <w:rPr>
                <w:rFonts w:eastAsia="Calibri"/>
                <w:b/>
                <w:bCs/>
                <w:szCs w:val="24"/>
              </w:rPr>
            </w:pPr>
            <w:r w:rsidRPr="00A079A9">
              <w:rPr>
                <w:rFonts w:eastAsia="Calibri"/>
                <w:b/>
                <w:bCs/>
                <w:szCs w:val="24"/>
              </w:rPr>
              <w:t>18</w:t>
            </w:r>
          </w:p>
        </w:tc>
      </w:tr>
    </w:tbl>
    <w:p w:rsidRPr="00F97A90" w:rsidR="00DA1591" w:rsidP="00BF623B" w:rsidRDefault="00DA1591" w14:paraId="542F7481" w14:textId="77777777"/>
    <w:p w:rsidRPr="002A45C2" w:rsidR="00B4708A" w:rsidP="00EA1CE4" w:rsidRDefault="00FC5AA7" w14:paraId="4554FBCB" w14:textId="0DE9AA2F">
      <w:r w:rsidRPr="00A079A9">
        <w:t>Grinwis</w:t>
      </w:r>
    </w:p>
    <w:sectPr w:rsidRPr="002A45C2" w:rsidR="00B4708A" w:rsidSect="00EA1CE4">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84A60" w14:textId="77777777" w:rsidR="001F3C59" w:rsidRDefault="001F3C59">
      <w:pPr>
        <w:spacing w:line="20" w:lineRule="exact"/>
      </w:pPr>
    </w:p>
  </w:endnote>
  <w:endnote w:type="continuationSeparator" w:id="0">
    <w:p w14:paraId="35AF3904" w14:textId="77777777" w:rsidR="001F3C59" w:rsidRDefault="001F3C59">
      <w:pPr>
        <w:pStyle w:val="Amendement"/>
      </w:pPr>
      <w:r>
        <w:rPr>
          <w:b w:val="0"/>
        </w:rPr>
        <w:t xml:space="preserve"> </w:t>
      </w:r>
    </w:p>
  </w:endnote>
  <w:endnote w:type="continuationNotice" w:id="1">
    <w:p w14:paraId="7645D2FB" w14:textId="77777777" w:rsidR="001F3C59" w:rsidRDefault="001F3C5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DF94" w14:textId="77777777" w:rsidR="001F3C59" w:rsidRDefault="001F3C59">
      <w:pPr>
        <w:pStyle w:val="Amendement"/>
      </w:pPr>
      <w:r>
        <w:rPr>
          <w:b w:val="0"/>
        </w:rPr>
        <w:separator/>
      </w:r>
    </w:p>
  </w:footnote>
  <w:footnote w:type="continuationSeparator" w:id="0">
    <w:p w14:paraId="5A6D456D" w14:textId="77777777" w:rsidR="001F3C59" w:rsidRDefault="001F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4BE3"/>
    <w:multiLevelType w:val="hybridMultilevel"/>
    <w:tmpl w:val="5D887D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00B22E8"/>
    <w:multiLevelType w:val="hybridMultilevel"/>
    <w:tmpl w:val="5D887D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1339027">
    <w:abstractNumId w:val="0"/>
  </w:num>
  <w:num w:numId="2" w16cid:durableId="1532763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17D98"/>
    <w:rsid w:val="00017DA8"/>
    <w:rsid w:val="00085CFC"/>
    <w:rsid w:val="0009231A"/>
    <w:rsid w:val="000D17BF"/>
    <w:rsid w:val="000F7CB8"/>
    <w:rsid w:val="001035B4"/>
    <w:rsid w:val="00113C8A"/>
    <w:rsid w:val="00124E0B"/>
    <w:rsid w:val="00140DF8"/>
    <w:rsid w:val="00157CAF"/>
    <w:rsid w:val="001656EE"/>
    <w:rsid w:val="0016653D"/>
    <w:rsid w:val="00191ECA"/>
    <w:rsid w:val="00196518"/>
    <w:rsid w:val="001A03F7"/>
    <w:rsid w:val="001A087F"/>
    <w:rsid w:val="001B12C8"/>
    <w:rsid w:val="001D6F28"/>
    <w:rsid w:val="001E0E21"/>
    <w:rsid w:val="001F3C59"/>
    <w:rsid w:val="002153B0"/>
    <w:rsid w:val="0021777F"/>
    <w:rsid w:val="00241DD0"/>
    <w:rsid w:val="002672CD"/>
    <w:rsid w:val="0027323B"/>
    <w:rsid w:val="002903D7"/>
    <w:rsid w:val="002A0713"/>
    <w:rsid w:val="002A0C72"/>
    <w:rsid w:val="002A45C2"/>
    <w:rsid w:val="002B06CB"/>
    <w:rsid w:val="002C3BF5"/>
    <w:rsid w:val="002C648F"/>
    <w:rsid w:val="00300E76"/>
    <w:rsid w:val="0032453D"/>
    <w:rsid w:val="003418F3"/>
    <w:rsid w:val="00357C14"/>
    <w:rsid w:val="003701DE"/>
    <w:rsid w:val="00392EE7"/>
    <w:rsid w:val="003A6923"/>
    <w:rsid w:val="003C21AC"/>
    <w:rsid w:val="003C5218"/>
    <w:rsid w:val="003E0A0F"/>
    <w:rsid w:val="003E2F98"/>
    <w:rsid w:val="00401C8D"/>
    <w:rsid w:val="0042030D"/>
    <w:rsid w:val="0042574B"/>
    <w:rsid w:val="004330ED"/>
    <w:rsid w:val="004772BA"/>
    <w:rsid w:val="00481858"/>
    <w:rsid w:val="00481C91"/>
    <w:rsid w:val="004911E3"/>
    <w:rsid w:val="00497D57"/>
    <w:rsid w:val="004A7DD4"/>
    <w:rsid w:val="004B50D8"/>
    <w:rsid w:val="004B5B90"/>
    <w:rsid w:val="004B77E5"/>
    <w:rsid w:val="00501109"/>
    <w:rsid w:val="0050290C"/>
    <w:rsid w:val="005119A0"/>
    <w:rsid w:val="00537266"/>
    <w:rsid w:val="00552412"/>
    <w:rsid w:val="00553376"/>
    <w:rsid w:val="005703C9"/>
    <w:rsid w:val="00581A87"/>
    <w:rsid w:val="00597703"/>
    <w:rsid w:val="005A6097"/>
    <w:rsid w:val="005B1DCC"/>
    <w:rsid w:val="005B7323"/>
    <w:rsid w:val="005C25B9"/>
    <w:rsid w:val="005C796F"/>
    <w:rsid w:val="005F3895"/>
    <w:rsid w:val="005F59E7"/>
    <w:rsid w:val="00603EC2"/>
    <w:rsid w:val="006267E6"/>
    <w:rsid w:val="006558D2"/>
    <w:rsid w:val="006627F6"/>
    <w:rsid w:val="00672D25"/>
    <w:rsid w:val="006738BC"/>
    <w:rsid w:val="00681F4C"/>
    <w:rsid w:val="006B3DCA"/>
    <w:rsid w:val="006D3E69"/>
    <w:rsid w:val="006D7738"/>
    <w:rsid w:val="006E0059"/>
    <w:rsid w:val="006E0971"/>
    <w:rsid w:val="006E211C"/>
    <w:rsid w:val="006F66A7"/>
    <w:rsid w:val="007709F6"/>
    <w:rsid w:val="00786649"/>
    <w:rsid w:val="007965FC"/>
    <w:rsid w:val="007A79AF"/>
    <w:rsid w:val="007B322B"/>
    <w:rsid w:val="007C69FF"/>
    <w:rsid w:val="007C6B5C"/>
    <w:rsid w:val="007D2608"/>
    <w:rsid w:val="007D73F9"/>
    <w:rsid w:val="007E7E68"/>
    <w:rsid w:val="008150E7"/>
    <w:rsid w:val="008164E5"/>
    <w:rsid w:val="00827898"/>
    <w:rsid w:val="00830081"/>
    <w:rsid w:val="00832A36"/>
    <w:rsid w:val="008413F4"/>
    <w:rsid w:val="008467D7"/>
    <w:rsid w:val="00852541"/>
    <w:rsid w:val="00857EC3"/>
    <w:rsid w:val="00865D47"/>
    <w:rsid w:val="008727E6"/>
    <w:rsid w:val="008766F7"/>
    <w:rsid w:val="00876E61"/>
    <w:rsid w:val="00881BD2"/>
    <w:rsid w:val="0088452C"/>
    <w:rsid w:val="008C2F60"/>
    <w:rsid w:val="008C50F5"/>
    <w:rsid w:val="008D7DCB"/>
    <w:rsid w:val="009009B5"/>
    <w:rsid w:val="009055DB"/>
    <w:rsid w:val="00905ECB"/>
    <w:rsid w:val="00941C3A"/>
    <w:rsid w:val="0094436D"/>
    <w:rsid w:val="009608B4"/>
    <w:rsid w:val="0096165D"/>
    <w:rsid w:val="00970F9B"/>
    <w:rsid w:val="0098528B"/>
    <w:rsid w:val="009854A0"/>
    <w:rsid w:val="00993F91"/>
    <w:rsid w:val="009A409F"/>
    <w:rsid w:val="009A5E6F"/>
    <w:rsid w:val="009A669E"/>
    <w:rsid w:val="009A67DF"/>
    <w:rsid w:val="009B5845"/>
    <w:rsid w:val="009C0C1F"/>
    <w:rsid w:val="009C1735"/>
    <w:rsid w:val="009C3206"/>
    <w:rsid w:val="009E3005"/>
    <w:rsid w:val="009E643F"/>
    <w:rsid w:val="00A02847"/>
    <w:rsid w:val="00A02CDC"/>
    <w:rsid w:val="00A079A9"/>
    <w:rsid w:val="00A10505"/>
    <w:rsid w:val="00A1288B"/>
    <w:rsid w:val="00A25FB8"/>
    <w:rsid w:val="00A53203"/>
    <w:rsid w:val="00A772EB"/>
    <w:rsid w:val="00AC3FA5"/>
    <w:rsid w:val="00AD09E6"/>
    <w:rsid w:val="00AD40E0"/>
    <w:rsid w:val="00AE6176"/>
    <w:rsid w:val="00AF71D9"/>
    <w:rsid w:val="00B01BA6"/>
    <w:rsid w:val="00B068EE"/>
    <w:rsid w:val="00B074C3"/>
    <w:rsid w:val="00B2756E"/>
    <w:rsid w:val="00B43848"/>
    <w:rsid w:val="00B4708A"/>
    <w:rsid w:val="00B709BF"/>
    <w:rsid w:val="00B87F58"/>
    <w:rsid w:val="00BA0069"/>
    <w:rsid w:val="00BA7902"/>
    <w:rsid w:val="00BC0CA5"/>
    <w:rsid w:val="00BC3F1F"/>
    <w:rsid w:val="00BF623B"/>
    <w:rsid w:val="00BF76E5"/>
    <w:rsid w:val="00C035D4"/>
    <w:rsid w:val="00C1522C"/>
    <w:rsid w:val="00C159CB"/>
    <w:rsid w:val="00C34704"/>
    <w:rsid w:val="00C34EB3"/>
    <w:rsid w:val="00C51C78"/>
    <w:rsid w:val="00C679BF"/>
    <w:rsid w:val="00C81BBD"/>
    <w:rsid w:val="00CD3132"/>
    <w:rsid w:val="00CE27CD"/>
    <w:rsid w:val="00D134F3"/>
    <w:rsid w:val="00D20D53"/>
    <w:rsid w:val="00D41A19"/>
    <w:rsid w:val="00D47D01"/>
    <w:rsid w:val="00D55A96"/>
    <w:rsid w:val="00D774B3"/>
    <w:rsid w:val="00D77638"/>
    <w:rsid w:val="00DA1591"/>
    <w:rsid w:val="00DA5557"/>
    <w:rsid w:val="00DB63E3"/>
    <w:rsid w:val="00DC5141"/>
    <w:rsid w:val="00DD35A5"/>
    <w:rsid w:val="00DF68BE"/>
    <w:rsid w:val="00DF712A"/>
    <w:rsid w:val="00E01659"/>
    <w:rsid w:val="00E14CC9"/>
    <w:rsid w:val="00E25DF4"/>
    <w:rsid w:val="00E3450E"/>
    <w:rsid w:val="00E3485D"/>
    <w:rsid w:val="00E4785D"/>
    <w:rsid w:val="00E6619B"/>
    <w:rsid w:val="00E725BE"/>
    <w:rsid w:val="00E76ADB"/>
    <w:rsid w:val="00E879AF"/>
    <w:rsid w:val="00E94B6C"/>
    <w:rsid w:val="00EA0EC7"/>
    <w:rsid w:val="00EA1CE4"/>
    <w:rsid w:val="00EA69AC"/>
    <w:rsid w:val="00EB40A1"/>
    <w:rsid w:val="00EC3112"/>
    <w:rsid w:val="00EC5307"/>
    <w:rsid w:val="00ED0585"/>
    <w:rsid w:val="00ED5E57"/>
    <w:rsid w:val="00EE1BD8"/>
    <w:rsid w:val="00EE78E9"/>
    <w:rsid w:val="00F0524D"/>
    <w:rsid w:val="00F14938"/>
    <w:rsid w:val="00F97A90"/>
    <w:rsid w:val="00FA5BBE"/>
    <w:rsid w:val="00FC5AA7"/>
    <w:rsid w:val="00FE2C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52412"/>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4436D"/>
    <w:rPr>
      <w:sz w:val="16"/>
      <w:szCs w:val="16"/>
    </w:rPr>
  </w:style>
  <w:style w:type="paragraph" w:styleId="Tekstopmerking">
    <w:name w:val="annotation text"/>
    <w:basedOn w:val="Standaard"/>
    <w:link w:val="TekstopmerkingChar"/>
    <w:unhideWhenUsed/>
    <w:rsid w:val="0094436D"/>
    <w:rPr>
      <w:sz w:val="20"/>
    </w:rPr>
  </w:style>
  <w:style w:type="character" w:customStyle="1" w:styleId="TekstopmerkingChar">
    <w:name w:val="Tekst opmerking Char"/>
    <w:basedOn w:val="Standaardalinea-lettertype"/>
    <w:link w:val="Tekstopmerking"/>
    <w:rsid w:val="0094436D"/>
  </w:style>
  <w:style w:type="paragraph" w:styleId="Onderwerpvanopmerking">
    <w:name w:val="annotation subject"/>
    <w:basedOn w:val="Tekstopmerking"/>
    <w:next w:val="Tekstopmerking"/>
    <w:link w:val="OnderwerpvanopmerkingChar"/>
    <w:semiHidden/>
    <w:unhideWhenUsed/>
    <w:rsid w:val="0094436D"/>
    <w:rPr>
      <w:b/>
      <w:bCs/>
    </w:rPr>
  </w:style>
  <w:style w:type="character" w:customStyle="1" w:styleId="OnderwerpvanopmerkingChar">
    <w:name w:val="Onderwerp van opmerking Char"/>
    <w:basedOn w:val="TekstopmerkingChar"/>
    <w:link w:val="Onderwerpvanopmerking"/>
    <w:semiHidden/>
    <w:rsid w:val="0094436D"/>
    <w:rPr>
      <w:b/>
      <w:bCs/>
    </w:rPr>
  </w:style>
  <w:style w:type="paragraph" w:styleId="Revisie">
    <w:name w:val="Revision"/>
    <w:hidden/>
    <w:uiPriority w:val="99"/>
    <w:semiHidden/>
    <w:rsid w:val="00A02847"/>
    <w:rPr>
      <w:sz w:val="24"/>
    </w:rPr>
  </w:style>
  <w:style w:type="table" w:styleId="Rastertabel4-Accent1">
    <w:name w:val="Grid Table 4 Accent 1"/>
    <w:basedOn w:val="Standaardtabel"/>
    <w:uiPriority w:val="49"/>
    <w:rsid w:val="007B322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jstalinea">
    <w:name w:val="List Paragraph"/>
    <w:basedOn w:val="Standaard"/>
    <w:uiPriority w:val="34"/>
    <w:qFormat/>
    <w:rsid w:val="006E2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8888">
      <w:bodyDiv w:val="1"/>
      <w:marLeft w:val="0"/>
      <w:marRight w:val="0"/>
      <w:marTop w:val="0"/>
      <w:marBottom w:val="0"/>
      <w:divBdr>
        <w:top w:val="none" w:sz="0" w:space="0" w:color="auto"/>
        <w:left w:val="none" w:sz="0" w:space="0" w:color="auto"/>
        <w:bottom w:val="none" w:sz="0" w:space="0" w:color="auto"/>
        <w:right w:val="none" w:sz="0" w:space="0" w:color="auto"/>
      </w:divBdr>
    </w:div>
    <w:div w:id="135615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2142</ap:Words>
  <ap:Characters>11783</ap:Characters>
  <ap:DocSecurity>4</ap:DocSecurity>
  <ap:Lines>98</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2025-11-25T15:45:00.0000000Z</dcterms:created>
  <dcterms:modified xsi:type="dcterms:W3CDTF">2025-11-25T15:45:00.0000000Z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ies>
</file>