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34A3" w:rsidR="006A5738" w:rsidP="006A5738" w:rsidRDefault="006A5738" w14:paraId="52407403" w14:textId="310E734F">
      <w:r>
        <w:t xml:space="preserve">Op 1 januari </w:t>
      </w:r>
      <w:r w:rsidRPr="008234A3">
        <w:t>2021 is de Wet homologatie onderhands akkoord (hierna: WHOA) in werking getreden. De WHOA strekt ertoe het reorganiserend vermogen te versterken van ondernemingen die vanwege een te zware schuldenlast insolvent</w:t>
      </w:r>
      <w:r w:rsidRPr="008234A3" w:rsidR="00D6795C">
        <w:t xml:space="preserve"> </w:t>
      </w:r>
      <w:r w:rsidRPr="008234A3">
        <w:t>dreigen te raken, maar wel beschikken over levensvatbare bedrijfsactiviteiten. Daartoe voorziet de WHOA in de mogelijkheid voor de schuldenaar of een herstructureringsdeskundige om een onderhands akkoord door de rechter te laten goedkeuren (‘</w:t>
      </w:r>
      <w:r w:rsidRPr="008234A3" w:rsidR="00CC2E27">
        <w:t>‘</w:t>
      </w:r>
      <w:r w:rsidRPr="008234A3">
        <w:t>homologeren’</w:t>
      </w:r>
      <w:r w:rsidRPr="008234A3" w:rsidR="00CC2E27">
        <w:t>’</w:t>
      </w:r>
      <w:r w:rsidRPr="008234A3">
        <w:t xml:space="preserve">), waardoor aan dat akkoord ook schuldeisers en/of aandeelhouders zijn gebonden die niet met het </w:t>
      </w:r>
      <w:r w:rsidRPr="008234A3" w:rsidR="00C23ECC">
        <w:t xml:space="preserve">aangeboden </w:t>
      </w:r>
      <w:r w:rsidRPr="008234A3">
        <w:t>akkoord hebben ingestemd</w:t>
      </w:r>
      <w:r w:rsidRPr="008234A3" w:rsidR="00C23ECC">
        <w:t>.</w:t>
      </w:r>
      <w:r w:rsidRPr="008234A3">
        <w:t xml:space="preserve"> Van deze mogelijkheid kan </w:t>
      </w:r>
      <w:r w:rsidRPr="008234A3" w:rsidR="00C23ECC">
        <w:t>ook</w:t>
      </w:r>
      <w:r w:rsidRPr="008234A3">
        <w:t xml:space="preserve"> gebruik worden gemaakt indien een onderneming niet meer levensvatbaar is en een gecontroleerde afwikkeling buiten faillissement leidt tot een beter resultaat dan een afwikkeling binnen faillissement. </w:t>
      </w:r>
    </w:p>
    <w:p w:rsidRPr="008234A3" w:rsidR="006A5738" w:rsidP="006A5738" w:rsidRDefault="006A5738" w14:paraId="76A0E434" w14:textId="77777777"/>
    <w:p w:rsidRPr="008234A3" w:rsidR="006A5738" w:rsidP="006A5738" w:rsidRDefault="006A5738" w14:paraId="1D5673FF" w14:textId="050C8E37">
      <w:r w:rsidRPr="008234A3">
        <w:t>Bij de totstandkoming van de WHOA is vastgelegd dat de wet binnen drie jaa</w:t>
      </w:r>
      <w:r w:rsidRPr="008234A3" w:rsidR="006F406D">
        <w:t xml:space="preserve">r geëvalueerd wordt, waarbij de doeltreffendheid en effecten van de wet in de praktijk worden besproken. </w:t>
      </w:r>
      <w:r w:rsidRPr="008234A3">
        <w:t>Deze evaluatie is neergelegd in een onderzoek dat in opdracht van het WODC is uitgevoerd door de Rijksuniversiteit Groningen en de Universiteit van Leiden.</w:t>
      </w:r>
      <w:r w:rsidRPr="008234A3" w:rsidR="00B435AD">
        <w:t xml:space="preserve"> Het onderzoek is in december 2023 afgerond</w:t>
      </w:r>
      <w:r w:rsidRPr="008234A3" w:rsidR="0066194A">
        <w:t xml:space="preserve"> en op 22 januari 2024 aan uw Kamer aangeboden</w:t>
      </w:r>
      <w:r w:rsidRPr="008234A3" w:rsidR="00B435AD">
        <w:t>.</w:t>
      </w:r>
      <w:r w:rsidRPr="008234A3" w:rsidR="0066194A">
        <w:rPr>
          <w:rStyle w:val="Voetnootmarkering"/>
        </w:rPr>
        <w:footnoteReference w:id="1"/>
      </w:r>
      <w:r w:rsidRPr="008234A3" w:rsidR="00B435AD">
        <w:t xml:space="preserve"> </w:t>
      </w:r>
      <w:r w:rsidRPr="008234A3" w:rsidR="00FF2827">
        <w:t xml:space="preserve">Bij die gelegenheid heeft de toenmalige Staatssecretaris Rechtsbescherming aangegeven dat de regering op een later moment zal </w:t>
      </w:r>
      <w:r w:rsidRPr="008234A3" w:rsidR="00B435AD">
        <w:t xml:space="preserve">ingaan op het onderzoek en een reactie </w:t>
      </w:r>
      <w:r w:rsidRPr="008234A3" w:rsidR="00FF2827">
        <w:t xml:space="preserve">zal </w:t>
      </w:r>
      <w:r w:rsidRPr="008234A3" w:rsidR="00B435AD">
        <w:t>geven op de bevindingen.</w:t>
      </w:r>
      <w:r w:rsidRPr="008234A3" w:rsidR="00FF2827">
        <w:t xml:space="preserve"> Met de nu voorliggende brief wordt hieraan gevolg gegeven.</w:t>
      </w:r>
      <w:r w:rsidRPr="008234A3" w:rsidR="00B435AD">
        <w:t xml:space="preserve"> </w:t>
      </w:r>
    </w:p>
    <w:p w:rsidRPr="008234A3" w:rsidR="006A5738" w:rsidP="006A5738" w:rsidRDefault="006A5738" w14:paraId="35ABA4D8" w14:textId="77777777"/>
    <w:p w:rsidRPr="008234A3" w:rsidR="006A5738" w:rsidP="006A5738" w:rsidRDefault="00B47727" w14:paraId="0D92CE0F" w14:textId="6853237A">
      <w:pPr>
        <w:rPr>
          <w:b/>
          <w:bCs/>
        </w:rPr>
      </w:pPr>
      <w:r w:rsidRPr="008234A3">
        <w:rPr>
          <w:b/>
          <w:bCs/>
        </w:rPr>
        <w:t>Het onderzoek en de belangrijkste bevindingen</w:t>
      </w:r>
      <w:r w:rsidRPr="008234A3" w:rsidR="006A5738">
        <w:rPr>
          <w:b/>
          <w:bCs/>
        </w:rPr>
        <w:t xml:space="preserve"> </w:t>
      </w:r>
    </w:p>
    <w:p w:rsidRPr="008234A3" w:rsidR="009D3CBB" w:rsidP="006A5738" w:rsidRDefault="009D3CBB" w14:paraId="771940D4" w14:textId="77777777">
      <w:pPr>
        <w:rPr>
          <w:b/>
          <w:bCs/>
        </w:rPr>
      </w:pPr>
    </w:p>
    <w:p w:rsidRPr="008234A3" w:rsidR="009D3CBB" w:rsidP="006A5738" w:rsidRDefault="009D3CBB" w14:paraId="06F7A3AD" w14:textId="44692F88">
      <w:pPr>
        <w:rPr>
          <w:i/>
          <w:iCs/>
        </w:rPr>
      </w:pPr>
      <w:r w:rsidRPr="008234A3">
        <w:rPr>
          <w:i/>
          <w:iCs/>
        </w:rPr>
        <w:t>Het onderzoek</w:t>
      </w:r>
    </w:p>
    <w:p w:rsidRPr="008234A3" w:rsidR="00410487" w:rsidRDefault="00410487" w14:paraId="4BB32F49" w14:textId="77777777"/>
    <w:p w:rsidRPr="008234A3" w:rsidR="00410487" w:rsidRDefault="00FA416B" w14:paraId="3429E9F3" w14:textId="4AB89589">
      <w:r w:rsidRPr="008234A3">
        <w:t>Het onderzoek richt</w:t>
      </w:r>
      <w:r w:rsidRPr="008234A3" w:rsidR="00FF2827">
        <w:t>te</w:t>
      </w:r>
      <w:r w:rsidRPr="008234A3">
        <w:t xml:space="preserve"> zich in de kern op de volgende vragen:</w:t>
      </w:r>
    </w:p>
    <w:p w:rsidRPr="008234A3" w:rsidR="00FA416B" w:rsidP="00FA416B" w:rsidRDefault="00FA416B" w14:paraId="78B2CD34" w14:textId="5001024B">
      <w:pPr>
        <w:pStyle w:val="Lijstalinea"/>
        <w:numPr>
          <w:ilvl w:val="0"/>
          <w:numId w:val="7"/>
        </w:numPr>
      </w:pPr>
      <w:r w:rsidRPr="008234A3">
        <w:t>In hoeverre heeft de WHOA haar doelen bereikt?</w:t>
      </w:r>
    </w:p>
    <w:p w:rsidRPr="008234A3" w:rsidR="00FA416B" w:rsidP="00FA416B" w:rsidRDefault="00FA416B" w14:paraId="5468968C" w14:textId="51C1E23E">
      <w:pPr>
        <w:pStyle w:val="Lijstalinea"/>
        <w:numPr>
          <w:ilvl w:val="0"/>
          <w:numId w:val="7"/>
        </w:numPr>
      </w:pPr>
      <w:r w:rsidRPr="008234A3">
        <w:t>Is het wettelijk instrumentarium zoals neergelegd in de WHOA op de voorgenomen wijze ingezet?</w:t>
      </w:r>
    </w:p>
    <w:p w:rsidRPr="008234A3" w:rsidR="00FA416B" w:rsidP="00FA416B" w:rsidRDefault="00FA416B" w14:paraId="7E1A2966" w14:textId="7AB43F5A">
      <w:pPr>
        <w:pStyle w:val="Lijstalinea"/>
        <w:numPr>
          <w:ilvl w:val="0"/>
          <w:numId w:val="7"/>
        </w:numPr>
      </w:pPr>
      <w:r w:rsidRPr="008234A3">
        <w:t>Zijn er elementen van de WHOA die anders werken dan beoogd?</w:t>
      </w:r>
      <w:r w:rsidRPr="008234A3" w:rsidR="007256E2">
        <w:t xml:space="preserve"> </w:t>
      </w:r>
      <w:r w:rsidRPr="008234A3" w:rsidR="0018603B">
        <w:t xml:space="preserve"> </w:t>
      </w:r>
    </w:p>
    <w:p w:rsidRPr="008234A3" w:rsidR="00FA416B" w:rsidP="00FA416B" w:rsidRDefault="00FA416B" w14:paraId="032560E1" w14:textId="787E1944">
      <w:pPr>
        <w:pStyle w:val="Lijstalinea"/>
        <w:numPr>
          <w:ilvl w:val="0"/>
          <w:numId w:val="7"/>
        </w:numPr>
      </w:pPr>
      <w:r w:rsidRPr="008234A3">
        <w:t>Behoeven onderdelen van de WHOA bijstelling?</w:t>
      </w:r>
    </w:p>
    <w:p w:rsidRPr="008234A3" w:rsidR="00FA416B" w:rsidP="00FA416B" w:rsidRDefault="00FA416B" w14:paraId="3A5B9342" w14:textId="77777777"/>
    <w:p w:rsidRPr="008234A3" w:rsidR="00FA416B" w:rsidP="00FA416B" w:rsidRDefault="006630F4" w14:paraId="6E83C9CD" w14:textId="43BD1192">
      <w:r w:rsidRPr="008234A3">
        <w:t xml:space="preserve">Voor de beantwoording van deze vragen is </w:t>
      </w:r>
      <w:r w:rsidRPr="008234A3" w:rsidR="00FF2827">
        <w:t xml:space="preserve">door de onderzoekers </w:t>
      </w:r>
      <w:r w:rsidRPr="008234A3">
        <w:t>gebru</w:t>
      </w:r>
      <w:r w:rsidRPr="008234A3" w:rsidR="00361D28">
        <w:t xml:space="preserve">ik gemaakt van verschillende onderzoeksmethoden. Allereerst is een reconstructie gemaakt van de precieze doelstelling van de WHOA en welke middelen moeten bijdragen aan het bewerkstelligen van deze doelen. Ten tweede heeft een </w:t>
      </w:r>
      <w:r w:rsidRPr="008234A3" w:rsidR="00361D28">
        <w:lastRenderedPageBreak/>
        <w:t>jurisprudentieonderzoek plaatsgevonden, waarbij uitspraken</w:t>
      </w:r>
      <w:r w:rsidRPr="008234A3" w:rsidR="00C23ECC">
        <w:t xml:space="preserve"> </w:t>
      </w:r>
      <w:r w:rsidRPr="008234A3" w:rsidR="00AA43E5">
        <w:t xml:space="preserve">tussen 1 januari 2021 tot en met 1 juli 2023 </w:t>
      </w:r>
      <w:r w:rsidRPr="008234A3" w:rsidR="00C23ECC">
        <w:t>met betrekking tot de WHOA</w:t>
      </w:r>
      <w:r w:rsidRPr="008234A3" w:rsidR="00361D28">
        <w:t xml:space="preserve"> zijn geanalyseerd. </w:t>
      </w:r>
      <w:r w:rsidRPr="008234A3" w:rsidR="002B1F93">
        <w:t xml:space="preserve">Ten derde hebben verschillende </w:t>
      </w:r>
      <w:r w:rsidRPr="008234A3" w:rsidR="00C67A55">
        <w:t xml:space="preserve">expertbijeenkomsten </w:t>
      </w:r>
      <w:r w:rsidRPr="008234A3" w:rsidR="002B1F93">
        <w:t>plaatsgevonden. Ten vierde zijn diepgaande cas</w:t>
      </w:r>
      <w:r w:rsidRPr="008234A3" w:rsidR="00C67A55">
        <w:t>us</w:t>
      </w:r>
      <w:r w:rsidRPr="008234A3" w:rsidR="002B1F93">
        <w:t xml:space="preserve">studies gedaan naar een vijftal WHOA-trajecten op basis van dossiers en interviews met betrokkenen. </w:t>
      </w:r>
      <w:r w:rsidRPr="008234A3" w:rsidR="00D6795C">
        <w:t xml:space="preserve">Tot </w:t>
      </w:r>
      <w:r w:rsidRPr="008234A3" w:rsidR="002B1F93">
        <w:t xml:space="preserve">slot is een enquête </w:t>
      </w:r>
      <w:r w:rsidRPr="008234A3" w:rsidR="00B435AD">
        <w:t xml:space="preserve">uitgezet onder verschillende stakeholdersgroepen (waaronder de advocatuur, </w:t>
      </w:r>
      <w:r w:rsidRPr="008234A3" w:rsidR="00A45D5D">
        <w:t>rechterlijke macht</w:t>
      </w:r>
      <w:r w:rsidRPr="008234A3" w:rsidR="00B435AD">
        <w:t xml:space="preserve"> en de wetenschap) met </w:t>
      </w:r>
      <w:r w:rsidRPr="008234A3" w:rsidR="00AA43E5">
        <w:t>als doel</w:t>
      </w:r>
      <w:r w:rsidRPr="008234A3" w:rsidR="00C23ECC">
        <w:t xml:space="preserve"> het in kaart brengen </w:t>
      </w:r>
      <w:r w:rsidRPr="008234A3" w:rsidR="00B435AD">
        <w:t xml:space="preserve">van ervaringen met de WHOA. </w:t>
      </w:r>
    </w:p>
    <w:p w:rsidRPr="008234A3" w:rsidR="00C23ECC" w:rsidP="00FA416B" w:rsidRDefault="00C23ECC" w14:paraId="3B314283" w14:textId="77777777"/>
    <w:p w:rsidRPr="008234A3" w:rsidR="00C23ECC" w:rsidP="00FA416B" w:rsidRDefault="00C23ECC" w14:paraId="5CF4B5BF" w14:textId="33DEAA47">
      <w:pPr>
        <w:rPr>
          <w:i/>
          <w:iCs/>
        </w:rPr>
      </w:pPr>
      <w:r w:rsidRPr="008234A3">
        <w:rPr>
          <w:i/>
          <w:iCs/>
        </w:rPr>
        <w:t>Conclusies</w:t>
      </w:r>
    </w:p>
    <w:p w:rsidRPr="008234A3" w:rsidR="00B435AD" w:rsidP="00FA416B" w:rsidRDefault="00B435AD" w14:paraId="45A71641" w14:textId="77777777"/>
    <w:p w:rsidRPr="008234A3" w:rsidR="004302EB" w:rsidP="00FA416B" w:rsidRDefault="00B435AD" w14:paraId="6D7EB1AA" w14:textId="51AB3421">
      <w:r w:rsidRPr="008234A3">
        <w:t xml:space="preserve">De onderzoekers </w:t>
      </w:r>
      <w:r w:rsidRPr="008234A3" w:rsidR="00FA151D">
        <w:t xml:space="preserve">komen tot de voornaamste conclusie dat de WHOA in het algemeen de doelstelling </w:t>
      </w:r>
      <w:r w:rsidRPr="008234A3" w:rsidR="00AA43E5">
        <w:t xml:space="preserve">heeft </w:t>
      </w:r>
      <w:r w:rsidRPr="008234A3" w:rsidR="00FA151D">
        <w:t>bereikt om het reorganiserend vermogen van levensvatbare ondernemingen te versterken. Daarmee werkt de WHOA grotendeels als beoogd</w:t>
      </w:r>
      <w:r w:rsidRPr="008234A3" w:rsidR="00D6795C">
        <w:t xml:space="preserve"> en naar behoren</w:t>
      </w:r>
      <w:r w:rsidRPr="008234A3" w:rsidR="00FA151D">
        <w:t>.</w:t>
      </w:r>
      <w:r w:rsidRPr="008234A3" w:rsidR="00B81F57">
        <w:t xml:space="preserve"> Ook concluderen de onderzoekers dat het wettelijk instrumentarium in de praktijk op de voorgenomen wijze wordt ingezet. Daarbij maken de onderzoekers wel de aantekening dat de WHOA minder goed toepasbaar lijkt voor het </w:t>
      </w:r>
      <w:r w:rsidRPr="008234A3" w:rsidR="005E46CF">
        <w:t>midden- en kleinbedrijf (hierna: MKB)</w:t>
      </w:r>
      <w:r w:rsidRPr="008234A3" w:rsidR="00C23ECC">
        <w:t>,</w:t>
      </w:r>
      <w:r w:rsidRPr="008234A3" w:rsidR="00B81F57">
        <w:t xml:space="preserve"> </w:t>
      </w:r>
      <w:r w:rsidRPr="008234A3" w:rsidR="00C23ECC">
        <w:t>meer specifiek</w:t>
      </w:r>
      <w:r w:rsidRPr="008234A3" w:rsidR="00B81F57">
        <w:t xml:space="preserve"> de kleinere onderneming.</w:t>
      </w:r>
      <w:r w:rsidRPr="008234A3" w:rsidR="004302EB">
        <w:rPr>
          <w:rStyle w:val="Voetnootmarkering"/>
        </w:rPr>
        <w:footnoteReference w:id="2"/>
      </w:r>
      <w:r w:rsidRPr="008234A3" w:rsidR="00B81F57">
        <w:t xml:space="preserve"> Hiervoor geven de onderzoekers</w:t>
      </w:r>
      <w:r w:rsidRPr="008234A3" w:rsidR="00CA4F1C">
        <w:t xml:space="preserve"> als verklaring </w:t>
      </w:r>
      <w:r w:rsidRPr="008234A3" w:rsidR="004B3566">
        <w:t>dat de kosten van een WHOA-procedure</w:t>
      </w:r>
      <w:r w:rsidRPr="008234A3" w:rsidR="00C23ECC">
        <w:t xml:space="preserve"> voor deze ondernemingen</w:t>
      </w:r>
      <w:r w:rsidRPr="008234A3" w:rsidR="004B3566">
        <w:t xml:space="preserve"> een knelpunt kunnen zijn</w:t>
      </w:r>
      <w:r w:rsidRPr="008234A3" w:rsidR="009D3CBB">
        <w:t xml:space="preserve">. </w:t>
      </w:r>
      <w:r w:rsidRPr="008234A3" w:rsidR="00CA4F1C">
        <w:t xml:space="preserve">Daarnaast geven de onderzoekers aan dat de WHOA bij het MKB weinig bekend lijkt. </w:t>
      </w:r>
      <w:r w:rsidRPr="008234A3" w:rsidR="009D3CBB">
        <w:t xml:space="preserve">De onderzoekers concluderen </w:t>
      </w:r>
      <w:r w:rsidRPr="008234A3" w:rsidR="00AA43E5">
        <w:t>verder</w:t>
      </w:r>
      <w:r w:rsidRPr="008234A3" w:rsidR="009D3CBB">
        <w:t xml:space="preserve"> dat de wetsevaluatie relatief vroeg komt. Zij geven hierbij aan dat de kans bestaat dat bepaalde knelpunten nog niet voldoende uitgekristalliseerd zijn en dat de praktijk op sommige punten nog haar weg moet vinden, zoals </w:t>
      </w:r>
      <w:r w:rsidRPr="008234A3" w:rsidR="00CB6492">
        <w:t>omtrent</w:t>
      </w:r>
      <w:r w:rsidRPr="008234A3" w:rsidR="00AA43E5">
        <w:t xml:space="preserve"> de invulling van</w:t>
      </w:r>
      <w:r w:rsidRPr="008234A3" w:rsidR="009D3CBB">
        <w:t xml:space="preserve"> de rol en taakopvatting van de herstructureringsdeskundige en observator.</w:t>
      </w:r>
      <w:r w:rsidRPr="008234A3" w:rsidR="00BA10B9">
        <w:t xml:space="preserve"> </w:t>
      </w:r>
      <w:r w:rsidRPr="008234A3" w:rsidR="00D274EB">
        <w:t>Hierna wordt verder ingaan op het onderzoek</w:t>
      </w:r>
      <w:r w:rsidRPr="008234A3" w:rsidR="00B369B9">
        <w:t xml:space="preserve"> en geef ik een eerste reactie</w:t>
      </w:r>
      <w:r w:rsidRPr="008234A3" w:rsidR="00D274EB">
        <w:t xml:space="preserve">. </w:t>
      </w:r>
    </w:p>
    <w:p w:rsidRPr="008234A3" w:rsidR="00080B8C" w:rsidP="00E16F8D" w:rsidRDefault="00080B8C" w14:paraId="527B6175" w14:textId="77777777"/>
    <w:p w:rsidRPr="008234A3" w:rsidR="00080B8C" w:rsidP="00EB16BD" w:rsidRDefault="00A736EC" w14:paraId="52C54F65" w14:textId="6375CCAE">
      <w:pPr>
        <w:pStyle w:val="Lijstalinea"/>
        <w:ind w:left="0"/>
        <w:rPr>
          <w:b/>
          <w:bCs/>
        </w:rPr>
      </w:pPr>
      <w:r w:rsidRPr="008234A3">
        <w:rPr>
          <w:b/>
          <w:bCs/>
        </w:rPr>
        <w:t>Appreciatie</w:t>
      </w:r>
      <w:r w:rsidRPr="008234A3" w:rsidR="00080B8C">
        <w:rPr>
          <w:b/>
          <w:bCs/>
        </w:rPr>
        <w:t xml:space="preserve"> </w:t>
      </w:r>
      <w:r w:rsidRPr="008234A3" w:rsidR="00EB16BD">
        <w:rPr>
          <w:b/>
          <w:bCs/>
        </w:rPr>
        <w:t>en vervolgstappen</w:t>
      </w:r>
    </w:p>
    <w:p w:rsidRPr="008234A3" w:rsidR="00080B8C" w:rsidP="00CF7D16" w:rsidRDefault="00080B8C" w14:paraId="5A90A056" w14:textId="77777777">
      <w:pPr>
        <w:pStyle w:val="Lijstalinea"/>
      </w:pPr>
    </w:p>
    <w:p w:rsidRPr="008234A3" w:rsidR="00410487" w:rsidRDefault="00C67433" w14:paraId="2863B986" w14:textId="7EDB7CA3">
      <w:r w:rsidRPr="008234A3">
        <w:t xml:space="preserve">Ik heb met veel belangstelling kennis genomen van het onderzoek. Het betreft een grondig onderzoek dat veel waardevolle informatie bevat over het functioneren van de WHOA. Hiervoor spreek ik mijn waardering uit. </w:t>
      </w:r>
    </w:p>
    <w:p w:rsidRPr="008234A3" w:rsidR="00076797" w:rsidP="00AF3794" w:rsidRDefault="00C67433" w14:paraId="2896F5CD" w14:textId="01B8B975">
      <w:pPr>
        <w:pStyle w:val="Lijstalinea"/>
        <w:ind w:left="0"/>
      </w:pPr>
      <w:r w:rsidRPr="008234A3">
        <w:t>Uit het onderzoek kom</w:t>
      </w:r>
      <w:r w:rsidRPr="008234A3" w:rsidR="001D4621">
        <w:t>t</w:t>
      </w:r>
      <w:r w:rsidRPr="008234A3">
        <w:t xml:space="preserve"> naar voren dat de WHOA in zijn algemeenheid goed functioneert. Dit stemt mij tot tevredenheid. De onderzoekers signaleren</w:t>
      </w:r>
      <w:r w:rsidRPr="008234A3" w:rsidR="00545D6D">
        <w:t xml:space="preserve"> echter</w:t>
      </w:r>
      <w:r w:rsidRPr="008234A3">
        <w:t xml:space="preserve"> </w:t>
      </w:r>
      <w:r w:rsidRPr="008234A3" w:rsidR="00FF2827">
        <w:t xml:space="preserve">ook </w:t>
      </w:r>
      <w:r w:rsidRPr="008234A3">
        <w:t xml:space="preserve">dat de WHOA </w:t>
      </w:r>
      <w:r w:rsidRPr="008234A3" w:rsidR="005A7F9B">
        <w:t xml:space="preserve">minder goed toepasbaar is voor MKB-ondernemingen en dan met name </w:t>
      </w:r>
      <w:r w:rsidRPr="008234A3" w:rsidR="00DF3675">
        <w:t xml:space="preserve">voor </w:t>
      </w:r>
      <w:r w:rsidRPr="008234A3" w:rsidR="005A7F9B">
        <w:t xml:space="preserve">de kleinere ondernemingen. De onderzoekers </w:t>
      </w:r>
      <w:r w:rsidRPr="008234A3" w:rsidR="00545D6D">
        <w:t>concluderen</w:t>
      </w:r>
      <w:r w:rsidRPr="008234A3" w:rsidR="005A7F9B">
        <w:t xml:space="preserve"> dat dit komt door de hoge kosten die gepaard gaan met een WHOA-procedure</w:t>
      </w:r>
      <w:r w:rsidRPr="008234A3" w:rsidR="00CA4F1C">
        <w:t xml:space="preserve">. Ook is sprake van </w:t>
      </w:r>
      <w:r w:rsidRPr="008234A3" w:rsidR="004D267F">
        <w:t>onbekend</w:t>
      </w:r>
      <w:r w:rsidRPr="008234A3" w:rsidR="00D73529">
        <w:t>heid</w:t>
      </w:r>
      <w:r w:rsidRPr="008234A3" w:rsidR="004D267F">
        <w:t xml:space="preserve"> van het MKB met de WHO</w:t>
      </w:r>
      <w:r w:rsidRPr="008234A3" w:rsidR="00CC2E27">
        <w:t>A</w:t>
      </w:r>
      <w:r w:rsidRPr="008234A3" w:rsidR="004D267F">
        <w:t xml:space="preserve">. Met het oog hierop is reeds in </w:t>
      </w:r>
      <w:r w:rsidRPr="008234A3" w:rsidR="00305586">
        <w:t xml:space="preserve">de </w:t>
      </w:r>
      <w:r w:rsidRPr="008234A3" w:rsidR="004D267F">
        <w:t xml:space="preserve">Verzamelwet Justitie en Veiligheid </w:t>
      </w:r>
      <w:r w:rsidRPr="008234A3" w:rsidR="00305586">
        <w:t xml:space="preserve">en Asiel en Migratie </w:t>
      </w:r>
      <w:r w:rsidRPr="008234A3" w:rsidR="00655D6B">
        <w:t xml:space="preserve">2025 </w:t>
      </w:r>
      <w:r w:rsidRPr="008234A3" w:rsidR="004D267F">
        <w:t>een wijziging van de Wet griffierechten burgerlijke zaken opgenomen</w:t>
      </w:r>
      <w:r w:rsidRPr="008234A3" w:rsidR="00396491">
        <w:t xml:space="preserve"> om dit knelpunt aan te pakken.</w:t>
      </w:r>
      <w:r w:rsidRPr="008234A3" w:rsidR="00EE76DF">
        <w:t xml:space="preserve"> Meer specifiek </w:t>
      </w:r>
      <w:bookmarkStart w:name="_Hlk184220472" w:id="0"/>
      <w:r w:rsidRPr="008234A3" w:rsidR="00EE76DF">
        <w:t xml:space="preserve">wordt in </w:t>
      </w:r>
      <w:r w:rsidRPr="008234A3" w:rsidR="00305586">
        <w:t xml:space="preserve">de wet </w:t>
      </w:r>
      <w:r w:rsidRPr="008234A3" w:rsidR="00EE76DF">
        <w:t>het griffierecht</w:t>
      </w:r>
      <w:r w:rsidRPr="008234A3" w:rsidR="00814AC4">
        <w:t>,</w:t>
      </w:r>
      <w:r w:rsidRPr="008234A3" w:rsidR="00EE76DF">
        <w:t xml:space="preserve"> dat wordt geheven voor verzoeken tot homologatie of verzoeken tot afwijzing van homologatie</w:t>
      </w:r>
      <w:r w:rsidRPr="008234A3" w:rsidR="00814AC4">
        <w:t>,</w:t>
      </w:r>
      <w:r w:rsidRPr="008234A3" w:rsidR="00EE76DF">
        <w:t xml:space="preserve"> ingedeeld in de laagste categorie griffierechten. Hierdoor </w:t>
      </w:r>
      <w:r w:rsidRPr="008234A3" w:rsidR="00076797">
        <w:t xml:space="preserve">wordt </w:t>
      </w:r>
      <w:r w:rsidRPr="008234A3" w:rsidR="00EE76DF">
        <w:t xml:space="preserve">het griffierecht substantieel verlaagd. Daarnaast wordt onder </w:t>
      </w:r>
      <w:r w:rsidRPr="008234A3" w:rsidR="00076797">
        <w:t xml:space="preserve">deze wet </w:t>
      </w:r>
      <w:r w:rsidRPr="008234A3" w:rsidR="00EE76DF">
        <w:t xml:space="preserve">verrekening van griffierechten </w:t>
      </w:r>
      <w:r w:rsidRPr="008234A3" w:rsidR="00DE71D8">
        <w:t xml:space="preserve">mogelijk </w:t>
      </w:r>
      <w:r w:rsidRPr="008234A3" w:rsidR="00EE76DF">
        <w:t>bij het doen van meerdere verzoeken in het kader van de WHO</w:t>
      </w:r>
      <w:r w:rsidRPr="008234A3" w:rsidR="00CA4F1C">
        <w:t>A</w:t>
      </w:r>
      <w:r w:rsidRPr="008234A3" w:rsidR="00EE76DF">
        <w:t xml:space="preserve">. Hierdoor is </w:t>
      </w:r>
      <w:r w:rsidRPr="008234A3" w:rsidR="00DE71D8">
        <w:t>maar één keer</w:t>
      </w:r>
      <w:r w:rsidRPr="008234A3" w:rsidR="00EE76DF">
        <w:t xml:space="preserve"> griffierecht verschuldigd ingeval meerdere verzoeken worden gedaan in dezelfde WHOA-procedure</w:t>
      </w:r>
      <w:bookmarkEnd w:id="0"/>
      <w:r w:rsidRPr="008234A3" w:rsidR="00EE76DF">
        <w:t>.</w:t>
      </w:r>
      <w:r w:rsidRPr="008234A3" w:rsidR="00305586">
        <w:t xml:space="preserve"> </w:t>
      </w:r>
      <w:r w:rsidRPr="008234A3" w:rsidR="00FF2827">
        <w:t xml:space="preserve">Deze herziening van het griffierecht is doorgevoerd </w:t>
      </w:r>
      <w:r w:rsidRPr="008234A3" w:rsidR="005E46CF">
        <w:t>op 1 juli jl.</w:t>
      </w:r>
      <w:r w:rsidRPr="008234A3" w:rsidR="00314F87">
        <w:rPr>
          <w:rStyle w:val="Voetnootmarkering"/>
        </w:rPr>
        <w:footnoteReference w:id="3"/>
      </w:r>
      <w:r w:rsidRPr="008234A3" w:rsidR="008E22AF">
        <w:t xml:space="preserve"> </w:t>
      </w:r>
    </w:p>
    <w:p w:rsidRPr="008234A3" w:rsidR="00076797" w:rsidP="00AF3794" w:rsidRDefault="00076797" w14:paraId="5B586E5A" w14:textId="77777777">
      <w:pPr>
        <w:pStyle w:val="Lijstalinea"/>
        <w:ind w:left="0"/>
      </w:pPr>
    </w:p>
    <w:p w:rsidRPr="008234A3" w:rsidR="00AF3794" w:rsidP="00AF3794" w:rsidRDefault="004B1CCE" w14:paraId="7A2D5872" w14:textId="57C1D449">
      <w:pPr>
        <w:pStyle w:val="Lijstalinea"/>
        <w:ind w:left="0"/>
      </w:pPr>
      <w:r w:rsidRPr="008234A3">
        <w:t xml:space="preserve">Daarnaast wil ik werken aan meer bekendheid van de WHOA bij MKB-ondernemingen. Ik treed hierover </w:t>
      </w:r>
      <w:r w:rsidRPr="008234A3" w:rsidR="00320644">
        <w:t xml:space="preserve">in overleg </w:t>
      </w:r>
      <w:r w:rsidRPr="008234A3">
        <w:t xml:space="preserve">met </w:t>
      </w:r>
      <w:r w:rsidRPr="008234A3" w:rsidR="0077165B">
        <w:t xml:space="preserve">de </w:t>
      </w:r>
      <w:r w:rsidRPr="008234A3">
        <w:t xml:space="preserve">Minister van Economische Zaken om </w:t>
      </w:r>
      <w:r w:rsidRPr="008234A3" w:rsidR="0077165B">
        <w:t xml:space="preserve">gezamenlijk </w:t>
      </w:r>
      <w:r w:rsidRPr="008234A3">
        <w:t xml:space="preserve">te kijken </w:t>
      </w:r>
      <w:r w:rsidRPr="008234A3" w:rsidR="00DF3675">
        <w:t>wat hiervoor de beste manier is.</w:t>
      </w:r>
      <w:r w:rsidRPr="008234A3" w:rsidR="0022052F">
        <w:t xml:space="preserve"> </w:t>
      </w:r>
      <w:r w:rsidRPr="008234A3" w:rsidR="00AF3794">
        <w:t>Ook aan de behoefte van de rechtbanken om digitale zittingen te houden, om meer regie te hebben in de aanloop naar de homologatiezitting, wordt al gewerkt</w:t>
      </w:r>
      <w:r w:rsidRPr="008234A3" w:rsidR="0077165B">
        <w:t>.</w:t>
      </w:r>
      <w:r w:rsidRPr="008234A3" w:rsidR="00AF3794">
        <w:t xml:space="preserve"> </w:t>
      </w:r>
      <w:r w:rsidRPr="008234A3" w:rsidR="0077165B">
        <w:t>I</w:t>
      </w:r>
      <w:r w:rsidRPr="008234A3" w:rsidR="00AF3794">
        <w:t xml:space="preserve">k </w:t>
      </w:r>
      <w:r w:rsidRPr="008234A3" w:rsidR="0077165B">
        <w:t xml:space="preserve">heb </w:t>
      </w:r>
      <w:r w:rsidRPr="008234A3" w:rsidR="00AF3794">
        <w:t xml:space="preserve">een wetsvoorstel </w:t>
      </w:r>
      <w:r w:rsidRPr="008234A3" w:rsidR="0077165B">
        <w:t>in voorbereiding waarmee</w:t>
      </w:r>
      <w:r w:rsidRPr="008234A3" w:rsidR="00AF3794">
        <w:t xml:space="preserve"> het </w:t>
      </w:r>
      <w:r w:rsidRPr="008234A3" w:rsidR="00D42030">
        <w:t>ook in WHOA-procedures mogelijk wordt om zittingen langs digitale weg te laten verlopen</w:t>
      </w:r>
      <w:r w:rsidRPr="008234A3" w:rsidR="00AF3794">
        <w:t>.</w:t>
      </w:r>
      <w:r w:rsidRPr="008234A3" w:rsidR="00AF3794">
        <w:rPr>
          <w:vertAlign w:val="superscript"/>
        </w:rPr>
        <w:footnoteReference w:id="4"/>
      </w:r>
      <w:r w:rsidRPr="008234A3" w:rsidR="00AF3794">
        <w:t xml:space="preserve"> </w:t>
      </w:r>
    </w:p>
    <w:p w:rsidRPr="008234A3" w:rsidR="00814AC4" w:rsidP="00E16F8D" w:rsidRDefault="00814AC4" w14:paraId="24E147CA" w14:textId="38A6FA36">
      <w:pPr>
        <w:pStyle w:val="Lijstalinea"/>
        <w:ind w:left="0"/>
      </w:pPr>
    </w:p>
    <w:p w:rsidRPr="008234A3" w:rsidR="00410487" w:rsidP="00E16F8D" w:rsidRDefault="00CE0EC8" w14:paraId="1A47E559" w14:textId="1C80E243">
      <w:pPr>
        <w:pStyle w:val="Lijstalinea"/>
        <w:ind w:left="0"/>
      </w:pPr>
      <w:r w:rsidRPr="008234A3">
        <w:t xml:space="preserve">Verder </w:t>
      </w:r>
      <w:r w:rsidRPr="008234A3" w:rsidR="0096626E">
        <w:t>zal</w:t>
      </w:r>
      <w:r w:rsidRPr="008234A3" w:rsidR="001D5A5F">
        <w:t xml:space="preserve"> ik </w:t>
      </w:r>
      <w:r w:rsidRPr="008234A3" w:rsidR="0096626E">
        <w:t>verschillende partijen uit de praktijk raadplegen</w:t>
      </w:r>
      <w:r w:rsidRPr="008234A3" w:rsidR="001D5A5F">
        <w:t xml:space="preserve"> met als doel om aanbevelingen </w:t>
      </w:r>
      <w:r w:rsidRPr="008234A3" w:rsidR="0077165B">
        <w:t xml:space="preserve">en inzichten </w:t>
      </w:r>
      <w:r w:rsidRPr="008234A3" w:rsidR="001D5A5F">
        <w:t xml:space="preserve">op te halen om de WHOA beter bereikbaar te maken voor MKB-ondernemingen en meer specifiek </w:t>
      </w:r>
      <w:r w:rsidRPr="008234A3" w:rsidR="008829DE">
        <w:t>het kleinbedrijf</w:t>
      </w:r>
      <w:r w:rsidRPr="008234A3" w:rsidR="001D5A5F">
        <w:t>.</w:t>
      </w:r>
      <w:r w:rsidRPr="008234A3" w:rsidR="00FE1335">
        <w:t xml:space="preserve"> Dit zal ik doen door een breed toegankelijke consultatie open te stellen.</w:t>
      </w:r>
      <w:r w:rsidRPr="008234A3" w:rsidR="001D5A5F">
        <w:t xml:space="preserve"> </w:t>
      </w:r>
      <w:r w:rsidRPr="008234A3" w:rsidR="00CC2E27">
        <w:t>I</w:t>
      </w:r>
      <w:r w:rsidRPr="008234A3" w:rsidR="001618B8">
        <w:t xml:space="preserve">n </w:t>
      </w:r>
      <w:r w:rsidRPr="008234A3" w:rsidR="008210E6">
        <w:t xml:space="preserve">het kader van deze consultatie worden, mede op basis van het evaluatierapport, </w:t>
      </w:r>
      <w:r w:rsidRPr="008234A3" w:rsidR="004F414D">
        <w:t xml:space="preserve">aan </w:t>
      </w:r>
      <w:r w:rsidRPr="008234A3" w:rsidR="008210E6">
        <w:t xml:space="preserve">met name </w:t>
      </w:r>
      <w:r w:rsidRPr="008234A3" w:rsidR="004F414D">
        <w:t xml:space="preserve">de </w:t>
      </w:r>
      <w:r w:rsidRPr="008234A3" w:rsidR="008210E6">
        <w:t>rechts</w:t>
      </w:r>
      <w:r w:rsidRPr="008234A3" w:rsidR="004F414D">
        <w:t xml:space="preserve">praktijk </w:t>
      </w:r>
      <w:r w:rsidRPr="008234A3" w:rsidR="008210E6">
        <w:t xml:space="preserve">een aantal concrete </w:t>
      </w:r>
      <w:r w:rsidRPr="008234A3" w:rsidR="004F414D">
        <w:t>vrag</w:t>
      </w:r>
      <w:r w:rsidRPr="008234A3" w:rsidR="008210E6">
        <w:t>en</w:t>
      </w:r>
      <w:r w:rsidRPr="008234A3" w:rsidR="004F414D">
        <w:t xml:space="preserve"> voor</w:t>
      </w:r>
      <w:r w:rsidRPr="008234A3" w:rsidR="00461A8C">
        <w:t>ge</w:t>
      </w:r>
      <w:r w:rsidRPr="008234A3" w:rsidR="004F414D">
        <w:t>leg</w:t>
      </w:r>
      <w:r w:rsidRPr="008234A3" w:rsidR="00461A8C">
        <w:t>d</w:t>
      </w:r>
      <w:r w:rsidRPr="008234A3" w:rsidR="008210E6">
        <w:t>. E</w:t>
      </w:r>
      <w:r w:rsidRPr="008234A3" w:rsidR="005E46CF">
        <w:t>é</w:t>
      </w:r>
      <w:r w:rsidRPr="008234A3" w:rsidR="008210E6">
        <w:t>n daarvan betreft de vraag</w:t>
      </w:r>
      <w:r w:rsidRPr="008234A3" w:rsidR="004F414D">
        <w:t xml:space="preserve"> in hoeverre de </w:t>
      </w:r>
      <w:r w:rsidRPr="008234A3" w:rsidR="000A3D42">
        <w:t>observator eerder in de procedure kan worden benoemd</w:t>
      </w:r>
      <w:r w:rsidRPr="008234A3" w:rsidR="004F414D">
        <w:t>, zonder daarbij de benodigde snelheid van de WHOA-procedure uit het oog te verliezen.</w:t>
      </w:r>
      <w:r w:rsidRPr="008234A3" w:rsidR="00832737">
        <w:t xml:space="preserve"> Een deel van de respondenten uit het evaluatieonderzoek geeft namelijk aan </w:t>
      </w:r>
      <w:r w:rsidRPr="008234A3" w:rsidR="00BA10B9">
        <w:t xml:space="preserve">te vinden </w:t>
      </w:r>
      <w:r w:rsidRPr="008234A3" w:rsidR="00832737">
        <w:t>dat de observator te laat in de procedure wordt benoemd</w:t>
      </w:r>
      <w:r w:rsidRPr="008234A3" w:rsidR="003F19B1">
        <w:t xml:space="preserve">. </w:t>
      </w:r>
      <w:r w:rsidRPr="008234A3" w:rsidR="00832737">
        <w:t xml:space="preserve">Tot slot wil ik in de consultatie de vraag opnemen hoe de praktijk zich heeft ontwikkeld ten </w:t>
      </w:r>
      <w:r w:rsidRPr="008234A3" w:rsidR="00CA4F1C">
        <w:t>aanzien</w:t>
      </w:r>
      <w:r w:rsidRPr="008234A3" w:rsidR="00832737">
        <w:t xml:space="preserve"> van (bank)garantie onder de WHOA, aangezien het evaluatieonderzoek aanleiding biedt tot nadere beschouwing van de uitwerking van de bankgarantie onder de WHOA. </w:t>
      </w:r>
    </w:p>
    <w:p w:rsidRPr="008234A3" w:rsidR="004D5CB4" w:rsidRDefault="00FD7AF6" w14:paraId="4BDEC389" w14:textId="337D045F">
      <w:r w:rsidRPr="008234A3">
        <w:br/>
        <w:t xml:space="preserve">Uit het onderzoek volgt verder dat de </w:t>
      </w:r>
      <w:r w:rsidRPr="008234A3" w:rsidR="00604818">
        <w:t xml:space="preserve">wijze waarop de </w:t>
      </w:r>
      <w:r w:rsidRPr="008234A3">
        <w:t xml:space="preserve">WHOA </w:t>
      </w:r>
      <w:r w:rsidRPr="008234A3" w:rsidR="00604818">
        <w:t xml:space="preserve">werkt, </w:t>
      </w:r>
      <w:r w:rsidRPr="008234A3" w:rsidR="0077165B">
        <w:t xml:space="preserve">zich </w:t>
      </w:r>
      <w:r w:rsidRPr="008234A3">
        <w:t xml:space="preserve">op verschillende punten </w:t>
      </w:r>
      <w:r w:rsidRPr="008234A3" w:rsidR="00604818">
        <w:t>nog moet uitkristalliseren</w:t>
      </w:r>
      <w:r w:rsidRPr="008234A3" w:rsidR="0077165B">
        <w:t xml:space="preserve"> in de (rechts)praktijk</w:t>
      </w:r>
      <w:r w:rsidRPr="008234A3" w:rsidR="00604818">
        <w:t xml:space="preserve">. </w:t>
      </w:r>
      <w:r w:rsidRPr="008234A3" w:rsidR="000F7026">
        <w:t xml:space="preserve">Daarbij geven zij aan dat de praktijk </w:t>
      </w:r>
      <w:r w:rsidRPr="008234A3" w:rsidR="0077165B">
        <w:t xml:space="preserve">onder meer </w:t>
      </w:r>
      <w:r w:rsidRPr="008234A3" w:rsidR="000F7026">
        <w:t>nadere invulling krijgt door de rechtspraak</w:t>
      </w:r>
      <w:r w:rsidRPr="008234A3" w:rsidR="0077165B">
        <w:t xml:space="preserve"> over de WHOA</w:t>
      </w:r>
      <w:r w:rsidRPr="008234A3" w:rsidR="000F7026">
        <w:t xml:space="preserve">, maar dat het beeld – drie jaar na </w:t>
      </w:r>
      <w:r w:rsidRPr="008234A3" w:rsidR="006E30C6">
        <w:t>invoering van de wet</w:t>
      </w:r>
      <w:r w:rsidRPr="008234A3" w:rsidR="000F7026">
        <w:t xml:space="preserve"> – nog verre van volledig is. </w:t>
      </w:r>
      <w:r w:rsidRPr="008234A3">
        <w:t xml:space="preserve">De onderzoekers doen op </w:t>
      </w:r>
      <w:r w:rsidRPr="008234A3" w:rsidR="006E3F62">
        <w:t xml:space="preserve">enkele </w:t>
      </w:r>
      <w:r w:rsidRPr="008234A3">
        <w:t>punten aanbevelingen om een en ander te verduidelijken in wetgeving.</w:t>
      </w:r>
      <w:r w:rsidRPr="008234A3" w:rsidR="002777A2">
        <w:t xml:space="preserve"> Hierbij geven de onderzoekers op verschillende punten echter ook aan dat de praktijk reeds met oplossingen is gekomen, zoals bij de afkondiging van de afkoelingsperiode.</w:t>
      </w:r>
      <w:r w:rsidRPr="008234A3" w:rsidR="00BF4F8D">
        <w:t xml:space="preserve"> </w:t>
      </w:r>
      <w:r w:rsidRPr="008234A3" w:rsidR="006E3F62">
        <w:t>Daarnaast</w:t>
      </w:r>
      <w:r w:rsidRPr="008234A3" w:rsidR="00C2139F">
        <w:t xml:space="preserve"> geven de onderzoekers aan</w:t>
      </w:r>
      <w:r w:rsidRPr="008234A3" w:rsidR="0038018B">
        <w:t xml:space="preserve"> dat -</w:t>
      </w:r>
      <w:r w:rsidRPr="008234A3" w:rsidR="00C2139F">
        <w:t xml:space="preserve"> en ik deel die visie</w:t>
      </w:r>
      <w:r w:rsidRPr="008234A3" w:rsidR="0038018B">
        <w:t xml:space="preserve"> -</w:t>
      </w:r>
      <w:r w:rsidRPr="008234A3" w:rsidR="00C2139F">
        <w:t xml:space="preserve"> op</w:t>
      </w:r>
      <w:r w:rsidRPr="008234A3" w:rsidR="006E3F62">
        <w:t xml:space="preserve"> sommige</w:t>
      </w:r>
      <w:r w:rsidRPr="008234A3" w:rsidR="00C2139F">
        <w:t xml:space="preserve"> punten</w:t>
      </w:r>
      <w:r w:rsidRPr="008234A3" w:rsidR="006E3F62">
        <w:t>,</w:t>
      </w:r>
      <w:r w:rsidRPr="008234A3" w:rsidR="00C2139F">
        <w:t xml:space="preserve"> zoals </w:t>
      </w:r>
      <w:r w:rsidRPr="008234A3" w:rsidR="00574F37">
        <w:t xml:space="preserve">bij </w:t>
      </w:r>
      <w:r w:rsidRPr="008234A3" w:rsidR="00C2139F">
        <w:t>de taakomschrijving van herstructureringsdeskundige of observator</w:t>
      </w:r>
      <w:r w:rsidRPr="008234A3" w:rsidR="006E3F62">
        <w:t>,</w:t>
      </w:r>
      <w:r w:rsidRPr="008234A3" w:rsidR="00C2139F">
        <w:t xml:space="preserve"> de praktijk goed in</w:t>
      </w:r>
      <w:r w:rsidRPr="008234A3" w:rsidR="006E3F62">
        <w:t xml:space="preserve"> </w:t>
      </w:r>
      <w:r w:rsidRPr="008234A3" w:rsidR="00C2139F">
        <w:t xml:space="preserve">staat is hieraan </w:t>
      </w:r>
      <w:r w:rsidRPr="008234A3" w:rsidR="006E3F62">
        <w:t xml:space="preserve">zelf </w:t>
      </w:r>
      <w:r w:rsidRPr="008234A3" w:rsidR="00C2139F">
        <w:t xml:space="preserve">invulling te geven, bijvoorbeeld door </w:t>
      </w:r>
      <w:r w:rsidRPr="008234A3" w:rsidR="006E3F62">
        <w:t>hierover een en ander</w:t>
      </w:r>
      <w:r w:rsidRPr="008234A3" w:rsidR="00C2139F">
        <w:t xml:space="preserve"> op te nemen in praktijkregels. </w:t>
      </w:r>
      <w:r w:rsidRPr="008234A3">
        <w:t>Op</w:t>
      </w:r>
      <w:r w:rsidRPr="008234A3" w:rsidR="00DC342F">
        <w:t xml:space="preserve"> </w:t>
      </w:r>
      <w:r w:rsidRPr="008234A3" w:rsidR="00C2139F">
        <w:t>diverse</w:t>
      </w:r>
      <w:r w:rsidRPr="008234A3">
        <w:t xml:space="preserve"> punten geven </w:t>
      </w:r>
      <w:r w:rsidRPr="008234A3" w:rsidR="00C2139F">
        <w:t>de onderzoekers</w:t>
      </w:r>
      <w:r w:rsidRPr="008234A3">
        <w:t xml:space="preserve"> ook</w:t>
      </w:r>
      <w:r w:rsidRPr="008234A3" w:rsidR="004E0857">
        <w:t xml:space="preserve"> aan</w:t>
      </w:r>
      <w:r w:rsidRPr="008234A3">
        <w:t xml:space="preserve"> dat </w:t>
      </w:r>
      <w:r w:rsidRPr="008234A3" w:rsidR="006E3F62">
        <w:t xml:space="preserve">de WHOA </w:t>
      </w:r>
      <w:r w:rsidRPr="008234A3" w:rsidR="00963918">
        <w:t>zich in</w:t>
      </w:r>
      <w:r w:rsidRPr="008234A3">
        <w:t xml:space="preserve"> jurisprudentie </w:t>
      </w:r>
      <w:r w:rsidRPr="008234A3" w:rsidR="00963918">
        <w:t>moet uitkristalliseren</w:t>
      </w:r>
      <w:r w:rsidRPr="008234A3" w:rsidR="0038018B">
        <w:t>. He</w:t>
      </w:r>
      <w:r w:rsidRPr="008234A3">
        <w:t>t recht</w:t>
      </w:r>
      <w:r w:rsidRPr="008234A3" w:rsidR="0038018B">
        <w:t xml:space="preserve"> heeft</w:t>
      </w:r>
      <w:r w:rsidRPr="008234A3">
        <w:t xml:space="preserve"> aldus de tijd nodig </w:t>
      </w:r>
      <w:r w:rsidRPr="008234A3" w:rsidR="0038018B">
        <w:t xml:space="preserve">om </w:t>
      </w:r>
      <w:r w:rsidRPr="008234A3">
        <w:t xml:space="preserve">zich op deze punten te ontwikkelen. </w:t>
      </w:r>
      <w:r w:rsidRPr="008234A3" w:rsidR="00E5065D">
        <w:t>Deze ontwikkelingen zal ik met belangstelling volgen.</w:t>
      </w:r>
      <w:r w:rsidRPr="008234A3" w:rsidR="00C67A55">
        <w:t xml:space="preserve"> </w:t>
      </w:r>
    </w:p>
    <w:p w:rsidR="00963918" w:rsidRDefault="00963918" w14:paraId="0F6323AB" w14:textId="77777777"/>
    <w:p w:rsidR="008234A3" w:rsidRDefault="008234A3" w14:paraId="3C36DC9E" w14:textId="77777777"/>
    <w:p w:rsidR="008234A3" w:rsidRDefault="008234A3" w14:paraId="50C6A71B" w14:textId="77777777"/>
    <w:p w:rsidR="008234A3" w:rsidRDefault="008234A3" w14:paraId="2034C5DC" w14:textId="77777777"/>
    <w:p w:rsidR="008234A3" w:rsidRDefault="008234A3" w14:paraId="7D2B58C2" w14:textId="77777777"/>
    <w:p w:rsidR="008234A3" w:rsidRDefault="008234A3" w14:paraId="2394EF91" w14:textId="77777777"/>
    <w:p w:rsidR="008234A3" w:rsidRDefault="008234A3" w14:paraId="4D788239" w14:textId="77777777"/>
    <w:p w:rsidR="008234A3" w:rsidRDefault="008234A3" w14:paraId="69AA6345" w14:textId="77777777"/>
    <w:p w:rsidR="008234A3" w:rsidRDefault="008234A3" w14:paraId="0466AC44" w14:textId="77777777"/>
    <w:p w:rsidRPr="008234A3" w:rsidR="008234A3" w:rsidRDefault="008234A3" w14:paraId="6CB06392" w14:textId="77777777"/>
    <w:p w:rsidRPr="008234A3" w:rsidR="00CE0EC8" w:rsidRDefault="00DC342F" w14:paraId="74177151" w14:textId="208B8E96">
      <w:r w:rsidRPr="008234A3">
        <w:lastRenderedPageBreak/>
        <w:t>Gezien voorgaande en het feit dat</w:t>
      </w:r>
      <w:r w:rsidRPr="008234A3" w:rsidR="00FD7AF6">
        <w:t xml:space="preserve"> de wetsevaluatie </w:t>
      </w:r>
      <w:r w:rsidRPr="008234A3" w:rsidR="00AE6489">
        <w:t xml:space="preserve">relatief vroeg na de inwerkingtreding heeft plaatsgevonden en het recht aldus tijd nodig heeft zich verder </w:t>
      </w:r>
      <w:r w:rsidRPr="008234A3" w:rsidR="000F0FBE">
        <w:t xml:space="preserve">in de (rechts)praktijk </w:t>
      </w:r>
      <w:r w:rsidRPr="008234A3" w:rsidR="00AE6489">
        <w:t>te ontwikkelen en uit te kristalliseren, zie ik op dit moment geen aanleiding om de wet te wijzige</w:t>
      </w:r>
      <w:r w:rsidRPr="008234A3" w:rsidR="00E91564">
        <w:t xml:space="preserve">n. </w:t>
      </w:r>
      <w:r w:rsidRPr="008234A3" w:rsidR="00AE6489">
        <w:t xml:space="preserve">Ik zal de ontwikkeling van WHOA, mede </w:t>
      </w:r>
      <w:r w:rsidRPr="008234A3" w:rsidR="00D6795C">
        <w:t xml:space="preserve">gelet op de </w:t>
      </w:r>
      <w:r w:rsidRPr="008234A3" w:rsidR="00963918">
        <w:t>voorgestelde</w:t>
      </w:r>
      <w:r w:rsidRPr="008234A3" w:rsidR="00AE6489">
        <w:t xml:space="preserve"> verlaging van de griffierechten voor MKB-ondernemingen</w:t>
      </w:r>
      <w:r w:rsidRPr="008234A3" w:rsidR="00E91564">
        <w:t xml:space="preserve"> en de aanstaande consultatie</w:t>
      </w:r>
      <w:r w:rsidRPr="008234A3" w:rsidR="00AE6489">
        <w:t xml:space="preserve">, </w:t>
      </w:r>
      <w:r w:rsidRPr="008234A3" w:rsidR="004D5CB4">
        <w:t xml:space="preserve">met belangstelling </w:t>
      </w:r>
      <w:r w:rsidRPr="008234A3" w:rsidR="00AE6489">
        <w:t xml:space="preserve">blijven volgen. </w:t>
      </w:r>
      <w:r w:rsidRPr="008234A3" w:rsidR="00C67A55">
        <w:t>In de bijlage</w:t>
      </w:r>
      <w:r w:rsidRPr="008234A3" w:rsidR="00F17929">
        <w:t xml:space="preserve"> ga ik meer in detail in op de specifi</w:t>
      </w:r>
      <w:r w:rsidRPr="008234A3" w:rsidR="001618B8">
        <w:t>ek</w:t>
      </w:r>
      <w:r w:rsidRPr="008234A3" w:rsidR="00F17929">
        <w:t>e aanbevelingen.</w:t>
      </w:r>
    </w:p>
    <w:p w:rsidR="00CE0EC8" w:rsidRDefault="00CE0EC8" w14:paraId="51F8139D" w14:textId="77777777"/>
    <w:p w:rsidRPr="008234A3" w:rsidR="00693600" w:rsidRDefault="00693600" w14:paraId="6D7CC14F" w14:textId="77777777"/>
    <w:p w:rsidR="00CE0EC8" w:rsidRDefault="00CE0EC8" w14:paraId="0ED1B2C3" w14:textId="7DA250BB">
      <w:r w:rsidRPr="008234A3">
        <w:t xml:space="preserve">De Staatssecretaris </w:t>
      </w:r>
      <w:r w:rsidRPr="008234A3" w:rsidR="00EE300E">
        <w:t>Justitie en Veiligheid,</w:t>
      </w:r>
    </w:p>
    <w:p w:rsidR="00EE300E" w:rsidRDefault="00EE300E" w14:paraId="3B0A5B1E" w14:textId="77777777"/>
    <w:p w:rsidR="00EE300E" w:rsidRDefault="00EE300E" w14:paraId="68BCB07E" w14:textId="77777777"/>
    <w:p w:rsidR="005C0E98" w:rsidRDefault="005C0E98" w14:paraId="310C2934" w14:textId="77777777"/>
    <w:p w:rsidR="005C0E98" w:rsidRDefault="005C0E98" w14:paraId="150585CA" w14:textId="77777777"/>
    <w:p w:rsidR="00CE0EC8" w:rsidRDefault="00EE300E" w14:paraId="6E655C5F" w14:textId="19564540">
      <w:r>
        <w:t xml:space="preserve">mr. </w:t>
      </w:r>
      <w:r w:rsidR="00953EB3">
        <w:t>A.C.L. Rutte</w:t>
      </w:r>
      <w:r w:rsidR="00CE0EC8">
        <w:t xml:space="preserve"> </w:t>
      </w:r>
    </w:p>
    <w:sectPr w:rsidR="00CE0EC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C4CFD" w14:textId="77777777" w:rsidR="00B00B64" w:rsidRDefault="00B00B64">
      <w:pPr>
        <w:spacing w:line="240" w:lineRule="auto"/>
      </w:pPr>
      <w:r>
        <w:separator/>
      </w:r>
    </w:p>
  </w:endnote>
  <w:endnote w:type="continuationSeparator" w:id="0">
    <w:p w14:paraId="21B68835" w14:textId="77777777" w:rsidR="00B00B64" w:rsidRDefault="00B00B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8DAD" w14:textId="77777777" w:rsidR="00410487" w:rsidRDefault="0041048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40E5C" w14:textId="77777777" w:rsidR="00B00B64" w:rsidRDefault="00B00B64">
      <w:pPr>
        <w:spacing w:line="240" w:lineRule="auto"/>
      </w:pPr>
      <w:r>
        <w:separator/>
      </w:r>
    </w:p>
  </w:footnote>
  <w:footnote w:type="continuationSeparator" w:id="0">
    <w:p w14:paraId="2717A436" w14:textId="77777777" w:rsidR="00B00B64" w:rsidRDefault="00B00B64">
      <w:pPr>
        <w:spacing w:line="240" w:lineRule="auto"/>
      </w:pPr>
      <w:r>
        <w:continuationSeparator/>
      </w:r>
    </w:p>
  </w:footnote>
  <w:footnote w:id="1">
    <w:p w14:paraId="2AE5E0C8" w14:textId="2F8A424F" w:rsidR="0066194A" w:rsidRPr="00010A16" w:rsidRDefault="0066194A">
      <w:pPr>
        <w:pStyle w:val="Voetnoottekst"/>
        <w:rPr>
          <w:sz w:val="16"/>
          <w:szCs w:val="16"/>
        </w:rPr>
      </w:pPr>
      <w:r w:rsidRPr="00010A16">
        <w:rPr>
          <w:rStyle w:val="Voetnootmarkering"/>
          <w:sz w:val="16"/>
          <w:szCs w:val="16"/>
        </w:rPr>
        <w:footnoteRef/>
      </w:r>
      <w:r w:rsidRPr="00010A16">
        <w:rPr>
          <w:sz w:val="16"/>
          <w:szCs w:val="16"/>
        </w:rPr>
        <w:t xml:space="preserve"> </w:t>
      </w:r>
      <w:r w:rsidRPr="00010A16">
        <w:rPr>
          <w:i/>
          <w:iCs/>
          <w:sz w:val="16"/>
          <w:szCs w:val="16"/>
        </w:rPr>
        <w:t>Kamerstukken</w:t>
      </w:r>
      <w:r w:rsidR="00010A16" w:rsidRPr="00010A16">
        <w:rPr>
          <w:i/>
          <w:iCs/>
          <w:sz w:val="16"/>
          <w:szCs w:val="16"/>
        </w:rPr>
        <w:t xml:space="preserve"> II</w:t>
      </w:r>
      <w:r w:rsidRPr="00010A16">
        <w:rPr>
          <w:sz w:val="16"/>
          <w:szCs w:val="16"/>
        </w:rPr>
        <w:t xml:space="preserve"> 2023</w:t>
      </w:r>
      <w:r w:rsidR="00010A16">
        <w:rPr>
          <w:sz w:val="16"/>
          <w:szCs w:val="16"/>
        </w:rPr>
        <w:t>/</w:t>
      </w:r>
      <w:r w:rsidRPr="00010A16">
        <w:rPr>
          <w:sz w:val="16"/>
          <w:szCs w:val="16"/>
        </w:rPr>
        <w:t>24, 35249, nr. 27.</w:t>
      </w:r>
    </w:p>
  </w:footnote>
  <w:footnote w:id="2">
    <w:p w14:paraId="126E9536" w14:textId="683C895E" w:rsidR="004302EB" w:rsidRPr="00E16F8D" w:rsidRDefault="004302EB">
      <w:pPr>
        <w:pStyle w:val="Voetnoottekst"/>
        <w:rPr>
          <w:sz w:val="16"/>
          <w:szCs w:val="16"/>
        </w:rPr>
      </w:pPr>
      <w:r w:rsidRPr="00E16F8D">
        <w:rPr>
          <w:rStyle w:val="Voetnootmarkering"/>
          <w:sz w:val="16"/>
          <w:szCs w:val="16"/>
        </w:rPr>
        <w:footnoteRef/>
      </w:r>
      <w:r w:rsidRPr="00E16F8D">
        <w:rPr>
          <w:sz w:val="16"/>
          <w:szCs w:val="16"/>
        </w:rPr>
        <w:t xml:space="preserve"> Het onderzoek </w:t>
      </w:r>
      <w:r w:rsidR="002B6B35">
        <w:rPr>
          <w:sz w:val="16"/>
          <w:szCs w:val="16"/>
        </w:rPr>
        <w:t>ver</w:t>
      </w:r>
      <w:r>
        <w:rPr>
          <w:sz w:val="16"/>
          <w:szCs w:val="16"/>
        </w:rPr>
        <w:t>wijst hier</w:t>
      </w:r>
      <w:r w:rsidR="002B6B35">
        <w:rPr>
          <w:sz w:val="16"/>
          <w:szCs w:val="16"/>
        </w:rPr>
        <w:t xml:space="preserve"> naar</w:t>
      </w:r>
      <w:r>
        <w:rPr>
          <w:sz w:val="16"/>
          <w:szCs w:val="16"/>
        </w:rPr>
        <w:t xml:space="preserve"> het </w:t>
      </w:r>
      <w:r w:rsidRPr="00E16F8D">
        <w:rPr>
          <w:i/>
          <w:iCs/>
          <w:sz w:val="16"/>
          <w:szCs w:val="16"/>
        </w:rPr>
        <w:t>kleinbedrijf</w:t>
      </w:r>
      <w:r w:rsidR="002B6B35">
        <w:rPr>
          <w:i/>
          <w:iCs/>
          <w:sz w:val="16"/>
          <w:szCs w:val="16"/>
        </w:rPr>
        <w:t xml:space="preserve">, </w:t>
      </w:r>
      <w:r w:rsidR="002B6B35">
        <w:rPr>
          <w:sz w:val="16"/>
          <w:szCs w:val="16"/>
        </w:rPr>
        <w:t>zie paragraaf 8.4.6</w:t>
      </w:r>
      <w:r>
        <w:rPr>
          <w:sz w:val="16"/>
          <w:szCs w:val="16"/>
        </w:rPr>
        <w:t>.</w:t>
      </w:r>
      <w:r w:rsidR="002B6B35">
        <w:rPr>
          <w:sz w:val="16"/>
          <w:szCs w:val="16"/>
        </w:rPr>
        <w:t xml:space="preserve"> </w:t>
      </w:r>
      <w:r w:rsidR="00314F87">
        <w:rPr>
          <w:sz w:val="16"/>
          <w:szCs w:val="16"/>
        </w:rPr>
        <w:t>Het gaat hierbij om</w:t>
      </w:r>
      <w:r w:rsidR="002B6B35">
        <w:rPr>
          <w:sz w:val="16"/>
          <w:szCs w:val="16"/>
        </w:rPr>
        <w:t xml:space="preserve"> ondernemingen </w:t>
      </w:r>
      <w:r w:rsidR="00053826">
        <w:rPr>
          <w:sz w:val="16"/>
          <w:szCs w:val="16"/>
        </w:rPr>
        <w:t xml:space="preserve">tot </w:t>
      </w:r>
      <w:r w:rsidR="002B6B35">
        <w:rPr>
          <w:sz w:val="16"/>
          <w:szCs w:val="16"/>
        </w:rPr>
        <w:t xml:space="preserve">50 werknemers. </w:t>
      </w:r>
    </w:p>
  </w:footnote>
  <w:footnote w:id="3">
    <w:p w14:paraId="67FEDF17" w14:textId="1A59D31F" w:rsidR="00314F87" w:rsidRPr="00E16F8D" w:rsidRDefault="00314F87">
      <w:pPr>
        <w:pStyle w:val="Voetnoottekst"/>
        <w:rPr>
          <w:sz w:val="16"/>
          <w:szCs w:val="16"/>
        </w:rPr>
      </w:pPr>
      <w:r w:rsidRPr="00E16F8D">
        <w:rPr>
          <w:rStyle w:val="Voetnootmarkering"/>
          <w:sz w:val="16"/>
          <w:szCs w:val="16"/>
        </w:rPr>
        <w:footnoteRef/>
      </w:r>
      <w:r w:rsidRPr="00E16F8D">
        <w:rPr>
          <w:sz w:val="16"/>
          <w:szCs w:val="16"/>
        </w:rPr>
        <w:t xml:space="preserve"> </w:t>
      </w:r>
      <w:r w:rsidR="00305586">
        <w:rPr>
          <w:sz w:val="16"/>
          <w:szCs w:val="16"/>
        </w:rPr>
        <w:t xml:space="preserve">Zie </w:t>
      </w:r>
      <w:r w:rsidR="00305586" w:rsidRPr="008E026F">
        <w:rPr>
          <w:i/>
          <w:iCs/>
          <w:sz w:val="16"/>
          <w:szCs w:val="16"/>
        </w:rPr>
        <w:t>Stb</w:t>
      </w:r>
      <w:r w:rsidR="00305586">
        <w:rPr>
          <w:sz w:val="16"/>
          <w:szCs w:val="16"/>
        </w:rPr>
        <w:t>. 2025, 124</w:t>
      </w:r>
      <w:r w:rsidR="005E46CF">
        <w:rPr>
          <w:sz w:val="16"/>
          <w:szCs w:val="16"/>
        </w:rPr>
        <w:t xml:space="preserve"> en </w:t>
      </w:r>
      <w:r w:rsidR="005E46CF" w:rsidRPr="005E46CF">
        <w:rPr>
          <w:i/>
          <w:iCs/>
          <w:sz w:val="16"/>
          <w:szCs w:val="16"/>
        </w:rPr>
        <w:t>Stb.</w:t>
      </w:r>
      <w:r w:rsidR="005E46CF">
        <w:rPr>
          <w:sz w:val="16"/>
          <w:szCs w:val="16"/>
        </w:rPr>
        <w:t xml:space="preserve"> 2025, 155.</w:t>
      </w:r>
      <w:r w:rsidR="00305586">
        <w:rPr>
          <w:sz w:val="16"/>
          <w:szCs w:val="16"/>
        </w:rPr>
        <w:t xml:space="preserve"> Zie ook </w:t>
      </w:r>
      <w:r w:rsidRPr="00E16F8D">
        <w:rPr>
          <w:i/>
          <w:iCs/>
          <w:sz w:val="16"/>
          <w:szCs w:val="16"/>
        </w:rPr>
        <w:t>Kamerstukken II</w:t>
      </w:r>
      <w:r w:rsidRPr="00E16F8D">
        <w:rPr>
          <w:sz w:val="16"/>
          <w:szCs w:val="16"/>
        </w:rPr>
        <w:t xml:space="preserve"> 2024/25, 36638</w:t>
      </w:r>
      <w:r w:rsidR="00305586">
        <w:rPr>
          <w:sz w:val="16"/>
          <w:szCs w:val="16"/>
        </w:rPr>
        <w:t xml:space="preserve">. </w:t>
      </w:r>
      <w:r w:rsidRPr="00E16F8D">
        <w:rPr>
          <w:sz w:val="16"/>
          <w:szCs w:val="16"/>
        </w:rPr>
        <w:t xml:space="preserve"> </w:t>
      </w:r>
    </w:p>
  </w:footnote>
  <w:footnote w:id="4">
    <w:p w14:paraId="78D9B990" w14:textId="77777777" w:rsidR="00AF3794" w:rsidRDefault="00AF3794" w:rsidP="00AF3794">
      <w:pPr>
        <w:pStyle w:val="Voetnoottekst"/>
        <w:rPr>
          <w:sz w:val="16"/>
          <w:szCs w:val="16"/>
        </w:rPr>
      </w:pPr>
      <w:r>
        <w:rPr>
          <w:rStyle w:val="Voetnootmarkering"/>
          <w:sz w:val="16"/>
          <w:szCs w:val="16"/>
        </w:rPr>
        <w:footnoteRef/>
      </w:r>
      <w:r>
        <w:rPr>
          <w:sz w:val="16"/>
          <w:szCs w:val="16"/>
        </w:rPr>
        <w:t xml:space="preserve"> Zie in dit kader </w:t>
      </w:r>
      <w:r>
        <w:rPr>
          <w:i/>
          <w:iCs/>
          <w:sz w:val="16"/>
          <w:szCs w:val="16"/>
        </w:rPr>
        <w:t xml:space="preserve">Kamerstukken II </w:t>
      </w:r>
      <w:r>
        <w:rPr>
          <w:sz w:val="16"/>
          <w:szCs w:val="16"/>
        </w:rPr>
        <w:t>2023/24</w:t>
      </w:r>
      <w:r>
        <w:rPr>
          <w:i/>
          <w:iCs/>
          <w:sz w:val="16"/>
          <w:szCs w:val="16"/>
        </w:rPr>
        <w:t>,</w:t>
      </w:r>
      <w:r>
        <w:rPr>
          <w:sz w:val="16"/>
          <w:szCs w:val="16"/>
        </w:rPr>
        <w:t xml:space="preserve"> 36471, nr. 96, p. 136 en </w:t>
      </w:r>
      <w:r>
        <w:rPr>
          <w:i/>
          <w:iCs/>
          <w:sz w:val="16"/>
          <w:szCs w:val="16"/>
        </w:rPr>
        <w:t>Kamerstukken II</w:t>
      </w:r>
      <w:r>
        <w:rPr>
          <w:sz w:val="16"/>
          <w:szCs w:val="16"/>
        </w:rPr>
        <w:t xml:space="preserve"> 2024/25, 36600 VI, nr. 9,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941E" w14:textId="77777777" w:rsidR="00410487" w:rsidRDefault="00302520">
    <w:r>
      <w:rPr>
        <w:noProof/>
      </w:rPr>
      <mc:AlternateContent>
        <mc:Choice Requires="wps">
          <w:drawing>
            <wp:anchor distT="0" distB="0" distL="0" distR="0" simplePos="0" relativeHeight="251652608" behindDoc="0" locked="1" layoutInCell="1" allowOverlap="1" wp14:anchorId="679D2BE3" wp14:editId="13A9A01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B5F890" w14:textId="77777777" w:rsidR="00410487" w:rsidRPr="008234A3" w:rsidRDefault="00302520">
                          <w:pPr>
                            <w:pStyle w:val="Referentiegegevens"/>
                            <w:rPr>
                              <w:b/>
                              <w:bCs/>
                            </w:rPr>
                          </w:pPr>
                          <w:r w:rsidRPr="008234A3">
                            <w:rPr>
                              <w:b/>
                              <w:bCs/>
                            </w:rPr>
                            <w:t>Directie Wetgeving en Juridische Zaken</w:t>
                          </w:r>
                        </w:p>
                        <w:p w14:paraId="3E0D9C41" w14:textId="77777777" w:rsidR="00410487" w:rsidRDefault="00302520">
                          <w:pPr>
                            <w:pStyle w:val="Referentiegegevens"/>
                          </w:pPr>
                          <w:r>
                            <w:t>Privaatrecht</w:t>
                          </w:r>
                        </w:p>
                        <w:p w14:paraId="2B3051D7" w14:textId="77777777" w:rsidR="00410487" w:rsidRDefault="00410487">
                          <w:pPr>
                            <w:pStyle w:val="WitregelW2"/>
                          </w:pPr>
                        </w:p>
                        <w:p w14:paraId="77C071FB" w14:textId="77777777" w:rsidR="00410487" w:rsidRDefault="00302520">
                          <w:pPr>
                            <w:pStyle w:val="Referentiegegevensbold"/>
                          </w:pPr>
                          <w:r>
                            <w:t>Datum</w:t>
                          </w:r>
                        </w:p>
                        <w:p w14:paraId="2CE191F6" w14:textId="62BFF2A6" w:rsidR="00410487" w:rsidRDefault="00EA54AD">
                          <w:pPr>
                            <w:pStyle w:val="Referentiegegevens"/>
                          </w:pPr>
                          <w:sdt>
                            <w:sdtPr>
                              <w:id w:val="295028978"/>
                              <w:date w:fullDate="2025-11-26T00:00:00Z">
                                <w:dateFormat w:val="d MMMM yyyy"/>
                                <w:lid w:val="nl"/>
                                <w:storeMappedDataAs w:val="dateTime"/>
                                <w:calendar w:val="gregorian"/>
                              </w:date>
                            </w:sdtPr>
                            <w:sdtEndPr/>
                            <w:sdtContent>
                              <w:r w:rsidR="008234A3">
                                <w:rPr>
                                  <w:lang w:val="nl"/>
                                </w:rPr>
                                <w:t>2</w:t>
                              </w:r>
                              <w:r>
                                <w:rPr>
                                  <w:lang w:val="nl"/>
                                </w:rPr>
                                <w:t>6</w:t>
                              </w:r>
                              <w:r w:rsidR="008234A3">
                                <w:rPr>
                                  <w:lang w:val="nl"/>
                                </w:rPr>
                                <w:t xml:space="preserve"> november 2025</w:t>
                              </w:r>
                            </w:sdtContent>
                          </w:sdt>
                        </w:p>
                        <w:p w14:paraId="64A953DF" w14:textId="77777777" w:rsidR="00410487" w:rsidRDefault="00410487">
                          <w:pPr>
                            <w:pStyle w:val="WitregelW1"/>
                          </w:pPr>
                        </w:p>
                        <w:p w14:paraId="4F03731E" w14:textId="77777777" w:rsidR="00410487" w:rsidRDefault="00302520">
                          <w:pPr>
                            <w:pStyle w:val="Referentiegegevensbold"/>
                          </w:pPr>
                          <w:r>
                            <w:t>Onze referentie</w:t>
                          </w:r>
                        </w:p>
                        <w:p w14:paraId="52642F52" w14:textId="3063AC1D" w:rsidR="00410487" w:rsidRDefault="000337FE" w:rsidP="00AF41BF">
                          <w:pPr>
                            <w:pStyle w:val="Referentiegegevens"/>
                          </w:pPr>
                          <w:r>
                            <w:t>6915962</w:t>
                          </w:r>
                        </w:p>
                      </w:txbxContent>
                    </wps:txbx>
                    <wps:bodyPr vert="horz" wrap="square" lIns="0" tIns="0" rIns="0" bIns="0" anchor="t" anchorCtr="0"/>
                  </wps:wsp>
                </a:graphicData>
              </a:graphic>
            </wp:anchor>
          </w:drawing>
        </mc:Choice>
        <mc:Fallback>
          <w:pict>
            <v:shapetype w14:anchorId="679D2BE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6B5F890" w14:textId="77777777" w:rsidR="00410487" w:rsidRPr="008234A3" w:rsidRDefault="00302520">
                    <w:pPr>
                      <w:pStyle w:val="Referentiegegevens"/>
                      <w:rPr>
                        <w:b/>
                        <w:bCs/>
                      </w:rPr>
                    </w:pPr>
                    <w:r w:rsidRPr="008234A3">
                      <w:rPr>
                        <w:b/>
                        <w:bCs/>
                      </w:rPr>
                      <w:t>Directie Wetgeving en Juridische Zaken</w:t>
                    </w:r>
                  </w:p>
                  <w:p w14:paraId="3E0D9C41" w14:textId="77777777" w:rsidR="00410487" w:rsidRDefault="00302520">
                    <w:pPr>
                      <w:pStyle w:val="Referentiegegevens"/>
                    </w:pPr>
                    <w:r>
                      <w:t>Privaatrecht</w:t>
                    </w:r>
                  </w:p>
                  <w:p w14:paraId="2B3051D7" w14:textId="77777777" w:rsidR="00410487" w:rsidRDefault="00410487">
                    <w:pPr>
                      <w:pStyle w:val="WitregelW2"/>
                    </w:pPr>
                  </w:p>
                  <w:p w14:paraId="77C071FB" w14:textId="77777777" w:rsidR="00410487" w:rsidRDefault="00302520">
                    <w:pPr>
                      <w:pStyle w:val="Referentiegegevensbold"/>
                    </w:pPr>
                    <w:r>
                      <w:t>Datum</w:t>
                    </w:r>
                  </w:p>
                  <w:p w14:paraId="2CE191F6" w14:textId="62BFF2A6" w:rsidR="00410487" w:rsidRDefault="00EA54AD">
                    <w:pPr>
                      <w:pStyle w:val="Referentiegegevens"/>
                    </w:pPr>
                    <w:sdt>
                      <w:sdtPr>
                        <w:id w:val="295028978"/>
                        <w:date w:fullDate="2025-11-26T00:00:00Z">
                          <w:dateFormat w:val="d MMMM yyyy"/>
                          <w:lid w:val="nl"/>
                          <w:storeMappedDataAs w:val="dateTime"/>
                          <w:calendar w:val="gregorian"/>
                        </w:date>
                      </w:sdtPr>
                      <w:sdtEndPr/>
                      <w:sdtContent>
                        <w:r w:rsidR="008234A3">
                          <w:rPr>
                            <w:lang w:val="nl"/>
                          </w:rPr>
                          <w:t>2</w:t>
                        </w:r>
                        <w:r>
                          <w:rPr>
                            <w:lang w:val="nl"/>
                          </w:rPr>
                          <w:t>6</w:t>
                        </w:r>
                        <w:r w:rsidR="008234A3">
                          <w:rPr>
                            <w:lang w:val="nl"/>
                          </w:rPr>
                          <w:t xml:space="preserve"> november 2025</w:t>
                        </w:r>
                      </w:sdtContent>
                    </w:sdt>
                  </w:p>
                  <w:p w14:paraId="64A953DF" w14:textId="77777777" w:rsidR="00410487" w:rsidRDefault="00410487">
                    <w:pPr>
                      <w:pStyle w:val="WitregelW1"/>
                    </w:pPr>
                  </w:p>
                  <w:p w14:paraId="4F03731E" w14:textId="77777777" w:rsidR="00410487" w:rsidRDefault="00302520">
                    <w:pPr>
                      <w:pStyle w:val="Referentiegegevensbold"/>
                    </w:pPr>
                    <w:r>
                      <w:t>Onze referentie</w:t>
                    </w:r>
                  </w:p>
                  <w:p w14:paraId="52642F52" w14:textId="3063AC1D" w:rsidR="00410487" w:rsidRDefault="000337FE" w:rsidP="00AF41BF">
                    <w:pPr>
                      <w:pStyle w:val="Referentiegegevens"/>
                    </w:pPr>
                    <w:r>
                      <w:t>6915962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D6EAF00" wp14:editId="4A3C726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A190A86" w14:textId="77777777" w:rsidR="00302520" w:rsidRDefault="00302520"/>
                      </w:txbxContent>
                    </wps:txbx>
                    <wps:bodyPr vert="horz" wrap="square" lIns="0" tIns="0" rIns="0" bIns="0" anchor="t" anchorCtr="0"/>
                  </wps:wsp>
                </a:graphicData>
              </a:graphic>
            </wp:anchor>
          </w:drawing>
        </mc:Choice>
        <mc:Fallback>
          <w:pict>
            <v:shape w14:anchorId="6D6EAF0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A190A86" w14:textId="77777777" w:rsidR="00302520" w:rsidRDefault="0030252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BFCFC49" wp14:editId="0367387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A63FC1" w14:textId="4C02515C" w:rsidR="00410487" w:rsidRDefault="00302520">
                          <w:pPr>
                            <w:pStyle w:val="Referentiegegevens"/>
                          </w:pPr>
                          <w:r>
                            <w:t xml:space="preserve">Pagina </w:t>
                          </w:r>
                          <w:r>
                            <w:fldChar w:fldCharType="begin"/>
                          </w:r>
                          <w:r>
                            <w:instrText>PAGE</w:instrText>
                          </w:r>
                          <w:r>
                            <w:fldChar w:fldCharType="separate"/>
                          </w:r>
                          <w:r w:rsidR="00FA416B">
                            <w:rPr>
                              <w:noProof/>
                            </w:rPr>
                            <w:t>2</w:t>
                          </w:r>
                          <w:r>
                            <w:fldChar w:fldCharType="end"/>
                          </w:r>
                          <w:r>
                            <w:t xml:space="preserve"> van </w:t>
                          </w:r>
                          <w:r>
                            <w:fldChar w:fldCharType="begin"/>
                          </w:r>
                          <w:r>
                            <w:instrText>NUMPAGES</w:instrText>
                          </w:r>
                          <w:r>
                            <w:fldChar w:fldCharType="separate"/>
                          </w:r>
                          <w:r w:rsidR="006A5738">
                            <w:rPr>
                              <w:noProof/>
                            </w:rPr>
                            <w:t>1</w:t>
                          </w:r>
                          <w:r>
                            <w:fldChar w:fldCharType="end"/>
                          </w:r>
                        </w:p>
                      </w:txbxContent>
                    </wps:txbx>
                    <wps:bodyPr vert="horz" wrap="square" lIns="0" tIns="0" rIns="0" bIns="0" anchor="t" anchorCtr="0"/>
                  </wps:wsp>
                </a:graphicData>
              </a:graphic>
            </wp:anchor>
          </w:drawing>
        </mc:Choice>
        <mc:Fallback>
          <w:pict>
            <v:shape w14:anchorId="0BFCFC4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DA63FC1" w14:textId="4C02515C" w:rsidR="00410487" w:rsidRDefault="00302520">
                    <w:pPr>
                      <w:pStyle w:val="Referentiegegevens"/>
                    </w:pPr>
                    <w:r>
                      <w:t xml:space="preserve">Pagina </w:t>
                    </w:r>
                    <w:r>
                      <w:fldChar w:fldCharType="begin"/>
                    </w:r>
                    <w:r>
                      <w:instrText>PAGE</w:instrText>
                    </w:r>
                    <w:r>
                      <w:fldChar w:fldCharType="separate"/>
                    </w:r>
                    <w:r w:rsidR="00FA416B">
                      <w:rPr>
                        <w:noProof/>
                      </w:rPr>
                      <w:t>2</w:t>
                    </w:r>
                    <w:r>
                      <w:fldChar w:fldCharType="end"/>
                    </w:r>
                    <w:r>
                      <w:t xml:space="preserve"> van </w:t>
                    </w:r>
                    <w:r>
                      <w:fldChar w:fldCharType="begin"/>
                    </w:r>
                    <w:r>
                      <w:instrText>NUMPAGES</w:instrText>
                    </w:r>
                    <w:r>
                      <w:fldChar w:fldCharType="separate"/>
                    </w:r>
                    <w:r w:rsidR="006A573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85D0" w14:textId="77777777" w:rsidR="00410487" w:rsidRDefault="00302520">
    <w:pPr>
      <w:spacing w:after="6377" w:line="14" w:lineRule="exact"/>
    </w:pPr>
    <w:r>
      <w:rPr>
        <w:noProof/>
      </w:rPr>
      <mc:AlternateContent>
        <mc:Choice Requires="wps">
          <w:drawing>
            <wp:anchor distT="0" distB="0" distL="0" distR="0" simplePos="0" relativeHeight="251655680" behindDoc="0" locked="1" layoutInCell="1" allowOverlap="1" wp14:anchorId="29EDECB2" wp14:editId="279E3CB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2808DCB" w14:textId="4BD7DE87" w:rsidR="008234A3" w:rsidRDefault="00302520">
                          <w:r>
                            <w:t xml:space="preserve">Aan de Voorzitter van de </w:t>
                          </w:r>
                          <w:r w:rsidR="0047424A">
                            <w:t>Eerste</w:t>
                          </w:r>
                          <w:r>
                            <w:t xml:space="preserve"> Kamer </w:t>
                          </w:r>
                        </w:p>
                        <w:p w14:paraId="2B70D1D5" w14:textId="0C28C0FE" w:rsidR="00410487" w:rsidRDefault="00302520">
                          <w:r>
                            <w:t>der Staten-Generaal</w:t>
                          </w:r>
                        </w:p>
                        <w:p w14:paraId="222E9AEB" w14:textId="5D80458C" w:rsidR="00410487" w:rsidRDefault="00302520">
                          <w:r>
                            <w:t>Postbus 2001</w:t>
                          </w:r>
                          <w:r w:rsidR="0047424A">
                            <w:t>7</w:t>
                          </w:r>
                          <w:r>
                            <w:t xml:space="preserve"> </w:t>
                          </w:r>
                        </w:p>
                        <w:p w14:paraId="70F9E83C" w14:textId="77777777" w:rsidR="00410487" w:rsidRDefault="00302520">
                          <w:r>
                            <w:t>2500 EA  DEN HAAG</w:t>
                          </w:r>
                        </w:p>
                      </w:txbxContent>
                    </wps:txbx>
                    <wps:bodyPr vert="horz" wrap="square" lIns="0" tIns="0" rIns="0" bIns="0" anchor="t" anchorCtr="0"/>
                  </wps:wsp>
                </a:graphicData>
              </a:graphic>
            </wp:anchor>
          </w:drawing>
        </mc:Choice>
        <mc:Fallback>
          <w:pict>
            <v:shapetype w14:anchorId="29EDECB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2808DCB" w14:textId="4BD7DE87" w:rsidR="008234A3" w:rsidRDefault="00302520">
                    <w:r>
                      <w:t xml:space="preserve">Aan de Voorzitter van de </w:t>
                    </w:r>
                    <w:r w:rsidR="0047424A">
                      <w:t>Eerste</w:t>
                    </w:r>
                    <w:r>
                      <w:t xml:space="preserve"> Kamer </w:t>
                    </w:r>
                  </w:p>
                  <w:p w14:paraId="2B70D1D5" w14:textId="0C28C0FE" w:rsidR="00410487" w:rsidRDefault="00302520">
                    <w:r>
                      <w:t>der Staten-Generaal</w:t>
                    </w:r>
                  </w:p>
                  <w:p w14:paraId="222E9AEB" w14:textId="5D80458C" w:rsidR="00410487" w:rsidRDefault="00302520">
                    <w:r>
                      <w:t>Postbus 2001</w:t>
                    </w:r>
                    <w:r w:rsidR="0047424A">
                      <w:t>7</w:t>
                    </w:r>
                    <w:r>
                      <w:t xml:space="preserve"> </w:t>
                    </w:r>
                  </w:p>
                  <w:p w14:paraId="70F9E83C" w14:textId="77777777" w:rsidR="00410487" w:rsidRDefault="0030252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C8CCA7D" wp14:editId="1A471273">
              <wp:simplePos x="0" y="0"/>
              <wp:positionH relativeFrom="margin">
                <wp:align>right</wp:align>
              </wp:positionH>
              <wp:positionV relativeFrom="page">
                <wp:posOffset>3352800</wp:posOffset>
              </wp:positionV>
              <wp:extent cx="4787900" cy="4953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953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10487" w14:paraId="0FD99EE1" w14:textId="77777777">
                            <w:trPr>
                              <w:trHeight w:val="240"/>
                            </w:trPr>
                            <w:tc>
                              <w:tcPr>
                                <w:tcW w:w="1140" w:type="dxa"/>
                              </w:tcPr>
                              <w:p w14:paraId="7EC507C8" w14:textId="77777777" w:rsidR="00410487" w:rsidRDefault="00302520">
                                <w:r>
                                  <w:t>Datum</w:t>
                                </w:r>
                              </w:p>
                            </w:tc>
                            <w:tc>
                              <w:tcPr>
                                <w:tcW w:w="5918" w:type="dxa"/>
                              </w:tcPr>
                              <w:p w14:paraId="67C87266" w14:textId="6111A28B" w:rsidR="00410487" w:rsidRDefault="00EA54AD">
                                <w:sdt>
                                  <w:sdtPr>
                                    <w:id w:val="199371154"/>
                                    <w:date w:fullDate="2025-11-26T00:00:00Z">
                                      <w:dateFormat w:val="d MMMM yyyy"/>
                                      <w:lid w:val="nl"/>
                                      <w:storeMappedDataAs w:val="dateTime"/>
                                      <w:calendar w:val="gregorian"/>
                                    </w:date>
                                  </w:sdtPr>
                                  <w:sdtEndPr/>
                                  <w:sdtContent>
                                    <w:r w:rsidR="008234A3">
                                      <w:rPr>
                                        <w:lang w:val="nl"/>
                                      </w:rPr>
                                      <w:t>2</w:t>
                                    </w:r>
                                    <w:r>
                                      <w:rPr>
                                        <w:lang w:val="nl"/>
                                      </w:rPr>
                                      <w:t>6</w:t>
                                    </w:r>
                                    <w:r w:rsidR="008234A3">
                                      <w:rPr>
                                        <w:lang w:val="nl"/>
                                      </w:rPr>
                                      <w:t xml:space="preserve"> november 2025</w:t>
                                    </w:r>
                                  </w:sdtContent>
                                </w:sdt>
                              </w:p>
                            </w:tc>
                          </w:tr>
                          <w:tr w:rsidR="00410487" w14:paraId="0FCA14BD" w14:textId="77777777">
                            <w:trPr>
                              <w:trHeight w:val="240"/>
                            </w:trPr>
                            <w:tc>
                              <w:tcPr>
                                <w:tcW w:w="1140" w:type="dxa"/>
                              </w:tcPr>
                              <w:p w14:paraId="2AB0DFD4" w14:textId="77777777" w:rsidR="00410487" w:rsidRDefault="00302520">
                                <w:r>
                                  <w:t>Betreft</w:t>
                                </w:r>
                              </w:p>
                            </w:tc>
                            <w:tc>
                              <w:tcPr>
                                <w:tcW w:w="5918" w:type="dxa"/>
                              </w:tcPr>
                              <w:p w14:paraId="5E87836F" w14:textId="072AE9B5" w:rsidR="00410487" w:rsidRDefault="00302520">
                                <w:r>
                                  <w:t>Kabinetsreactie WODC onderzoeksrapport over evaluatie</w:t>
                                </w:r>
                                <w:r w:rsidR="008B1D28">
                                  <w:t xml:space="preserve"> Wet</w:t>
                                </w:r>
                                <w:r>
                                  <w:t xml:space="preserve"> homologatie onderhands akkoord </w:t>
                                </w:r>
                              </w:p>
                            </w:tc>
                          </w:tr>
                        </w:tbl>
                        <w:p w14:paraId="568A6136" w14:textId="77777777" w:rsidR="00302520" w:rsidRDefault="00302520"/>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7C8CCA7D" id="_x0000_t202" coordsize="21600,21600" o:spt="202" path="m,l,21600r21600,l21600,xe">
              <v:stroke joinstyle="miter"/>
              <v:path gradientshapeok="t" o:connecttype="rect"/>
            </v:shapetype>
            <v:shape id="46feebd0-aa3c-11ea-a756-beb5f67e67be" o:spid="_x0000_s1030" type="#_x0000_t202" style="position:absolute;margin-left:325.8pt;margin-top:264pt;width:377pt;height:39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10487" w14:paraId="0FD99EE1" w14:textId="77777777">
                      <w:trPr>
                        <w:trHeight w:val="240"/>
                      </w:trPr>
                      <w:tc>
                        <w:tcPr>
                          <w:tcW w:w="1140" w:type="dxa"/>
                        </w:tcPr>
                        <w:p w14:paraId="7EC507C8" w14:textId="77777777" w:rsidR="00410487" w:rsidRDefault="00302520">
                          <w:r>
                            <w:t>Datum</w:t>
                          </w:r>
                        </w:p>
                      </w:tc>
                      <w:tc>
                        <w:tcPr>
                          <w:tcW w:w="5918" w:type="dxa"/>
                        </w:tcPr>
                        <w:p w14:paraId="67C87266" w14:textId="6111A28B" w:rsidR="00410487" w:rsidRDefault="00EA54AD">
                          <w:sdt>
                            <w:sdtPr>
                              <w:id w:val="199371154"/>
                              <w:date w:fullDate="2025-11-26T00:00:00Z">
                                <w:dateFormat w:val="d MMMM yyyy"/>
                                <w:lid w:val="nl"/>
                                <w:storeMappedDataAs w:val="dateTime"/>
                                <w:calendar w:val="gregorian"/>
                              </w:date>
                            </w:sdtPr>
                            <w:sdtEndPr/>
                            <w:sdtContent>
                              <w:r w:rsidR="008234A3">
                                <w:rPr>
                                  <w:lang w:val="nl"/>
                                </w:rPr>
                                <w:t>2</w:t>
                              </w:r>
                              <w:r>
                                <w:rPr>
                                  <w:lang w:val="nl"/>
                                </w:rPr>
                                <w:t>6</w:t>
                              </w:r>
                              <w:r w:rsidR="008234A3">
                                <w:rPr>
                                  <w:lang w:val="nl"/>
                                </w:rPr>
                                <w:t xml:space="preserve"> november 2025</w:t>
                              </w:r>
                            </w:sdtContent>
                          </w:sdt>
                        </w:p>
                      </w:tc>
                    </w:tr>
                    <w:tr w:rsidR="00410487" w14:paraId="0FCA14BD" w14:textId="77777777">
                      <w:trPr>
                        <w:trHeight w:val="240"/>
                      </w:trPr>
                      <w:tc>
                        <w:tcPr>
                          <w:tcW w:w="1140" w:type="dxa"/>
                        </w:tcPr>
                        <w:p w14:paraId="2AB0DFD4" w14:textId="77777777" w:rsidR="00410487" w:rsidRDefault="00302520">
                          <w:r>
                            <w:t>Betreft</w:t>
                          </w:r>
                        </w:p>
                      </w:tc>
                      <w:tc>
                        <w:tcPr>
                          <w:tcW w:w="5918" w:type="dxa"/>
                        </w:tcPr>
                        <w:p w14:paraId="5E87836F" w14:textId="072AE9B5" w:rsidR="00410487" w:rsidRDefault="00302520">
                          <w:r>
                            <w:t>Kabinetsreactie WODC onderzoeksrapport over evaluatie</w:t>
                          </w:r>
                          <w:r w:rsidR="008B1D28">
                            <w:t xml:space="preserve"> Wet</w:t>
                          </w:r>
                          <w:r>
                            <w:t xml:space="preserve"> homologatie onderhands akkoord </w:t>
                          </w:r>
                        </w:p>
                      </w:tc>
                    </w:tr>
                  </w:tbl>
                  <w:p w14:paraId="568A6136" w14:textId="77777777" w:rsidR="00302520" w:rsidRDefault="00302520"/>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E983082" wp14:editId="4F89B99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77584BC" w14:textId="77777777" w:rsidR="00410487" w:rsidRPr="008234A3" w:rsidRDefault="00302520">
                          <w:pPr>
                            <w:pStyle w:val="Referentiegegevens"/>
                            <w:rPr>
                              <w:b/>
                              <w:bCs/>
                            </w:rPr>
                          </w:pPr>
                          <w:r w:rsidRPr="008234A3">
                            <w:rPr>
                              <w:b/>
                              <w:bCs/>
                            </w:rPr>
                            <w:t>Directie Wetgeving en Juridische Zaken</w:t>
                          </w:r>
                        </w:p>
                        <w:p w14:paraId="027207ED" w14:textId="77777777" w:rsidR="00410487" w:rsidRDefault="00302520">
                          <w:pPr>
                            <w:pStyle w:val="Referentiegegevens"/>
                          </w:pPr>
                          <w:r>
                            <w:t>Privaatrecht</w:t>
                          </w:r>
                        </w:p>
                        <w:p w14:paraId="6BA6CA97" w14:textId="77777777" w:rsidR="00410487" w:rsidRDefault="00410487">
                          <w:pPr>
                            <w:pStyle w:val="WitregelW1"/>
                          </w:pPr>
                        </w:p>
                        <w:p w14:paraId="78B6E53C" w14:textId="77777777" w:rsidR="00410487" w:rsidRPr="00693600" w:rsidRDefault="00302520">
                          <w:pPr>
                            <w:pStyle w:val="Referentiegegevens"/>
                            <w:rPr>
                              <w:lang w:val="de-DE"/>
                            </w:rPr>
                          </w:pPr>
                          <w:r w:rsidRPr="00693600">
                            <w:rPr>
                              <w:lang w:val="de-DE"/>
                            </w:rPr>
                            <w:t>Turfmarkt 147</w:t>
                          </w:r>
                        </w:p>
                        <w:p w14:paraId="1B853299" w14:textId="77777777" w:rsidR="00410487" w:rsidRPr="00693600" w:rsidRDefault="00302520">
                          <w:pPr>
                            <w:pStyle w:val="Referentiegegevens"/>
                            <w:rPr>
                              <w:lang w:val="de-DE"/>
                            </w:rPr>
                          </w:pPr>
                          <w:r w:rsidRPr="00693600">
                            <w:rPr>
                              <w:lang w:val="de-DE"/>
                            </w:rPr>
                            <w:t>2511 DP   Den Haag</w:t>
                          </w:r>
                        </w:p>
                        <w:p w14:paraId="5FF2DE8A" w14:textId="77777777" w:rsidR="00410487" w:rsidRPr="00693600" w:rsidRDefault="00302520">
                          <w:pPr>
                            <w:pStyle w:val="Referentiegegevens"/>
                            <w:rPr>
                              <w:lang w:val="de-DE"/>
                            </w:rPr>
                          </w:pPr>
                          <w:r w:rsidRPr="00693600">
                            <w:rPr>
                              <w:lang w:val="de-DE"/>
                            </w:rPr>
                            <w:t>Postbus 20301</w:t>
                          </w:r>
                        </w:p>
                        <w:p w14:paraId="03502E80" w14:textId="77777777" w:rsidR="00410487" w:rsidRPr="00693600" w:rsidRDefault="00302520">
                          <w:pPr>
                            <w:pStyle w:val="Referentiegegevens"/>
                            <w:rPr>
                              <w:lang w:val="de-DE"/>
                            </w:rPr>
                          </w:pPr>
                          <w:r w:rsidRPr="00693600">
                            <w:rPr>
                              <w:lang w:val="de-DE"/>
                            </w:rPr>
                            <w:t>2500 EH   Den Haag</w:t>
                          </w:r>
                        </w:p>
                        <w:p w14:paraId="36149A39" w14:textId="77777777" w:rsidR="00410487" w:rsidRPr="00693600" w:rsidRDefault="00302520">
                          <w:pPr>
                            <w:pStyle w:val="Referentiegegevens"/>
                            <w:rPr>
                              <w:lang w:val="de-DE"/>
                            </w:rPr>
                          </w:pPr>
                          <w:r w:rsidRPr="00693600">
                            <w:rPr>
                              <w:lang w:val="de-DE"/>
                            </w:rPr>
                            <w:t>www.rijksoverheid.nl/jenv</w:t>
                          </w:r>
                        </w:p>
                        <w:p w14:paraId="4F6D5F9D" w14:textId="77777777" w:rsidR="00410487" w:rsidRPr="00693600" w:rsidRDefault="00410487">
                          <w:pPr>
                            <w:pStyle w:val="WitregelW2"/>
                            <w:rPr>
                              <w:lang w:val="de-DE"/>
                            </w:rPr>
                          </w:pPr>
                        </w:p>
                        <w:p w14:paraId="01D4314F" w14:textId="51B601CB" w:rsidR="00410487" w:rsidRDefault="00302520" w:rsidP="008A0898">
                          <w:pPr>
                            <w:pStyle w:val="Referentiegegevensbold"/>
                          </w:pPr>
                          <w:r>
                            <w:t>Onze referentie</w:t>
                          </w:r>
                        </w:p>
                        <w:p w14:paraId="2DB70F67" w14:textId="6372912D" w:rsidR="008A0898" w:rsidRPr="008A0898" w:rsidRDefault="008A0898" w:rsidP="008A0898">
                          <w:pPr>
                            <w:rPr>
                              <w:sz w:val="13"/>
                              <w:szCs w:val="13"/>
                            </w:rPr>
                          </w:pPr>
                          <w:r w:rsidRPr="008A0898">
                            <w:rPr>
                              <w:sz w:val="13"/>
                              <w:szCs w:val="13"/>
                            </w:rPr>
                            <w:t>6915962</w:t>
                          </w:r>
                        </w:p>
                        <w:p w14:paraId="14FDF3AA" w14:textId="77777777" w:rsidR="0047424A" w:rsidRPr="0047424A" w:rsidRDefault="0047424A" w:rsidP="0047424A"/>
                        <w:p w14:paraId="447444E4" w14:textId="77777777" w:rsidR="00410487" w:rsidRDefault="00302520">
                          <w:pPr>
                            <w:pStyle w:val="Referentiegegevensbold"/>
                          </w:pPr>
                          <w:r>
                            <w:t>Bijlage(n)</w:t>
                          </w:r>
                        </w:p>
                        <w:p w14:paraId="3B83CA94" w14:textId="77777777" w:rsidR="00410487" w:rsidRDefault="00302520">
                          <w:pPr>
                            <w:pStyle w:val="Referentiegegevens"/>
                          </w:pPr>
                          <w:r>
                            <w:t>WODC onderzoeksrapport evaluatie Wet homologatie onderhands akkoord</w:t>
                          </w:r>
                        </w:p>
                      </w:txbxContent>
                    </wps:txbx>
                    <wps:bodyPr vert="horz" wrap="square" lIns="0" tIns="0" rIns="0" bIns="0" anchor="t" anchorCtr="0"/>
                  </wps:wsp>
                </a:graphicData>
              </a:graphic>
            </wp:anchor>
          </w:drawing>
        </mc:Choice>
        <mc:Fallback>
          <w:pict>
            <v:shape w14:anchorId="1E98308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77584BC" w14:textId="77777777" w:rsidR="00410487" w:rsidRPr="008234A3" w:rsidRDefault="00302520">
                    <w:pPr>
                      <w:pStyle w:val="Referentiegegevens"/>
                      <w:rPr>
                        <w:b/>
                        <w:bCs/>
                      </w:rPr>
                    </w:pPr>
                    <w:r w:rsidRPr="008234A3">
                      <w:rPr>
                        <w:b/>
                        <w:bCs/>
                      </w:rPr>
                      <w:t>Directie Wetgeving en Juridische Zaken</w:t>
                    </w:r>
                  </w:p>
                  <w:p w14:paraId="027207ED" w14:textId="77777777" w:rsidR="00410487" w:rsidRDefault="00302520">
                    <w:pPr>
                      <w:pStyle w:val="Referentiegegevens"/>
                    </w:pPr>
                    <w:r>
                      <w:t>Privaatrecht</w:t>
                    </w:r>
                  </w:p>
                  <w:p w14:paraId="6BA6CA97" w14:textId="77777777" w:rsidR="00410487" w:rsidRDefault="00410487">
                    <w:pPr>
                      <w:pStyle w:val="WitregelW1"/>
                    </w:pPr>
                  </w:p>
                  <w:p w14:paraId="78B6E53C" w14:textId="77777777" w:rsidR="00410487" w:rsidRPr="00693600" w:rsidRDefault="00302520">
                    <w:pPr>
                      <w:pStyle w:val="Referentiegegevens"/>
                      <w:rPr>
                        <w:lang w:val="de-DE"/>
                      </w:rPr>
                    </w:pPr>
                    <w:r w:rsidRPr="00693600">
                      <w:rPr>
                        <w:lang w:val="de-DE"/>
                      </w:rPr>
                      <w:t>Turfmarkt 147</w:t>
                    </w:r>
                  </w:p>
                  <w:p w14:paraId="1B853299" w14:textId="77777777" w:rsidR="00410487" w:rsidRPr="00693600" w:rsidRDefault="00302520">
                    <w:pPr>
                      <w:pStyle w:val="Referentiegegevens"/>
                      <w:rPr>
                        <w:lang w:val="de-DE"/>
                      </w:rPr>
                    </w:pPr>
                    <w:r w:rsidRPr="00693600">
                      <w:rPr>
                        <w:lang w:val="de-DE"/>
                      </w:rPr>
                      <w:t>2511 DP   Den Haag</w:t>
                    </w:r>
                  </w:p>
                  <w:p w14:paraId="5FF2DE8A" w14:textId="77777777" w:rsidR="00410487" w:rsidRPr="00693600" w:rsidRDefault="00302520">
                    <w:pPr>
                      <w:pStyle w:val="Referentiegegevens"/>
                      <w:rPr>
                        <w:lang w:val="de-DE"/>
                      </w:rPr>
                    </w:pPr>
                    <w:r w:rsidRPr="00693600">
                      <w:rPr>
                        <w:lang w:val="de-DE"/>
                      </w:rPr>
                      <w:t>Postbus 20301</w:t>
                    </w:r>
                  </w:p>
                  <w:p w14:paraId="03502E80" w14:textId="77777777" w:rsidR="00410487" w:rsidRPr="00693600" w:rsidRDefault="00302520">
                    <w:pPr>
                      <w:pStyle w:val="Referentiegegevens"/>
                      <w:rPr>
                        <w:lang w:val="de-DE"/>
                      </w:rPr>
                    </w:pPr>
                    <w:r w:rsidRPr="00693600">
                      <w:rPr>
                        <w:lang w:val="de-DE"/>
                      </w:rPr>
                      <w:t>2500 EH   Den Haag</w:t>
                    </w:r>
                  </w:p>
                  <w:p w14:paraId="36149A39" w14:textId="77777777" w:rsidR="00410487" w:rsidRPr="00693600" w:rsidRDefault="00302520">
                    <w:pPr>
                      <w:pStyle w:val="Referentiegegevens"/>
                      <w:rPr>
                        <w:lang w:val="de-DE"/>
                      </w:rPr>
                    </w:pPr>
                    <w:r w:rsidRPr="00693600">
                      <w:rPr>
                        <w:lang w:val="de-DE"/>
                      </w:rPr>
                      <w:t>www.rijksoverheid.nl/jenv</w:t>
                    </w:r>
                  </w:p>
                  <w:p w14:paraId="4F6D5F9D" w14:textId="77777777" w:rsidR="00410487" w:rsidRPr="00693600" w:rsidRDefault="00410487">
                    <w:pPr>
                      <w:pStyle w:val="WitregelW2"/>
                      <w:rPr>
                        <w:lang w:val="de-DE"/>
                      </w:rPr>
                    </w:pPr>
                  </w:p>
                  <w:p w14:paraId="01D4314F" w14:textId="51B601CB" w:rsidR="00410487" w:rsidRDefault="00302520" w:rsidP="008A0898">
                    <w:pPr>
                      <w:pStyle w:val="Referentiegegevensbold"/>
                    </w:pPr>
                    <w:r>
                      <w:t>Onze referentie</w:t>
                    </w:r>
                  </w:p>
                  <w:p w14:paraId="2DB70F67" w14:textId="6372912D" w:rsidR="008A0898" w:rsidRPr="008A0898" w:rsidRDefault="008A0898" w:rsidP="008A0898">
                    <w:pPr>
                      <w:rPr>
                        <w:sz w:val="13"/>
                        <w:szCs w:val="13"/>
                      </w:rPr>
                    </w:pPr>
                    <w:r w:rsidRPr="008A0898">
                      <w:rPr>
                        <w:sz w:val="13"/>
                        <w:szCs w:val="13"/>
                      </w:rPr>
                      <w:t>6915962</w:t>
                    </w:r>
                  </w:p>
                  <w:p w14:paraId="14FDF3AA" w14:textId="77777777" w:rsidR="0047424A" w:rsidRPr="0047424A" w:rsidRDefault="0047424A" w:rsidP="0047424A"/>
                  <w:p w14:paraId="447444E4" w14:textId="77777777" w:rsidR="00410487" w:rsidRDefault="00302520">
                    <w:pPr>
                      <w:pStyle w:val="Referentiegegevensbold"/>
                    </w:pPr>
                    <w:r>
                      <w:t>Bijlage(n)</w:t>
                    </w:r>
                  </w:p>
                  <w:p w14:paraId="3B83CA94" w14:textId="77777777" w:rsidR="00410487" w:rsidRDefault="00302520">
                    <w:pPr>
                      <w:pStyle w:val="Referentiegegevens"/>
                    </w:pPr>
                    <w:r>
                      <w:t>WODC onderzoeksrapport evaluatie Wet homologatie onderhands akkoord</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1A222A2" wp14:editId="74178AF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55B1E4D" w14:textId="77777777" w:rsidR="00302520" w:rsidRDefault="00302520"/>
                      </w:txbxContent>
                    </wps:txbx>
                    <wps:bodyPr vert="horz" wrap="square" lIns="0" tIns="0" rIns="0" bIns="0" anchor="t" anchorCtr="0"/>
                  </wps:wsp>
                </a:graphicData>
              </a:graphic>
            </wp:anchor>
          </w:drawing>
        </mc:Choice>
        <mc:Fallback>
          <w:pict>
            <v:shape w14:anchorId="71A222A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55B1E4D" w14:textId="77777777" w:rsidR="00302520" w:rsidRDefault="0030252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63A6DE9" wp14:editId="4A97513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B81EBE" w14:textId="1C0CEBA0" w:rsidR="00410487" w:rsidRDefault="00302520">
                          <w:pPr>
                            <w:pStyle w:val="Referentiegegevens"/>
                          </w:pPr>
                          <w:r>
                            <w:t xml:space="preserve">Pagina </w:t>
                          </w:r>
                          <w:r>
                            <w:fldChar w:fldCharType="begin"/>
                          </w:r>
                          <w:r>
                            <w:instrText>PAGE</w:instrText>
                          </w:r>
                          <w:r>
                            <w:fldChar w:fldCharType="separate"/>
                          </w:r>
                          <w:r w:rsidR="006A5738">
                            <w:rPr>
                              <w:noProof/>
                            </w:rPr>
                            <w:t>1</w:t>
                          </w:r>
                          <w:r>
                            <w:fldChar w:fldCharType="end"/>
                          </w:r>
                          <w:r>
                            <w:t xml:space="preserve"> van </w:t>
                          </w:r>
                          <w:r>
                            <w:fldChar w:fldCharType="begin"/>
                          </w:r>
                          <w:r>
                            <w:instrText>NUMPAGES</w:instrText>
                          </w:r>
                          <w:r>
                            <w:fldChar w:fldCharType="separate"/>
                          </w:r>
                          <w:r w:rsidR="006A5738">
                            <w:rPr>
                              <w:noProof/>
                            </w:rPr>
                            <w:t>1</w:t>
                          </w:r>
                          <w:r>
                            <w:fldChar w:fldCharType="end"/>
                          </w:r>
                        </w:p>
                      </w:txbxContent>
                    </wps:txbx>
                    <wps:bodyPr vert="horz" wrap="square" lIns="0" tIns="0" rIns="0" bIns="0" anchor="t" anchorCtr="0"/>
                  </wps:wsp>
                </a:graphicData>
              </a:graphic>
            </wp:anchor>
          </w:drawing>
        </mc:Choice>
        <mc:Fallback>
          <w:pict>
            <v:shape w14:anchorId="463A6DE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DB81EBE" w14:textId="1C0CEBA0" w:rsidR="00410487" w:rsidRDefault="00302520">
                    <w:pPr>
                      <w:pStyle w:val="Referentiegegevens"/>
                    </w:pPr>
                    <w:r>
                      <w:t xml:space="preserve">Pagina </w:t>
                    </w:r>
                    <w:r>
                      <w:fldChar w:fldCharType="begin"/>
                    </w:r>
                    <w:r>
                      <w:instrText>PAGE</w:instrText>
                    </w:r>
                    <w:r>
                      <w:fldChar w:fldCharType="separate"/>
                    </w:r>
                    <w:r w:rsidR="006A5738">
                      <w:rPr>
                        <w:noProof/>
                      </w:rPr>
                      <w:t>1</w:t>
                    </w:r>
                    <w:r>
                      <w:fldChar w:fldCharType="end"/>
                    </w:r>
                    <w:r>
                      <w:t xml:space="preserve"> van </w:t>
                    </w:r>
                    <w:r>
                      <w:fldChar w:fldCharType="begin"/>
                    </w:r>
                    <w:r>
                      <w:instrText>NUMPAGES</w:instrText>
                    </w:r>
                    <w:r>
                      <w:fldChar w:fldCharType="separate"/>
                    </w:r>
                    <w:r w:rsidR="006A573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A12C4EE" wp14:editId="2D19A92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1968201" w14:textId="77777777" w:rsidR="00410487" w:rsidRDefault="00302520">
                          <w:pPr>
                            <w:spacing w:line="240" w:lineRule="auto"/>
                          </w:pPr>
                          <w:r>
                            <w:rPr>
                              <w:noProof/>
                            </w:rPr>
                            <w:drawing>
                              <wp:inline distT="0" distB="0" distL="0" distR="0" wp14:anchorId="2A95987C" wp14:editId="48079AD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A12C4E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1968201" w14:textId="77777777" w:rsidR="00410487" w:rsidRDefault="00302520">
                    <w:pPr>
                      <w:spacing w:line="240" w:lineRule="auto"/>
                    </w:pPr>
                    <w:r>
                      <w:rPr>
                        <w:noProof/>
                      </w:rPr>
                      <w:drawing>
                        <wp:inline distT="0" distB="0" distL="0" distR="0" wp14:anchorId="2A95987C" wp14:editId="48079AD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C7B8DC5" wp14:editId="3AFA8C6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F86952" w14:textId="77777777" w:rsidR="00410487" w:rsidRDefault="00302520">
                          <w:pPr>
                            <w:spacing w:line="240" w:lineRule="auto"/>
                          </w:pPr>
                          <w:r>
                            <w:rPr>
                              <w:noProof/>
                            </w:rPr>
                            <w:drawing>
                              <wp:inline distT="0" distB="0" distL="0" distR="0" wp14:anchorId="66CB58F5" wp14:editId="222093B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7B8DC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DF86952" w14:textId="77777777" w:rsidR="00410487" w:rsidRDefault="00302520">
                    <w:pPr>
                      <w:spacing w:line="240" w:lineRule="auto"/>
                    </w:pPr>
                    <w:r>
                      <w:rPr>
                        <w:noProof/>
                      </w:rPr>
                      <w:drawing>
                        <wp:inline distT="0" distB="0" distL="0" distR="0" wp14:anchorId="66CB58F5" wp14:editId="222093B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8E9B425" wp14:editId="78B0D00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AF5532" w14:textId="77777777" w:rsidR="00410487" w:rsidRDefault="0030252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8E9B42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0AF5532" w14:textId="77777777" w:rsidR="00410487" w:rsidRDefault="00302520">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EF6265"/>
    <w:multiLevelType w:val="multilevel"/>
    <w:tmpl w:val="20DA5CA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83948B3"/>
    <w:multiLevelType w:val="multilevel"/>
    <w:tmpl w:val="7243D6C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4DD7E74"/>
    <w:multiLevelType w:val="multilevel"/>
    <w:tmpl w:val="2AE9D1A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CFAE5EB"/>
    <w:multiLevelType w:val="multilevel"/>
    <w:tmpl w:val="FF42B71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397ED2D"/>
    <w:multiLevelType w:val="multilevel"/>
    <w:tmpl w:val="4E1661C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09CD1DAE"/>
    <w:multiLevelType w:val="hybridMultilevel"/>
    <w:tmpl w:val="95E887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152E3D7D"/>
    <w:multiLevelType w:val="hybridMultilevel"/>
    <w:tmpl w:val="B8F62EEA"/>
    <w:lvl w:ilvl="0" w:tplc="0413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F5F7D90"/>
    <w:multiLevelType w:val="hybridMultilevel"/>
    <w:tmpl w:val="382688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361E18"/>
    <w:multiLevelType w:val="hybridMultilevel"/>
    <w:tmpl w:val="53822A36"/>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7AC43E1"/>
    <w:multiLevelType w:val="hybridMultilevel"/>
    <w:tmpl w:val="1CA0868C"/>
    <w:lvl w:ilvl="0" w:tplc="B24EE296">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4AC10DD9"/>
    <w:multiLevelType w:val="multilevel"/>
    <w:tmpl w:val="C35B2E8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5FD4167E"/>
    <w:multiLevelType w:val="hybridMultilevel"/>
    <w:tmpl w:val="F0464D94"/>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63B738D8"/>
    <w:multiLevelType w:val="hybridMultilevel"/>
    <w:tmpl w:val="0D52578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ABA26CB"/>
    <w:multiLevelType w:val="hybridMultilevel"/>
    <w:tmpl w:val="C936AD5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621692593">
    <w:abstractNumId w:val="0"/>
  </w:num>
  <w:num w:numId="2" w16cid:durableId="1209880485">
    <w:abstractNumId w:val="3"/>
  </w:num>
  <w:num w:numId="3" w16cid:durableId="2006320906">
    <w:abstractNumId w:val="2"/>
  </w:num>
  <w:num w:numId="4" w16cid:durableId="195773438">
    <w:abstractNumId w:val="4"/>
  </w:num>
  <w:num w:numId="5" w16cid:durableId="2061396997">
    <w:abstractNumId w:val="1"/>
  </w:num>
  <w:num w:numId="6" w16cid:durableId="1877278828">
    <w:abstractNumId w:val="10"/>
  </w:num>
  <w:num w:numId="7" w16cid:durableId="1511799021">
    <w:abstractNumId w:val="7"/>
  </w:num>
  <w:num w:numId="8" w16cid:durableId="440804879">
    <w:abstractNumId w:val="11"/>
  </w:num>
  <w:num w:numId="9" w16cid:durableId="1917594225">
    <w:abstractNumId w:val="13"/>
  </w:num>
  <w:num w:numId="10" w16cid:durableId="1270088605">
    <w:abstractNumId w:val="9"/>
  </w:num>
  <w:num w:numId="11" w16cid:durableId="705375573">
    <w:abstractNumId w:val="6"/>
  </w:num>
  <w:num w:numId="12" w16cid:durableId="718825028">
    <w:abstractNumId w:val="5"/>
  </w:num>
  <w:num w:numId="13" w16cid:durableId="1631395643">
    <w:abstractNumId w:val="8"/>
  </w:num>
  <w:num w:numId="14" w16cid:durableId="1723863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38"/>
    <w:rsid w:val="00010A16"/>
    <w:rsid w:val="00032F9B"/>
    <w:rsid w:val="000337FE"/>
    <w:rsid w:val="00033C92"/>
    <w:rsid w:val="00043F67"/>
    <w:rsid w:val="000505FF"/>
    <w:rsid w:val="00053826"/>
    <w:rsid w:val="00062A2C"/>
    <w:rsid w:val="000667D1"/>
    <w:rsid w:val="00076797"/>
    <w:rsid w:val="00080B8C"/>
    <w:rsid w:val="000A05FE"/>
    <w:rsid w:val="000A3D42"/>
    <w:rsid w:val="000B3C4A"/>
    <w:rsid w:val="000B6D88"/>
    <w:rsid w:val="000F0FBE"/>
    <w:rsid w:val="000F5AB6"/>
    <w:rsid w:val="000F7026"/>
    <w:rsid w:val="0011374D"/>
    <w:rsid w:val="00121D90"/>
    <w:rsid w:val="001326F9"/>
    <w:rsid w:val="00137671"/>
    <w:rsid w:val="00154A36"/>
    <w:rsid w:val="001618B8"/>
    <w:rsid w:val="00171C1B"/>
    <w:rsid w:val="00185F7A"/>
    <w:rsid w:val="0018603B"/>
    <w:rsid w:val="001D4621"/>
    <w:rsid w:val="001D5A5F"/>
    <w:rsid w:val="001D6C13"/>
    <w:rsid w:val="001F19FF"/>
    <w:rsid w:val="001F7ACB"/>
    <w:rsid w:val="0022052F"/>
    <w:rsid w:val="002257DC"/>
    <w:rsid w:val="00230717"/>
    <w:rsid w:val="00241E80"/>
    <w:rsid w:val="00262D77"/>
    <w:rsid w:val="002777A2"/>
    <w:rsid w:val="00290ED7"/>
    <w:rsid w:val="002B1F93"/>
    <w:rsid w:val="002B6B35"/>
    <w:rsid w:val="002C04C1"/>
    <w:rsid w:val="002E5655"/>
    <w:rsid w:val="002F3CAD"/>
    <w:rsid w:val="00302520"/>
    <w:rsid w:val="00302851"/>
    <w:rsid w:val="00302DEB"/>
    <w:rsid w:val="003036B3"/>
    <w:rsid w:val="00305586"/>
    <w:rsid w:val="00306187"/>
    <w:rsid w:val="00314F87"/>
    <w:rsid w:val="00320644"/>
    <w:rsid w:val="00361D28"/>
    <w:rsid w:val="00362F61"/>
    <w:rsid w:val="0037187B"/>
    <w:rsid w:val="00373D2D"/>
    <w:rsid w:val="0038018B"/>
    <w:rsid w:val="00386D45"/>
    <w:rsid w:val="00396491"/>
    <w:rsid w:val="003B34D0"/>
    <w:rsid w:val="003B3F71"/>
    <w:rsid w:val="003D0A09"/>
    <w:rsid w:val="003F19B1"/>
    <w:rsid w:val="00410487"/>
    <w:rsid w:val="00423E35"/>
    <w:rsid w:val="004302EB"/>
    <w:rsid w:val="00456201"/>
    <w:rsid w:val="00461A8C"/>
    <w:rsid w:val="00461FC2"/>
    <w:rsid w:val="0047424A"/>
    <w:rsid w:val="004930D6"/>
    <w:rsid w:val="004A1D13"/>
    <w:rsid w:val="004B1CCE"/>
    <w:rsid w:val="004B291E"/>
    <w:rsid w:val="004B3566"/>
    <w:rsid w:val="004D267F"/>
    <w:rsid w:val="004D5CB4"/>
    <w:rsid w:val="004E0857"/>
    <w:rsid w:val="004E7607"/>
    <w:rsid w:val="004F414D"/>
    <w:rsid w:val="004F45EC"/>
    <w:rsid w:val="00545D6D"/>
    <w:rsid w:val="00552078"/>
    <w:rsid w:val="00555057"/>
    <w:rsid w:val="00562687"/>
    <w:rsid w:val="00565609"/>
    <w:rsid w:val="00574F37"/>
    <w:rsid w:val="00574FCA"/>
    <w:rsid w:val="00590C59"/>
    <w:rsid w:val="00591028"/>
    <w:rsid w:val="005A7F9B"/>
    <w:rsid w:val="005B25E4"/>
    <w:rsid w:val="005C0E98"/>
    <w:rsid w:val="005C107F"/>
    <w:rsid w:val="005C2F5E"/>
    <w:rsid w:val="005D68FB"/>
    <w:rsid w:val="005E46CF"/>
    <w:rsid w:val="005E51DD"/>
    <w:rsid w:val="006001E7"/>
    <w:rsid w:val="00604818"/>
    <w:rsid w:val="00605C9C"/>
    <w:rsid w:val="00633E41"/>
    <w:rsid w:val="00635FDC"/>
    <w:rsid w:val="00655D6B"/>
    <w:rsid w:val="0066194A"/>
    <w:rsid w:val="006630F4"/>
    <w:rsid w:val="00664AAA"/>
    <w:rsid w:val="006656E8"/>
    <w:rsid w:val="006878B0"/>
    <w:rsid w:val="006928D0"/>
    <w:rsid w:val="00693600"/>
    <w:rsid w:val="006A5738"/>
    <w:rsid w:val="006B26C2"/>
    <w:rsid w:val="006D00B8"/>
    <w:rsid w:val="006D2E9B"/>
    <w:rsid w:val="006D6E6D"/>
    <w:rsid w:val="006E30C6"/>
    <w:rsid w:val="006E3F62"/>
    <w:rsid w:val="006F406D"/>
    <w:rsid w:val="007256E2"/>
    <w:rsid w:val="00750C12"/>
    <w:rsid w:val="00752186"/>
    <w:rsid w:val="00755811"/>
    <w:rsid w:val="007560DD"/>
    <w:rsid w:val="0075659D"/>
    <w:rsid w:val="0077165B"/>
    <w:rsid w:val="00786795"/>
    <w:rsid w:val="00787BFA"/>
    <w:rsid w:val="00795942"/>
    <w:rsid w:val="007C7259"/>
    <w:rsid w:val="007E70BE"/>
    <w:rsid w:val="007F078F"/>
    <w:rsid w:val="007F64B7"/>
    <w:rsid w:val="00814AC4"/>
    <w:rsid w:val="008210E6"/>
    <w:rsid w:val="008234A3"/>
    <w:rsid w:val="00825BCA"/>
    <w:rsid w:val="00832737"/>
    <w:rsid w:val="00836EAF"/>
    <w:rsid w:val="00841E4B"/>
    <w:rsid w:val="00873E5E"/>
    <w:rsid w:val="0088060A"/>
    <w:rsid w:val="008829DE"/>
    <w:rsid w:val="008A0898"/>
    <w:rsid w:val="008A5E67"/>
    <w:rsid w:val="008B1D28"/>
    <w:rsid w:val="008D2695"/>
    <w:rsid w:val="008E026F"/>
    <w:rsid w:val="008E22AF"/>
    <w:rsid w:val="009451B5"/>
    <w:rsid w:val="0094595B"/>
    <w:rsid w:val="00953EB3"/>
    <w:rsid w:val="00955A06"/>
    <w:rsid w:val="00960400"/>
    <w:rsid w:val="00963918"/>
    <w:rsid w:val="0096626E"/>
    <w:rsid w:val="00983012"/>
    <w:rsid w:val="009A2449"/>
    <w:rsid w:val="009C24D5"/>
    <w:rsid w:val="009D3CBB"/>
    <w:rsid w:val="009F73E5"/>
    <w:rsid w:val="00A04C4A"/>
    <w:rsid w:val="00A327E7"/>
    <w:rsid w:val="00A45D5D"/>
    <w:rsid w:val="00A53CFB"/>
    <w:rsid w:val="00A667E5"/>
    <w:rsid w:val="00A67C0B"/>
    <w:rsid w:val="00A736EC"/>
    <w:rsid w:val="00A743CE"/>
    <w:rsid w:val="00A966D7"/>
    <w:rsid w:val="00AA43E5"/>
    <w:rsid w:val="00AB2F7A"/>
    <w:rsid w:val="00AB381C"/>
    <w:rsid w:val="00AB387E"/>
    <w:rsid w:val="00AB50B9"/>
    <w:rsid w:val="00AC6A53"/>
    <w:rsid w:val="00AD301C"/>
    <w:rsid w:val="00AE6489"/>
    <w:rsid w:val="00AF3794"/>
    <w:rsid w:val="00AF41BF"/>
    <w:rsid w:val="00B00B64"/>
    <w:rsid w:val="00B100C8"/>
    <w:rsid w:val="00B256BA"/>
    <w:rsid w:val="00B36304"/>
    <w:rsid w:val="00B369B9"/>
    <w:rsid w:val="00B435AD"/>
    <w:rsid w:val="00B44EF0"/>
    <w:rsid w:val="00B47727"/>
    <w:rsid w:val="00B701DB"/>
    <w:rsid w:val="00B81F57"/>
    <w:rsid w:val="00B84110"/>
    <w:rsid w:val="00B9562C"/>
    <w:rsid w:val="00BA10B9"/>
    <w:rsid w:val="00BB0755"/>
    <w:rsid w:val="00BB2D1A"/>
    <w:rsid w:val="00BB3D39"/>
    <w:rsid w:val="00BD7B0D"/>
    <w:rsid w:val="00BF4F8D"/>
    <w:rsid w:val="00C2139F"/>
    <w:rsid w:val="00C23ECC"/>
    <w:rsid w:val="00C330CE"/>
    <w:rsid w:val="00C441A6"/>
    <w:rsid w:val="00C67433"/>
    <w:rsid w:val="00C67A55"/>
    <w:rsid w:val="00C93F29"/>
    <w:rsid w:val="00C95BD8"/>
    <w:rsid w:val="00CA4F1C"/>
    <w:rsid w:val="00CB6492"/>
    <w:rsid w:val="00CC2E27"/>
    <w:rsid w:val="00CE0EC8"/>
    <w:rsid w:val="00CF7D16"/>
    <w:rsid w:val="00D274EB"/>
    <w:rsid w:val="00D42030"/>
    <w:rsid w:val="00D5289C"/>
    <w:rsid w:val="00D64E5E"/>
    <w:rsid w:val="00D6795C"/>
    <w:rsid w:val="00D73529"/>
    <w:rsid w:val="00D81E64"/>
    <w:rsid w:val="00DA7EE3"/>
    <w:rsid w:val="00DB730C"/>
    <w:rsid w:val="00DC342F"/>
    <w:rsid w:val="00DC556F"/>
    <w:rsid w:val="00DE71D8"/>
    <w:rsid w:val="00DF265E"/>
    <w:rsid w:val="00DF3675"/>
    <w:rsid w:val="00DF7762"/>
    <w:rsid w:val="00E01E22"/>
    <w:rsid w:val="00E12B1F"/>
    <w:rsid w:val="00E16F8D"/>
    <w:rsid w:val="00E3695B"/>
    <w:rsid w:val="00E5065D"/>
    <w:rsid w:val="00E754D9"/>
    <w:rsid w:val="00E767D0"/>
    <w:rsid w:val="00E85CB3"/>
    <w:rsid w:val="00E91564"/>
    <w:rsid w:val="00EA0D95"/>
    <w:rsid w:val="00EA54AD"/>
    <w:rsid w:val="00EB16BD"/>
    <w:rsid w:val="00ED578E"/>
    <w:rsid w:val="00EE300E"/>
    <w:rsid w:val="00EE76DF"/>
    <w:rsid w:val="00EF07F8"/>
    <w:rsid w:val="00EF63AA"/>
    <w:rsid w:val="00F10D85"/>
    <w:rsid w:val="00F15591"/>
    <w:rsid w:val="00F17929"/>
    <w:rsid w:val="00F360BA"/>
    <w:rsid w:val="00F4365B"/>
    <w:rsid w:val="00F44380"/>
    <w:rsid w:val="00F55EEF"/>
    <w:rsid w:val="00F653E8"/>
    <w:rsid w:val="00F722FF"/>
    <w:rsid w:val="00F92017"/>
    <w:rsid w:val="00FA151D"/>
    <w:rsid w:val="00FA416B"/>
    <w:rsid w:val="00FC7D8A"/>
    <w:rsid w:val="00FD130F"/>
    <w:rsid w:val="00FD605C"/>
    <w:rsid w:val="00FD7AF6"/>
    <w:rsid w:val="00FE1335"/>
    <w:rsid w:val="00FF2827"/>
    <w:rsid w:val="00FF74CB"/>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1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eastAsia="zh-CN" w:bidi="ne-N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A573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A5738"/>
    <w:rPr>
      <w:rFonts w:ascii="Verdana" w:hAnsi="Verdana"/>
      <w:color w:val="000000"/>
      <w:sz w:val="18"/>
      <w:szCs w:val="18"/>
    </w:rPr>
  </w:style>
  <w:style w:type="paragraph" w:styleId="Lijstalinea">
    <w:name w:val="List Paragraph"/>
    <w:basedOn w:val="Standaard"/>
    <w:uiPriority w:val="34"/>
    <w:semiHidden/>
    <w:rsid w:val="00FA416B"/>
    <w:pPr>
      <w:ind w:left="720"/>
      <w:contextualSpacing/>
    </w:pPr>
  </w:style>
  <w:style w:type="character" w:styleId="Verwijzingopmerking">
    <w:name w:val="annotation reference"/>
    <w:basedOn w:val="Standaardalinea-lettertype"/>
    <w:uiPriority w:val="99"/>
    <w:semiHidden/>
    <w:unhideWhenUsed/>
    <w:rsid w:val="00302DEB"/>
    <w:rPr>
      <w:sz w:val="16"/>
      <w:szCs w:val="16"/>
    </w:rPr>
  </w:style>
  <w:style w:type="paragraph" w:styleId="Tekstopmerking">
    <w:name w:val="annotation text"/>
    <w:basedOn w:val="Standaard"/>
    <w:link w:val="TekstopmerkingChar"/>
    <w:uiPriority w:val="99"/>
    <w:unhideWhenUsed/>
    <w:rsid w:val="00302DEB"/>
    <w:pPr>
      <w:spacing w:line="240" w:lineRule="auto"/>
    </w:pPr>
    <w:rPr>
      <w:sz w:val="20"/>
      <w:szCs w:val="20"/>
    </w:rPr>
  </w:style>
  <w:style w:type="character" w:customStyle="1" w:styleId="TekstopmerkingChar">
    <w:name w:val="Tekst opmerking Char"/>
    <w:basedOn w:val="Standaardalinea-lettertype"/>
    <w:link w:val="Tekstopmerking"/>
    <w:uiPriority w:val="99"/>
    <w:rsid w:val="00302DE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02DEB"/>
    <w:rPr>
      <w:b/>
      <w:bCs/>
    </w:rPr>
  </w:style>
  <w:style w:type="character" w:customStyle="1" w:styleId="OnderwerpvanopmerkingChar">
    <w:name w:val="Onderwerp van opmerking Char"/>
    <w:basedOn w:val="TekstopmerkingChar"/>
    <w:link w:val="Onderwerpvanopmerking"/>
    <w:uiPriority w:val="99"/>
    <w:semiHidden/>
    <w:rsid w:val="00302DEB"/>
    <w:rPr>
      <w:rFonts w:ascii="Verdana" w:hAnsi="Verdana"/>
      <w:b/>
      <w:bCs/>
      <w:color w:val="000000"/>
    </w:rPr>
  </w:style>
  <w:style w:type="character" w:styleId="Onopgelostemelding">
    <w:name w:val="Unresolved Mention"/>
    <w:basedOn w:val="Standaardalinea-lettertype"/>
    <w:uiPriority w:val="99"/>
    <w:semiHidden/>
    <w:unhideWhenUsed/>
    <w:rsid w:val="00302DEB"/>
    <w:rPr>
      <w:color w:val="605E5C"/>
      <w:shd w:val="clear" w:color="auto" w:fill="E1DFDD"/>
    </w:rPr>
  </w:style>
  <w:style w:type="paragraph" w:styleId="Revisie">
    <w:name w:val="Revision"/>
    <w:hidden/>
    <w:uiPriority w:val="99"/>
    <w:semiHidden/>
    <w:rsid w:val="0066194A"/>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66194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6194A"/>
    <w:rPr>
      <w:rFonts w:ascii="Verdana" w:hAnsi="Verdana"/>
      <w:color w:val="000000"/>
    </w:rPr>
  </w:style>
  <w:style w:type="character" w:styleId="Voetnootmarkering">
    <w:name w:val="footnote reference"/>
    <w:basedOn w:val="Standaardalinea-lettertype"/>
    <w:uiPriority w:val="99"/>
    <w:semiHidden/>
    <w:unhideWhenUsed/>
    <w:rsid w:val="006619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00566">
      <w:bodyDiv w:val="1"/>
      <w:marLeft w:val="0"/>
      <w:marRight w:val="0"/>
      <w:marTop w:val="0"/>
      <w:marBottom w:val="0"/>
      <w:divBdr>
        <w:top w:val="none" w:sz="0" w:space="0" w:color="auto"/>
        <w:left w:val="none" w:sz="0" w:space="0" w:color="auto"/>
        <w:bottom w:val="none" w:sz="0" w:space="0" w:color="auto"/>
        <w:right w:val="none" w:sz="0" w:space="0" w:color="auto"/>
      </w:divBdr>
    </w:div>
    <w:div w:id="1589267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1333</ap:Words>
  <ap:Characters>7332</ap:Characters>
  <ap:DocSecurity>0</ap:DocSecurity>
  <ap:Lines>61</ap:Lines>
  <ap:Paragraphs>17</ap:Paragraphs>
  <ap:ScaleCrop>false</ap:ScaleCrop>
  <ap:LinksUpToDate>false</ap:LinksUpToDate>
  <ap:CharactersWithSpaces>8648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2025-11-25T13:48:00.0000000Z</dcterms:created>
  <dcterms:modified xsi:type="dcterms:W3CDTF">2025-11-25T13:56:00.0000000Z</dcterms:modified>
  <dc:description>------------------------</dc:description>
  <dc:subject/>
  <keywords/>
  <version/>
  <category/>
</coreProperties>
</file>