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1D3" w:rsidP="009471D3" w:rsidRDefault="009471D3" w14:paraId="0F924BAA" w14:textId="77777777">
      <w:pPr>
        <w:spacing w:line="276" w:lineRule="auto"/>
      </w:pPr>
      <w:r>
        <w:t>Geachte voorzitter,</w:t>
      </w:r>
    </w:p>
    <w:p w:rsidR="009471D3" w:rsidP="009471D3" w:rsidRDefault="009471D3" w14:paraId="22D6C006" w14:textId="77777777">
      <w:pPr>
        <w:spacing w:line="276" w:lineRule="auto"/>
      </w:pPr>
    </w:p>
    <w:p w:rsidR="00FE09C7" w:rsidP="009471D3" w:rsidRDefault="267444A4" w14:paraId="7A13B9F2" w14:textId="14BBF8D7">
      <w:pPr>
        <w:spacing w:line="276" w:lineRule="auto"/>
      </w:pPr>
      <w:r>
        <w:t>Hierbij bied</w:t>
      </w:r>
      <w:r w:rsidR="004518E9">
        <w:t xml:space="preserve">en wij u </w:t>
      </w:r>
      <w:r>
        <w:t>de antwoorden aan op de schriftelijke vragen gesteld door het lid Teunissen (PvdD) over de situatie in Soedan.</w:t>
      </w:r>
      <w:r w:rsidR="009E302A">
        <w:t xml:space="preserve"> </w:t>
      </w:r>
      <w:r>
        <w:t>Deze vragen werden ingezonden op </w:t>
      </w:r>
      <w:r w:rsidR="00435F0F">
        <w:t>5</w:t>
      </w:r>
      <w:r>
        <w:t xml:space="preserve"> november 2025 met kenmerk 2025Z19478.</w:t>
      </w:r>
    </w:p>
    <w:p w:rsidR="009471D3" w:rsidP="009471D3" w:rsidRDefault="009471D3" w14:paraId="7FAF9418" w14:textId="77777777">
      <w:pPr>
        <w:spacing w:line="276" w:lineRule="auto"/>
      </w:pPr>
    </w:p>
    <w:p w:rsidR="004518E9" w:rsidP="004518E9" w:rsidRDefault="267444A4" w14:paraId="56147951" w14:textId="047081CC">
      <w:pPr>
        <w:spacing w:line="276" w:lineRule="auto"/>
        <w:ind w:left="4248" w:hanging="4248"/>
      </w:pPr>
      <w:r>
        <w:t>De minister van Buitenlandse Zaken,</w:t>
      </w:r>
      <w:r w:rsidR="004518E9">
        <w:t xml:space="preserve">     Staatssecretaris Buitenlandse Handel   </w:t>
      </w:r>
    </w:p>
    <w:p w:rsidRPr="004518E9" w:rsidR="004518E9" w:rsidP="004518E9" w:rsidRDefault="004518E9" w14:paraId="1C3DF7A6" w14:textId="4A68EC21">
      <w:pPr>
        <w:spacing w:line="276" w:lineRule="auto"/>
        <w:ind w:left="4248" w:hanging="4248"/>
      </w:pPr>
      <w:r>
        <w:t xml:space="preserve">                                                          </w:t>
      </w:r>
      <w:r w:rsidRPr="004518E9">
        <w:t>en Ontw</w:t>
      </w:r>
      <w:r w:rsidR="00B40259">
        <w:t>ik</w:t>
      </w:r>
      <w:r w:rsidRPr="004518E9">
        <w:t>kelingshulp,</w:t>
      </w:r>
    </w:p>
    <w:p w:rsidR="004518E9" w:rsidP="004518E9" w:rsidRDefault="004518E9" w14:paraId="5F4AB179" w14:textId="1052529B">
      <w:pPr>
        <w:spacing w:line="276" w:lineRule="auto"/>
        <w:ind w:left="4248" w:hanging="4248"/>
      </w:pPr>
      <w:r>
        <w:t xml:space="preserve">                        </w:t>
      </w:r>
    </w:p>
    <w:p w:rsidR="004518E9" w:rsidP="004518E9" w:rsidRDefault="004518E9" w14:paraId="55F6011F" w14:textId="01BE79DC">
      <w:pPr>
        <w:spacing w:line="276" w:lineRule="auto"/>
        <w:ind w:left="4248" w:hanging="4248"/>
      </w:pPr>
      <w:r>
        <w:t xml:space="preserve"> </w:t>
      </w:r>
    </w:p>
    <w:p w:rsidR="004518E9" w:rsidP="004518E9" w:rsidRDefault="004518E9" w14:paraId="0278E7C6" w14:textId="77777777">
      <w:pPr>
        <w:spacing w:line="276" w:lineRule="auto"/>
        <w:ind w:left="4248" w:hanging="4248"/>
      </w:pPr>
    </w:p>
    <w:p w:rsidR="004518E9" w:rsidP="004518E9" w:rsidRDefault="004518E9" w14:paraId="11A20081" w14:textId="77777777">
      <w:pPr>
        <w:spacing w:line="276" w:lineRule="auto"/>
      </w:pPr>
    </w:p>
    <w:p w:rsidR="004518E9" w:rsidP="004518E9" w:rsidRDefault="004518E9" w14:paraId="28444D1C" w14:textId="77777777">
      <w:pPr>
        <w:spacing w:line="276" w:lineRule="auto"/>
        <w:ind w:left="4248" w:hanging="4248"/>
      </w:pPr>
    </w:p>
    <w:p w:rsidR="00FE09C7" w:rsidP="004518E9" w:rsidRDefault="004518E9" w14:paraId="7A13B9F8" w14:textId="5675C3CF">
      <w:pPr>
        <w:spacing w:line="276" w:lineRule="auto"/>
        <w:ind w:left="4248" w:hanging="4248"/>
      </w:pPr>
      <w:r>
        <w:t>D.M. van Weel                                      Aukje de Vries</w:t>
      </w:r>
      <w:r w:rsidR="00EB13CE">
        <w:br/>
      </w:r>
      <w:r w:rsidR="00EB13CE">
        <w:br/>
      </w:r>
      <w:r w:rsidR="00EB13CE">
        <w:br/>
      </w:r>
      <w:r w:rsidR="00EB13CE">
        <w:br/>
      </w:r>
      <w:r w:rsidR="00EB13CE">
        <w:br/>
      </w:r>
      <w:r w:rsidR="00EB13CE">
        <w:br/>
      </w:r>
    </w:p>
    <w:p w:rsidR="00FE09C7" w:rsidP="009471D3" w:rsidRDefault="00EB13CE" w14:paraId="7A13B9F9" w14:textId="77777777">
      <w:pPr>
        <w:pStyle w:val="WitregelW1bodytekst"/>
        <w:spacing w:line="276" w:lineRule="auto"/>
      </w:pPr>
      <w:r>
        <w:br w:type="page"/>
      </w:r>
    </w:p>
    <w:p w:rsidR="00FE09C7" w:rsidP="009471D3" w:rsidRDefault="267444A4" w14:paraId="7A13B9FA" w14:textId="669F1B79">
      <w:pPr>
        <w:spacing w:line="276" w:lineRule="auto"/>
      </w:pPr>
      <w:r w:rsidRPr="267444A4">
        <w:rPr>
          <w:b/>
          <w:bCs/>
        </w:rPr>
        <w:lastRenderedPageBreak/>
        <w:t xml:space="preserve">Antwoorden van de </w:t>
      </w:r>
      <w:r w:rsidR="009471D3">
        <w:rPr>
          <w:b/>
          <w:bCs/>
        </w:rPr>
        <w:t>m</w:t>
      </w:r>
      <w:r w:rsidRPr="267444A4">
        <w:rPr>
          <w:b/>
          <w:bCs/>
        </w:rPr>
        <w:t>inister van Buitenlandse Zaken</w:t>
      </w:r>
      <w:r w:rsidR="004518E9">
        <w:rPr>
          <w:b/>
          <w:bCs/>
        </w:rPr>
        <w:t xml:space="preserve"> en de </w:t>
      </w:r>
      <w:r w:rsidR="002145C3">
        <w:rPr>
          <w:b/>
          <w:bCs/>
        </w:rPr>
        <w:t>st</w:t>
      </w:r>
      <w:r w:rsidR="004518E9">
        <w:rPr>
          <w:b/>
          <w:bCs/>
        </w:rPr>
        <w:t>aatssecretaris Buitenlandse Handel en Ontwikkelingshulp</w:t>
      </w:r>
      <w:r w:rsidRPr="267444A4">
        <w:rPr>
          <w:b/>
          <w:bCs/>
        </w:rPr>
        <w:t xml:space="preserve"> op vragen van het lid Teunissen (PvdD) over de situatie in Soedan</w:t>
      </w:r>
    </w:p>
    <w:p w:rsidR="00FE09C7" w:rsidP="009471D3" w:rsidRDefault="00FE09C7" w14:paraId="7A13B9FB" w14:textId="77777777">
      <w:pPr>
        <w:spacing w:line="276" w:lineRule="auto"/>
      </w:pPr>
    </w:p>
    <w:p w:rsidR="00FE09C7" w:rsidP="009471D3" w:rsidRDefault="267444A4" w14:paraId="7A13B9FC" w14:textId="13988558">
      <w:pPr>
        <w:spacing w:line="276" w:lineRule="auto"/>
      </w:pPr>
      <w:r w:rsidRPr="267444A4">
        <w:rPr>
          <w:b/>
          <w:bCs/>
        </w:rPr>
        <w:t>Vraag 1</w:t>
      </w:r>
    </w:p>
    <w:p w:rsidR="00FE09C7" w:rsidP="009471D3" w:rsidRDefault="267444A4" w14:paraId="7A13B9FD" w14:textId="149EA420">
      <w:pPr>
        <w:spacing w:line="276" w:lineRule="auto"/>
      </w:pPr>
      <w:r>
        <w:t>Deelt u de opvatting dat Nederland, als partij bij het Genocideverdrag, een juridische én morele plicht heeft om actief maatregelen te nemen om genocide in Soedan te voorkomen? Zo nee, waarom niet?</w:t>
      </w:r>
    </w:p>
    <w:p w:rsidR="00FE09C7" w:rsidP="009471D3" w:rsidRDefault="00FE09C7" w14:paraId="7A13B9FE" w14:textId="77777777">
      <w:pPr>
        <w:spacing w:line="276" w:lineRule="auto"/>
      </w:pPr>
    </w:p>
    <w:p w:rsidR="00FE09C7" w:rsidP="009471D3" w:rsidRDefault="267444A4" w14:paraId="7A13B9FF" w14:textId="77777777">
      <w:pPr>
        <w:spacing w:line="276" w:lineRule="auto"/>
      </w:pPr>
      <w:r w:rsidRPr="267444A4">
        <w:rPr>
          <w:b/>
          <w:bCs/>
        </w:rPr>
        <w:t>Antwoord</w:t>
      </w:r>
    </w:p>
    <w:p w:rsidRPr="00736187" w:rsidR="00372DBE" w:rsidP="009471D3" w:rsidRDefault="00372DBE" w14:paraId="057CCC11" w14:textId="34AE3C63">
      <w:pPr>
        <w:spacing w:line="276" w:lineRule="auto"/>
      </w:pPr>
      <w:r w:rsidRPr="00736187">
        <w:t>Genocide is een uiterst serieuze kwalificatie en daarom is het kabinet in de regel terughoudend om situaties als genocide te kwalificeren. Om genocide vast te stellen, moet aan alle elementen van de juridische definitie van genocide uit het Genocideverdrag worden voldaan: het aantonen van één of meerdere handelingen uit het Genocideverdrag én van genocidale opzet. Hierbij geldt een hoge bewijslast en is grondig feitenonderzoek noodzakelijk.</w:t>
      </w:r>
    </w:p>
    <w:p w:rsidRPr="00736187" w:rsidR="008B2E26" w:rsidP="009471D3" w:rsidRDefault="008B2E26" w14:paraId="5A32BD4B" w14:textId="77777777">
      <w:pPr>
        <w:spacing w:line="276" w:lineRule="auto"/>
      </w:pPr>
    </w:p>
    <w:p w:rsidRPr="00736187" w:rsidR="008B2E26" w:rsidP="009471D3" w:rsidRDefault="008B2E26" w14:paraId="6794C0AF" w14:textId="77777777">
      <w:pPr>
        <w:spacing w:line="276" w:lineRule="auto"/>
      </w:pPr>
      <w:r w:rsidRPr="00736187">
        <w:t xml:space="preserve">Het kabinet spant zich naar vermogen in om verergering van de situatie te voorkomen. Een voorbeeld hiervan is de inzet van het kabinet in de VN-Mensenrechtenraad, als lid van de Soedan kerngroep in de Mensenrechtenraad, samen met Duitsland, Verenigd Koninkrijk, Ierland en Noorwegen, voor de uitbreiding van het mandaat van de </w:t>
      </w:r>
      <w:r w:rsidRPr="00736187">
        <w:rPr>
          <w:i/>
          <w:iCs/>
        </w:rPr>
        <w:t xml:space="preserve">Fact-Finding Mission </w:t>
      </w:r>
      <w:r w:rsidRPr="00736187">
        <w:t>in</w:t>
      </w:r>
      <w:r w:rsidRPr="00736187">
        <w:rPr>
          <w:i/>
          <w:iCs/>
        </w:rPr>
        <w:t xml:space="preserve"> </w:t>
      </w:r>
      <w:r w:rsidRPr="00736187">
        <w:t>Soedan, zodat ook specifiek onderzoek kan worden gedaan naar de gebeurtenissen in Darfoer. Op deze manier zet het kabinet in op gedegen en onafhankelijk onderzoek naar de misstanden in Soedan.</w:t>
      </w:r>
    </w:p>
    <w:p w:rsidRPr="00736187" w:rsidR="003A5F9A" w:rsidP="009471D3" w:rsidRDefault="003A5F9A" w14:paraId="476CE650" w14:textId="77777777">
      <w:pPr>
        <w:spacing w:line="276" w:lineRule="auto"/>
      </w:pPr>
    </w:p>
    <w:p w:rsidR="003A5F9A" w:rsidP="003A5F9A" w:rsidRDefault="003A5F9A" w14:paraId="4841CEC2" w14:textId="6995333F">
      <w:pPr>
        <w:spacing w:line="276" w:lineRule="auto"/>
      </w:pPr>
      <w:r w:rsidRPr="00736187">
        <w:t xml:space="preserve">Op vrijdag 14 november jl. heeft in de Mensenrechtenraad, op verzoek van de Soedan-kerngroep waar Nederland deel van uitmaakt, een sessie plaatsgevonden over de mogelijke misdaden tegen burgers in en om El Fasher. De minister van Buitenlandse Zaken heeft hierbij het belang van waarheidsvinding benadrukt en opgeroepen tot naleving van het humanitair </w:t>
      </w:r>
      <w:r w:rsidRPr="00736187" w:rsidR="00271D41">
        <w:t>oorlogs</w:t>
      </w:r>
      <w:r w:rsidRPr="00736187">
        <w:t>recht, het VN-wapenembargo en het waarborgen van voldoende humanitaire hulp.</w:t>
      </w:r>
    </w:p>
    <w:p w:rsidR="008B2E26" w:rsidP="009471D3" w:rsidRDefault="008B2E26" w14:paraId="50B0DCA1" w14:textId="77777777">
      <w:pPr>
        <w:spacing w:line="276" w:lineRule="auto"/>
      </w:pPr>
    </w:p>
    <w:p w:rsidR="008B2E26" w:rsidP="009471D3" w:rsidRDefault="008B2E26" w14:paraId="2C0CEB46" w14:textId="5C750712">
      <w:pPr>
        <w:spacing w:line="276" w:lineRule="auto"/>
      </w:pPr>
      <w:r>
        <w:t xml:space="preserve">Voor verdere uiteenzetting van Nederlandse inzet omtrent Soedan verwijzen we u graag naar de antwoorden op de </w:t>
      </w:r>
      <w:r w:rsidRPr="00B108DE">
        <w:t>vragen van het lid Teunissen (PvdD) over de laatste stand van zaken Nederlandse inzet op humanitaire crisis in Soedan</w:t>
      </w:r>
      <w:r w:rsidR="00AF03B8">
        <w:rPr>
          <w:rStyle w:val="FootnoteReference"/>
        </w:rPr>
        <w:footnoteReference w:id="2"/>
      </w:r>
      <w:r w:rsidR="00B40259">
        <w:t xml:space="preserve"> </w:t>
      </w:r>
      <w:r>
        <w:t xml:space="preserve">de </w:t>
      </w:r>
      <w:r w:rsidRPr="00FB226E">
        <w:t xml:space="preserve">Kamerbrief </w:t>
      </w:r>
      <w:r>
        <w:t xml:space="preserve">van 24 september jl. </w:t>
      </w:r>
      <w:r w:rsidRPr="00FB226E">
        <w:t>inzake de humanitaire situatie in Soedan</w:t>
      </w:r>
      <w:r w:rsidR="00AF03B8">
        <w:rPr>
          <w:rStyle w:val="FootnoteReference"/>
        </w:rPr>
        <w:footnoteReference w:id="3"/>
      </w:r>
      <w:r w:rsidR="00AF03B8">
        <w:t xml:space="preserve"> </w:t>
      </w:r>
      <w:r>
        <w:t>en de K</w:t>
      </w:r>
      <w:r w:rsidRPr="00FB226E">
        <w:t xml:space="preserve">amerbrief </w:t>
      </w:r>
      <w:r>
        <w:t xml:space="preserve">van </w:t>
      </w:r>
      <w:r w:rsidR="00372DBE">
        <w:t>24 november</w:t>
      </w:r>
      <w:r>
        <w:t xml:space="preserve"> </w:t>
      </w:r>
      <w:r w:rsidRPr="00FB226E">
        <w:t>betreft de ontwikkelingen en humanitaire situatie van El Fasher na de inname door de RSF en de Nederlandse reactie hierop</w:t>
      </w:r>
      <w:r w:rsidR="0037754A">
        <w:rPr>
          <w:rStyle w:val="FootnoteReference"/>
        </w:rPr>
        <w:footnoteReference w:id="4"/>
      </w:r>
      <w:r>
        <w:t>.</w:t>
      </w:r>
    </w:p>
    <w:p w:rsidR="008F6EFA" w:rsidP="009471D3" w:rsidRDefault="008F6EFA" w14:paraId="217ADE51" w14:textId="77777777">
      <w:pPr>
        <w:spacing w:line="276" w:lineRule="auto"/>
        <w:rPr>
          <w:b/>
          <w:bCs/>
        </w:rPr>
      </w:pPr>
    </w:p>
    <w:p w:rsidR="00FE09C7" w:rsidP="009471D3" w:rsidRDefault="267444A4" w14:paraId="7A13BA02" w14:textId="6BD9E6DF">
      <w:pPr>
        <w:spacing w:line="276" w:lineRule="auto"/>
      </w:pPr>
      <w:r w:rsidRPr="267444A4">
        <w:rPr>
          <w:b/>
          <w:bCs/>
        </w:rPr>
        <w:t>Vraag 2</w:t>
      </w:r>
    </w:p>
    <w:p w:rsidR="00FE09C7" w:rsidP="009471D3" w:rsidRDefault="267444A4" w14:paraId="7A13BA04" w14:textId="3B4224FA">
      <w:pPr>
        <w:spacing w:line="276" w:lineRule="auto"/>
      </w:pPr>
      <w:r>
        <w:t>Welke concrete preventieve stappen onderneemt Nederland momenteel in internationaal verband om de massamoorden in Darfur en de hongersnood in El Fasher en Kadugli te stoppen, zoals bevestigd door de VN-voedselwaakhond en het Rode Kruis? 1) 2)</w:t>
      </w:r>
    </w:p>
    <w:p w:rsidR="00E2782E" w:rsidP="009471D3" w:rsidRDefault="00E2782E" w14:paraId="53AB2C35" w14:textId="77777777">
      <w:pPr>
        <w:spacing w:line="276" w:lineRule="auto"/>
      </w:pPr>
    </w:p>
    <w:p w:rsidR="003A5F9A" w:rsidP="009471D3" w:rsidRDefault="003A5F9A" w14:paraId="3CBBE066" w14:textId="77777777">
      <w:pPr>
        <w:spacing w:line="276" w:lineRule="auto"/>
      </w:pPr>
    </w:p>
    <w:p w:rsidR="00540754" w:rsidP="009471D3" w:rsidRDefault="267444A4" w14:paraId="7303B4A0" w14:textId="7A2BBF2B">
      <w:pPr>
        <w:spacing w:line="276" w:lineRule="auto"/>
      </w:pPr>
      <w:r w:rsidRPr="267444A4">
        <w:rPr>
          <w:b/>
          <w:bCs/>
        </w:rPr>
        <w:lastRenderedPageBreak/>
        <w:t>Antwoord</w:t>
      </w:r>
    </w:p>
    <w:p w:rsidR="0033179A" w:rsidP="009471D3" w:rsidRDefault="00A85824" w14:paraId="2A265CFA" w14:textId="763D7E96">
      <w:pPr>
        <w:spacing w:line="276" w:lineRule="auto"/>
      </w:pPr>
      <w:r w:rsidRPr="00A85824">
        <w:t>Via diplomatieke inzet in bilaterale en multilaterale kanalen blijft Nederland</w:t>
      </w:r>
      <w:r>
        <w:t xml:space="preserve"> zich inzetten voor een staakt-het-vuren en het verbeteren van humanitaire toegang.</w:t>
      </w:r>
      <w:r w:rsidR="00EA2FA8">
        <w:t xml:space="preserve"> </w:t>
      </w:r>
      <w:r w:rsidRPr="000C1040" w:rsidR="000C1040">
        <w:t>Het kabinet heeft het recente geweld in en rond El Fasher veroordeeld, onder meer via de gezamenlijke verklaring “</w:t>
      </w:r>
      <w:r w:rsidRPr="00A6619E" w:rsidR="000C1040">
        <w:rPr>
          <w:i/>
        </w:rPr>
        <w:t>Joint Statement Condemning Atrocities and Violations of IHL in Sudan</w:t>
      </w:r>
      <w:r w:rsidRPr="000C1040" w:rsidR="000C1040">
        <w:t>” van 10 november jl. die door 20 landen en de Europese Commissie is getekend en door vele andere landen is gesteund</w:t>
      </w:r>
      <w:r w:rsidR="00A378CD">
        <w:t>.</w:t>
      </w:r>
      <w:r w:rsidR="0033179A">
        <w:rPr>
          <w:rStyle w:val="FootnoteReference"/>
        </w:rPr>
        <w:footnoteReference w:id="5"/>
      </w:r>
      <w:r w:rsidR="0033179A">
        <w:t xml:space="preserve"> </w:t>
      </w:r>
    </w:p>
    <w:p w:rsidR="0033179A" w:rsidP="009471D3" w:rsidRDefault="267444A4" w14:paraId="7306069A" w14:textId="75AE7B95">
      <w:pPr>
        <w:spacing w:line="276" w:lineRule="auto"/>
      </w:pPr>
      <w:r>
        <w:t xml:space="preserve">Binnen de EU blijft Nederland zich inspannen voor een effectieve, gezamenlijke aanpak richting Soedan. Samenwerking in EU verband is van belang om in de complexe dynamiek van het Soedan conflict verschil te maken. </w:t>
      </w:r>
    </w:p>
    <w:p w:rsidR="00A56878" w:rsidP="009471D3" w:rsidRDefault="267444A4" w14:paraId="5AF88702" w14:textId="1D8AC7E0">
      <w:pPr>
        <w:spacing w:line="276" w:lineRule="auto"/>
        <w:rPr>
          <w:color w:val="auto"/>
        </w:rPr>
      </w:pPr>
      <w:r w:rsidRPr="267444A4">
        <w:rPr>
          <w:color w:val="auto"/>
        </w:rPr>
        <w:t>In bilaterale gesprekken met leden van de Q</w:t>
      </w:r>
      <w:r w:rsidR="008C2BFF">
        <w:rPr>
          <w:color w:val="auto"/>
        </w:rPr>
        <w:t>uad</w:t>
      </w:r>
      <w:r w:rsidRPr="267444A4">
        <w:rPr>
          <w:color w:val="auto"/>
        </w:rPr>
        <w:t xml:space="preserve"> </w:t>
      </w:r>
      <w:r w:rsidR="0073776B">
        <w:rPr>
          <w:color w:val="auto"/>
        </w:rPr>
        <w:t xml:space="preserve">(Verenigde Staten, Verenigde Arabische </w:t>
      </w:r>
      <w:r w:rsidR="008B2E26">
        <w:rPr>
          <w:color w:val="auto"/>
        </w:rPr>
        <w:t>Emiraten</w:t>
      </w:r>
      <w:r w:rsidR="0073776B">
        <w:rPr>
          <w:color w:val="auto"/>
        </w:rPr>
        <w:t xml:space="preserve">, Egypte en </w:t>
      </w:r>
      <w:r w:rsidR="0073776B">
        <w:t>Saoedi-Arabië</w:t>
      </w:r>
      <w:r w:rsidR="0073776B">
        <w:rPr>
          <w:color w:val="auto"/>
        </w:rPr>
        <w:t xml:space="preserve">) </w:t>
      </w:r>
      <w:r w:rsidRPr="267444A4">
        <w:rPr>
          <w:color w:val="auto"/>
        </w:rPr>
        <w:t>worden zorgen uitgesproken over de humanitaire situatie ter plekke, het geweld tegen burgers en de negatieve consequenties van het voortduren van de oorlog voor zowel Soedan, de regio als de EU</w:t>
      </w:r>
      <w:r w:rsidR="00B53963">
        <w:rPr>
          <w:color w:val="auto"/>
        </w:rPr>
        <w:t>.</w:t>
      </w:r>
      <w:r w:rsidRPr="267444A4">
        <w:rPr>
          <w:color w:val="auto"/>
        </w:rPr>
        <w:t xml:space="preserve"> </w:t>
      </w:r>
      <w:r w:rsidR="00B53963">
        <w:rPr>
          <w:color w:val="auto"/>
        </w:rPr>
        <w:t>O</w:t>
      </w:r>
      <w:r w:rsidRPr="267444A4">
        <w:rPr>
          <w:color w:val="auto"/>
        </w:rPr>
        <w:t>ok wordt h</w:t>
      </w:r>
      <w:r>
        <w:t>et belang van het stoppen van de toevoer van wapens naar Soedan in deze gesprekken benadrukt</w:t>
      </w:r>
      <w:r w:rsidRPr="267444A4">
        <w:rPr>
          <w:color w:val="auto"/>
        </w:rPr>
        <w:t>.</w:t>
      </w:r>
    </w:p>
    <w:p w:rsidR="00A56878" w:rsidP="009471D3" w:rsidRDefault="00A56878" w14:paraId="402DF48F" w14:textId="77777777">
      <w:pPr>
        <w:spacing w:line="276" w:lineRule="auto"/>
        <w:rPr>
          <w:color w:val="auto"/>
        </w:rPr>
      </w:pPr>
    </w:p>
    <w:p w:rsidR="002949F0" w:rsidP="009471D3" w:rsidRDefault="2F85DD52" w14:paraId="3F644C3A" w14:textId="621B68F6">
      <w:pPr>
        <w:spacing w:line="276" w:lineRule="auto"/>
        <w:rPr>
          <w:bCs/>
        </w:rPr>
      </w:pPr>
      <w:r w:rsidRPr="2F85DD52">
        <w:rPr>
          <w:color w:val="auto"/>
        </w:rPr>
        <w:t xml:space="preserve">Naast onze diplomatieke inzet werken ook Nederlandse partnerorganisaties die </w:t>
      </w:r>
      <w:r>
        <w:t xml:space="preserve">gespecialiseerd zijn in conflictbemiddeling en bescherming van burgers aan het tegengaan van (gericht) geweld tegen burgers en andere schendingen van </w:t>
      </w:r>
      <w:r w:rsidRPr="1B195981" w:rsidR="005A466F">
        <w:rPr>
          <w:rFonts w:eastAsia="Verdana" w:cs="Verdana"/>
        </w:rPr>
        <w:t>het humanitair oorlogsrecht</w:t>
      </w:r>
      <w:r>
        <w:t xml:space="preserve">, zoals het blokkeren van humanitaire hulp. </w:t>
      </w:r>
    </w:p>
    <w:p w:rsidR="00A85824" w:rsidP="009471D3" w:rsidRDefault="00A85824" w14:paraId="4A054E80" w14:textId="77777777">
      <w:pPr>
        <w:spacing w:line="276" w:lineRule="auto"/>
      </w:pPr>
    </w:p>
    <w:p w:rsidRPr="008E757C" w:rsidR="008E757C" w:rsidP="009471D3" w:rsidRDefault="00A378CD" w14:paraId="580F8FB9" w14:textId="35151773">
      <w:pPr>
        <w:spacing w:line="276" w:lineRule="auto"/>
      </w:pPr>
      <w:bookmarkStart w:name="_Hlk213704689" w:id="0"/>
      <w:r>
        <w:t xml:space="preserve">Nederland </w:t>
      </w:r>
      <w:r w:rsidR="267444A4">
        <w:t xml:space="preserve">ondersteunt humanitaire organisaties werkzaam in Soedan bij het werk om de hoogste noden, inclusief de hongersnood, te adresseren. Dit gaat zowel via flexibele financiering – zoals aan de belangrijkste VN-organisaties (waaronder het Wereldvoedselprogramma/WFP en UNICEF) en de Rode Kruis- en Rode Halvemaanbeweging – als via financiering specifiek voor Soedan (via de </w:t>
      </w:r>
      <w:r w:rsidRPr="267444A4" w:rsidR="267444A4">
        <w:rPr>
          <w:i/>
          <w:iCs/>
        </w:rPr>
        <w:t xml:space="preserve">Dutch Relief Alliance </w:t>
      </w:r>
      <w:r w:rsidR="267444A4">
        <w:t xml:space="preserve">en het VN-landenfonds </w:t>
      </w:r>
      <w:r w:rsidRPr="267444A4" w:rsidR="267444A4">
        <w:rPr>
          <w:i/>
          <w:iCs/>
        </w:rPr>
        <w:t>Sudan Humanitarian Fund/SHF)</w:t>
      </w:r>
      <w:r w:rsidR="267444A4">
        <w:t>. De Nederlandse manier van voorfinancieren biedt hulporganisaties de ruimte om snel en flexibel te reageren op crises zoals nu El Fasher en Kadugli.</w:t>
      </w:r>
    </w:p>
    <w:p w:rsidR="008E757C" w:rsidP="009471D3" w:rsidRDefault="008E757C" w14:paraId="7AD03538" w14:textId="77777777">
      <w:pPr>
        <w:spacing w:line="276" w:lineRule="auto"/>
      </w:pPr>
    </w:p>
    <w:p w:rsidR="00D52B0A" w:rsidP="009471D3" w:rsidRDefault="008E757C" w14:paraId="3B16C1D8" w14:textId="0942607D">
      <w:pPr>
        <w:spacing w:line="276" w:lineRule="auto"/>
        <w:rPr>
          <w:rFonts w:eastAsia="Verdana" w:cs="Verdana"/>
        </w:rPr>
      </w:pPr>
      <w:r>
        <w:t xml:space="preserve">Sinds de </w:t>
      </w:r>
      <w:r w:rsidRPr="00452E97">
        <w:t>inname van</w:t>
      </w:r>
      <w:r>
        <w:t xml:space="preserve"> El Fasher, de wreedheden die daar plaatsvinden en de stroom mensen die de stad ontvluchten, heeft h</w:t>
      </w:r>
      <w:r w:rsidRPr="00726BBE">
        <w:t>et</w:t>
      </w:r>
      <w:r w:rsidRPr="2F85DD52">
        <w:t xml:space="preserve"> </w:t>
      </w:r>
      <w:r w:rsidRPr="2F85DD52">
        <w:rPr>
          <w:i/>
          <w:iCs/>
        </w:rPr>
        <w:t>Central Emergency Response Fund</w:t>
      </w:r>
      <w:r>
        <w:t xml:space="preserve"> (CERF) van de VN USD 20 miljoen beschikbaar gesteld voor humanitaire hulp aan de getroffen bevolking en vluchtelingen. Daarnaast is door SHF </w:t>
      </w:r>
      <w:r w:rsidR="007179BA">
        <w:t>in 2025 al</w:t>
      </w:r>
      <w:r>
        <w:t xml:space="preserve"> USD 48 miljoen gealloceerd voor humanitaire hulp in zowel Kordofan als Darfoer. </w:t>
      </w:r>
      <w:r w:rsidR="00DC3980">
        <w:t>N</w:t>
      </w:r>
      <w:r w:rsidR="00C20CC7">
        <w:t>ederland is voor zowel het CERF als het</w:t>
      </w:r>
      <w:r>
        <w:t xml:space="preserve"> SHF</w:t>
      </w:r>
      <w:r w:rsidR="00C20CC7">
        <w:t xml:space="preserve"> een van de belangrijkste don</w:t>
      </w:r>
      <w:r>
        <w:t>o</w:t>
      </w:r>
      <w:bookmarkEnd w:id="0"/>
      <w:r w:rsidR="2F85DD52">
        <w:t>ren.</w:t>
      </w:r>
      <w:r w:rsidR="00F61E71">
        <w:t xml:space="preserve"> </w:t>
      </w:r>
      <w:r w:rsidRPr="2F85DD52" w:rsidR="2F85DD52">
        <w:rPr>
          <w:rFonts w:eastAsia="Verdana" w:cs="Verdana"/>
        </w:rPr>
        <w:t xml:space="preserve">Over de brede humanitaire inzet heeft het kabinet uw </w:t>
      </w:r>
      <w:r w:rsidR="00B55EEB">
        <w:rPr>
          <w:rFonts w:eastAsia="Verdana" w:cs="Verdana"/>
        </w:rPr>
        <w:t>Ka</w:t>
      </w:r>
      <w:r w:rsidRPr="2F85DD52" w:rsidR="2F85DD52">
        <w:rPr>
          <w:rFonts w:eastAsia="Verdana" w:cs="Verdana"/>
        </w:rPr>
        <w:t>mer geïnformeerd via de Kamerbrief Humanitaire situatie Soedan en specifiek El Fasher</w:t>
      </w:r>
      <w:r w:rsidR="004518E9">
        <w:rPr>
          <w:rFonts w:eastAsia="Verdana" w:cs="Verdana"/>
        </w:rPr>
        <w:t>.</w:t>
      </w:r>
      <w:r w:rsidRPr="2F85DD52" w:rsidR="00D52B0A">
        <w:rPr>
          <w:rStyle w:val="FootnoteReference"/>
          <w:rFonts w:eastAsia="Verdana" w:cs="Verdana"/>
        </w:rPr>
        <w:footnoteReference w:id="6"/>
      </w:r>
    </w:p>
    <w:p w:rsidR="2F85DD52" w:rsidP="009471D3" w:rsidRDefault="2F85DD52" w14:paraId="59D06953" w14:textId="4BFFFE05">
      <w:pPr>
        <w:spacing w:line="276" w:lineRule="auto"/>
        <w:rPr>
          <w:rFonts w:eastAsia="Verdana" w:cs="Verdana"/>
        </w:rPr>
      </w:pPr>
    </w:p>
    <w:p w:rsidR="00FE09C7" w:rsidP="009471D3" w:rsidRDefault="267444A4" w14:paraId="7A13BA08" w14:textId="77777777">
      <w:pPr>
        <w:spacing w:line="276" w:lineRule="auto"/>
      </w:pPr>
      <w:r w:rsidRPr="267444A4">
        <w:rPr>
          <w:b/>
          <w:bCs/>
        </w:rPr>
        <w:t>Vraag 3</w:t>
      </w:r>
    </w:p>
    <w:p w:rsidR="00FE09C7" w:rsidP="009471D3" w:rsidRDefault="267444A4" w14:paraId="7A13BA09" w14:textId="77CF241B">
      <w:pPr>
        <w:spacing w:line="276" w:lineRule="auto"/>
      </w:pPr>
      <w:r>
        <w:t xml:space="preserve">Human Rights Watch heeft op 3 november 2025 gezamenlijk met ngo’s opgeroepen tot een speciale zitting van de VN-Mensenrechtenraad over de situatie in en rond El Fasher in Noord-Darfur, met als doel urgent onderzoek naar mogelijke misdrijven onder internationaal recht, inclusief de rol van externe actoren zoals de Verenigde Arabische Emiraten (VAE); bent u bereid dit verzoek te </w:t>
      </w:r>
      <w:r>
        <w:lastRenderedPageBreak/>
        <w:t>steunen, en welke concrete bijdrage zal Nederland leveren aan zo’n Human Rights Council (HRC)-speciale zitting en de follow-up onderzoeken? 3)</w:t>
      </w:r>
    </w:p>
    <w:p w:rsidR="00FE09C7" w:rsidP="009471D3" w:rsidRDefault="00FE09C7" w14:paraId="7A13BA0A" w14:textId="77777777">
      <w:pPr>
        <w:spacing w:line="276" w:lineRule="auto"/>
      </w:pPr>
    </w:p>
    <w:p w:rsidR="00FE09C7" w:rsidP="009471D3" w:rsidRDefault="267444A4" w14:paraId="7A13BA0B" w14:textId="77777777">
      <w:pPr>
        <w:spacing w:line="276" w:lineRule="auto"/>
      </w:pPr>
      <w:r w:rsidRPr="267444A4">
        <w:rPr>
          <w:b/>
          <w:bCs/>
        </w:rPr>
        <w:t>Antwoord</w:t>
      </w:r>
    </w:p>
    <w:p w:rsidR="00885C4B" w:rsidP="009471D3" w:rsidRDefault="00885C4B" w14:paraId="7DB30407" w14:textId="1AEA79F1">
      <w:pPr>
        <w:spacing w:line="276" w:lineRule="auto"/>
      </w:pPr>
      <w:r w:rsidRPr="00885C4B">
        <w:t xml:space="preserve">Op 14 november heeft er een speciale zitting van de VN-Mensenrechtenraad plaatsgevonden, aangevraagd met steun van Nederland, waarbij de situatie in Soedan en in het speciaal in El Fasher is besproken. Tijdens deze speciale zitting is een nieuwe resolutie met consensus aangenomen met dat het mandaat van de Fact Finding Mission Soedan uitbreid om ook specifiek onderzoek te doen naar de gebeurtenissen in El Fasher. Nederland is als lid van de kerngroep nauw betrokken geweest bij de totstandkoming van deze resolutie en heeft diplomatieke capaciteit ingezet om de resolutie aangenomen te krijgen. </w:t>
      </w:r>
      <w:r w:rsidR="00402E2A">
        <w:t>De minister van Buitenlandse zaken heeft</w:t>
      </w:r>
      <w:r w:rsidRPr="00885C4B">
        <w:t xml:space="preserve"> de VN-Mensenrechtenraad via een videoboodschap toegesproken en het belang van waarheidsvinding voor deze schendingen benadrukt, opgeroepen tot een onmiddellijk einde van het conflict, het respecteren van het humanitair oorlogsrecht, naleving van het VN-wapenembargo op Darfoer en voldoende humanitaire hulp.</w:t>
      </w:r>
    </w:p>
    <w:p w:rsidRPr="00162648" w:rsidR="007D7FA2" w:rsidP="009471D3" w:rsidRDefault="00885C4B" w14:paraId="1AD74BCB" w14:textId="5651082A">
      <w:pPr>
        <w:spacing w:line="276" w:lineRule="auto"/>
        <w:rPr>
          <w:b/>
          <w:bCs/>
        </w:rPr>
      </w:pPr>
      <w:r w:rsidRPr="00162648">
        <w:rPr>
          <w:b/>
          <w:bCs/>
        </w:rPr>
        <w:t xml:space="preserve"> </w:t>
      </w:r>
    </w:p>
    <w:p w:rsidR="00FE09C7" w:rsidP="009471D3" w:rsidRDefault="267444A4" w14:paraId="7A13BA0E" w14:textId="77777777">
      <w:pPr>
        <w:spacing w:line="276" w:lineRule="auto"/>
      </w:pPr>
      <w:r w:rsidRPr="267444A4">
        <w:rPr>
          <w:b/>
          <w:bCs/>
        </w:rPr>
        <w:t>Vraag 4</w:t>
      </w:r>
    </w:p>
    <w:p w:rsidR="00FE09C7" w:rsidP="009471D3" w:rsidRDefault="267444A4" w14:paraId="7A13BA0F" w14:textId="56D6BB7A">
      <w:pPr>
        <w:spacing w:line="276" w:lineRule="auto"/>
      </w:pPr>
      <w:r>
        <w:t>Hoe beoordeelt u de rol van de VAE in de oorlogsmisdaden van de Rapid Support Forces (RSF), nu meerdere bronnen, waaronder The Guardian, Wall Street Journal en RTL Nieuws, melden dat de VAE de RSF voorzien van wapens, huurlingen en geld in ruil voor goud? 4) 5) 6)</w:t>
      </w:r>
    </w:p>
    <w:p w:rsidR="00FE09C7" w:rsidP="009471D3" w:rsidRDefault="00FE09C7" w14:paraId="7A13BA10" w14:textId="77777777">
      <w:pPr>
        <w:spacing w:line="276" w:lineRule="auto"/>
      </w:pPr>
    </w:p>
    <w:p w:rsidR="006B6193" w:rsidP="009471D3" w:rsidRDefault="267444A4" w14:paraId="6FAC7926" w14:textId="4B34DCBE">
      <w:pPr>
        <w:spacing w:line="276" w:lineRule="auto"/>
      </w:pPr>
      <w:r w:rsidRPr="267444A4">
        <w:rPr>
          <w:b/>
          <w:bCs/>
        </w:rPr>
        <w:t>Antwoord</w:t>
      </w:r>
    </w:p>
    <w:p w:rsidRPr="006B6193" w:rsidR="006B6193" w:rsidP="009471D3" w:rsidRDefault="267444A4" w14:paraId="3586B36B" w14:textId="52F9EAE4">
      <w:pPr>
        <w:spacing w:line="276" w:lineRule="auto"/>
      </w:pPr>
      <w:r>
        <w:t>De VAE maakt onderdeel uit van het Q</w:t>
      </w:r>
      <w:r w:rsidR="00141620">
        <w:t>uad</w:t>
      </w:r>
      <w:r>
        <w:t xml:space="preserve"> initiatief – een samenwerkingsverband met de Verenigde Staten, Saoedi-Arabië en Egypte. </w:t>
      </w:r>
      <w:bookmarkStart w:name="_Hlk214887665" w:id="1"/>
      <w:r>
        <w:t>De Q</w:t>
      </w:r>
      <w:r w:rsidR="00141620">
        <w:t>uad</w:t>
      </w:r>
      <w:r>
        <w:t xml:space="preserve"> heeft in een verklaring in september jl. opgeroepen tot een wapenstilstand en noemde een einde aan externe militaire steun cruciaal voor het beëindigen van het conflict. De groep landen spreekt met beide partijen om een einde te maken aan het conflict.</w:t>
      </w:r>
    </w:p>
    <w:bookmarkEnd w:id="1"/>
    <w:p w:rsidR="001A41B6" w:rsidP="009471D3" w:rsidRDefault="001A41B6" w14:paraId="32372166" w14:textId="77777777">
      <w:pPr>
        <w:spacing w:line="276" w:lineRule="auto"/>
        <w:rPr>
          <w:b/>
          <w:bCs/>
        </w:rPr>
      </w:pPr>
    </w:p>
    <w:p w:rsidR="00492433" w:rsidP="009471D3" w:rsidRDefault="267444A4" w14:paraId="262140E1" w14:textId="77777777">
      <w:pPr>
        <w:spacing w:line="276" w:lineRule="auto"/>
      </w:pPr>
      <w:bookmarkStart w:name="_Hlk213840954" w:id="2"/>
      <w:r>
        <w:t xml:space="preserve">Het is in algemene zin van belang om wapentoevoer en financiële stromen richting de strijdende partijen in te dammen, met als doel een eind te maken aan het geweld. Nederland pleit tot maatregelen hiertoe in EU-verband, waaronder bijvoorbeeld het oproepen tot een wapenembargo voor geheel Soedan. </w:t>
      </w:r>
    </w:p>
    <w:p w:rsidR="00492433" w:rsidP="009471D3" w:rsidRDefault="00492433" w14:paraId="64C2C882" w14:textId="77777777">
      <w:pPr>
        <w:spacing w:line="276" w:lineRule="auto"/>
      </w:pPr>
    </w:p>
    <w:p w:rsidR="00492433" w:rsidP="009471D3" w:rsidRDefault="267444A4" w14:paraId="1F931C17" w14:textId="41919202">
      <w:pPr>
        <w:spacing w:line="276" w:lineRule="auto"/>
      </w:pPr>
      <w:r>
        <w:t xml:space="preserve">Nederland spreekt bovendien externe actoren aan op hun verantwoordelijkheid om geen handelingen te verrichten die het conflict voeden en om in te zetten op de-escalatie, naleving van </w:t>
      </w:r>
      <w:r w:rsidRPr="1B195981" w:rsidR="005A466F">
        <w:rPr>
          <w:rFonts w:eastAsia="Verdana" w:cs="Verdana"/>
        </w:rPr>
        <w:t xml:space="preserve">het humanitair oorlogsrecht </w:t>
      </w:r>
      <w:r>
        <w:t>en ongehinderde humanitaire toegang.</w:t>
      </w:r>
      <w:bookmarkEnd w:id="2"/>
    </w:p>
    <w:p w:rsidR="001A131B" w:rsidP="009471D3" w:rsidRDefault="001A131B" w14:paraId="30F3F4DB" w14:textId="77777777">
      <w:pPr>
        <w:spacing w:line="276" w:lineRule="auto"/>
      </w:pPr>
    </w:p>
    <w:p w:rsidR="00FE09C7" w:rsidP="009471D3" w:rsidRDefault="267444A4" w14:paraId="7A13BA14" w14:textId="77777777">
      <w:pPr>
        <w:spacing w:line="276" w:lineRule="auto"/>
      </w:pPr>
      <w:r w:rsidRPr="267444A4">
        <w:rPr>
          <w:b/>
          <w:bCs/>
        </w:rPr>
        <w:t>Vraag 5</w:t>
      </w:r>
    </w:p>
    <w:p w:rsidR="00FE09C7" w:rsidP="009471D3" w:rsidRDefault="267444A4" w14:paraId="7A13BA15" w14:textId="2B7F872D">
      <w:pPr>
        <w:spacing w:line="276" w:lineRule="auto"/>
      </w:pPr>
      <w:r>
        <w:t>Bent u bereid de wapenexportvergunningen naar de VAE onmiddellijk te schorsen of in te trekken, zolang niet onafhankelijk is vastgesteld dat deze wapens niet in Soedan belanden?</w:t>
      </w:r>
    </w:p>
    <w:p w:rsidR="00FE09C7" w:rsidP="009471D3" w:rsidRDefault="00FE09C7" w14:paraId="7A13BA16" w14:textId="77777777">
      <w:pPr>
        <w:spacing w:line="276" w:lineRule="auto"/>
      </w:pPr>
    </w:p>
    <w:p w:rsidR="00FE09C7" w:rsidP="009471D3" w:rsidRDefault="267444A4" w14:paraId="7A13BA17" w14:textId="77777777">
      <w:pPr>
        <w:spacing w:line="276" w:lineRule="auto"/>
      </w:pPr>
      <w:r w:rsidRPr="267444A4">
        <w:rPr>
          <w:b/>
          <w:bCs/>
        </w:rPr>
        <w:t>Antwoord</w:t>
      </w:r>
    </w:p>
    <w:p w:rsidR="00EB13CE" w:rsidP="009471D3" w:rsidRDefault="267444A4" w14:paraId="7FFFEAD3" w14:textId="115BAB25">
      <w:pPr>
        <w:spacing w:line="276" w:lineRule="auto"/>
      </w:pPr>
      <w:r>
        <w:t xml:space="preserve">Het kabinet toetst alle vergunningaanvragen voor de uitvoer van militaire goederen per geval en zorgvuldig conform het EU Gemeenschappelijk Standpunt inzake wapenexportcontrole (2008/944/GBVB), met onder andere specifieke </w:t>
      </w:r>
      <w:r>
        <w:lastRenderedPageBreak/>
        <w:t>aandacht voor het risico op omleiding van de goederen naar ongewenste eindgebruikers. In het geval van de voor uitvoer naar de VAE afgegeven vergunningen is</w:t>
      </w:r>
      <w:r w:rsidR="00630440">
        <w:t xml:space="preserve"> in het verleden</w:t>
      </w:r>
      <w:r>
        <w:t xml:space="preserve"> ten aanzien van de uit te voeren goederen geen risico op omleiding naar Soedan vastgesteld. Daarbij gaat het bijvoorbeeld om goederen ten behoeve van marineschepen met als eindgebruiker de VAE marine. </w:t>
      </w:r>
      <w:r w:rsidRPr="00275F08" w:rsidR="00275F08">
        <w:t>Gelet op het feit dat er in Soedan geen sprake is van een maritiem conflict is het niet aannemelijk dat dergelijke goederen worden omgeleid naar Soedan.</w:t>
      </w:r>
    </w:p>
    <w:p w:rsidR="00275F08" w:rsidP="009471D3" w:rsidRDefault="00275F08" w14:paraId="59504715" w14:textId="77777777">
      <w:pPr>
        <w:spacing w:line="276" w:lineRule="auto"/>
      </w:pPr>
    </w:p>
    <w:p w:rsidR="00EB13CE" w:rsidP="009471D3" w:rsidRDefault="267444A4" w14:paraId="10BA76ED" w14:textId="4CB97BB5">
      <w:pPr>
        <w:spacing w:line="276" w:lineRule="auto"/>
      </w:pPr>
      <w:r w:rsidRPr="267444A4">
        <w:rPr>
          <w:b/>
          <w:bCs/>
        </w:rPr>
        <w:t>Vraag 6</w:t>
      </w:r>
    </w:p>
    <w:p w:rsidR="00EB13CE" w:rsidP="009471D3" w:rsidRDefault="2F85DD52" w14:paraId="79B74CAD" w14:textId="357B80F0">
      <w:pPr>
        <w:spacing w:line="276" w:lineRule="auto"/>
      </w:pPr>
      <w:r>
        <w:t>Welke stappen heeft u gezet om de aangenomen moties van de leden Dobbe en Boswijk en Dobbe en Van der Burg over diplomatieke druk en maatregelen tegen VAE te implementeren? 7) 8)</w:t>
      </w:r>
    </w:p>
    <w:p w:rsidR="00EB13CE" w:rsidP="009471D3" w:rsidRDefault="00EB13CE" w14:paraId="3A7E3238" w14:textId="77777777">
      <w:pPr>
        <w:spacing w:line="276" w:lineRule="auto"/>
      </w:pPr>
    </w:p>
    <w:p w:rsidR="00EB13CE" w:rsidP="009471D3" w:rsidRDefault="267444A4" w14:paraId="08058CE0" w14:textId="77777777">
      <w:pPr>
        <w:spacing w:line="276" w:lineRule="auto"/>
      </w:pPr>
      <w:r w:rsidRPr="267444A4">
        <w:rPr>
          <w:b/>
          <w:bCs/>
        </w:rPr>
        <w:t>Antwoord</w:t>
      </w:r>
    </w:p>
    <w:p w:rsidRPr="00736187" w:rsidR="00A753E8" w:rsidP="009471D3" w:rsidRDefault="267444A4" w14:paraId="29426F7D" w14:textId="3448AA14">
      <w:pPr>
        <w:spacing w:line="276" w:lineRule="auto"/>
        <w:rPr>
          <w:bCs/>
        </w:rPr>
      </w:pPr>
      <w:r>
        <w:t xml:space="preserve">Het kabinet spreekt binnen de brede bilaterale relatie met de VAE ook over de situatie in </w:t>
      </w:r>
      <w:r w:rsidRPr="00736187">
        <w:t xml:space="preserve">Soedan, zowel op politiek als hoog-ambtelijk niveau. </w:t>
      </w:r>
      <w:r w:rsidRPr="00736187" w:rsidR="003A5F9A">
        <w:t xml:space="preserve">Zo sprak de </w:t>
      </w:r>
      <w:r w:rsidRPr="00736187" w:rsidR="00A6619E">
        <w:t>m</w:t>
      </w:r>
      <w:r w:rsidRPr="00736187" w:rsidR="003A5F9A">
        <w:t xml:space="preserve">inister van Buitenlandse Zaken op 19 november jl. met de </w:t>
      </w:r>
      <w:r w:rsidRPr="00736187" w:rsidR="00A6619E">
        <w:t>m</w:t>
      </w:r>
      <w:r w:rsidRPr="00736187" w:rsidR="003A5F9A">
        <w:t xml:space="preserve">inister van Buitenlandse Zaken, Sheikh Abdullah bin Zayed Al Nahyan, waar aandacht is gevraagd voor de situatie in El Fasher en het belang is onderstreept om te komen tot een einde aan het geweld. </w:t>
      </w:r>
      <w:r w:rsidRPr="00736187">
        <w:t xml:space="preserve">Inzet van de gesprekken is constructief engagement met de VAE als een relevante actor die aangeeft bij te willen dragen aan een einde van het conflict. </w:t>
      </w:r>
      <w:bookmarkStart w:name="_Hlk213862475" w:id="3"/>
      <w:bookmarkEnd w:id="3"/>
    </w:p>
    <w:p w:rsidRPr="00736187" w:rsidR="00A753E8" w:rsidP="009471D3" w:rsidRDefault="00A753E8" w14:paraId="7F5C63E1" w14:textId="77777777">
      <w:pPr>
        <w:spacing w:line="276" w:lineRule="auto"/>
        <w:rPr>
          <w:bCs/>
        </w:rPr>
      </w:pPr>
    </w:p>
    <w:p w:rsidR="003A5F9A" w:rsidP="003A5F9A" w:rsidRDefault="003A5F9A" w14:paraId="68C7413F" w14:textId="2183CC44">
      <w:pPr>
        <w:spacing w:line="276" w:lineRule="auto"/>
      </w:pPr>
      <w:r w:rsidRPr="00736187">
        <w:t xml:space="preserve">Het kabinet heeft conform motie-Ceder </w:t>
      </w:r>
      <w:r w:rsidRPr="00736187" w:rsidR="009E2743">
        <w:t>c.s.</w:t>
      </w:r>
      <w:r w:rsidRPr="00736187">
        <w:t xml:space="preserve"> (21501-02 Nr. 3276) tijdens de Raad Buitenlandse Zaken in november gepleit voor engagement vanuit de EU met externe actoren, inclusief in de context van EU-GCC relaties. Ook heeft het</w:t>
      </w:r>
      <w:r w:rsidRPr="00736187" w:rsidR="00152BA8">
        <w:t xml:space="preserve"> kabinet bepleit dat de EU zich inzet voor een onmiddellijke wapenstilstand, bescherming van burgers</w:t>
      </w:r>
      <w:r w:rsidRPr="00736187" w:rsidR="0029466D">
        <w:t xml:space="preserve">, </w:t>
      </w:r>
      <w:r w:rsidRPr="00736187" w:rsidR="00152BA8">
        <w:t>onbelemmerde humanitaire toegang voor hulporganisaties</w:t>
      </w:r>
      <w:r w:rsidRPr="00736187" w:rsidR="0029466D">
        <w:t xml:space="preserve"> en het verder verhogen van de humanitaire hulp</w:t>
      </w:r>
      <w:r w:rsidRPr="0029466D" w:rsidR="0029466D">
        <w:t xml:space="preserve"> </w:t>
      </w:r>
      <w:r w:rsidR="0029466D">
        <w:t>voor Soedan</w:t>
      </w:r>
      <w:r w:rsidRPr="0029466D" w:rsidR="0029466D">
        <w:t xml:space="preserve">. </w:t>
      </w:r>
    </w:p>
    <w:p w:rsidR="003A5F9A" w:rsidP="003A5F9A" w:rsidRDefault="003A5F9A" w14:paraId="04BEE2A1" w14:textId="77777777">
      <w:pPr>
        <w:spacing w:line="276" w:lineRule="auto"/>
      </w:pPr>
    </w:p>
    <w:p w:rsidRPr="00152BA8" w:rsidR="00EB13CE" w:rsidP="003A5F9A" w:rsidRDefault="00152BA8" w14:paraId="321B993F" w14:textId="3154293D">
      <w:pPr>
        <w:spacing w:line="276" w:lineRule="auto"/>
      </w:pPr>
      <w:r w:rsidRPr="00152BA8">
        <w:t>Het kabinet steunt het werk van de EU Speciaal Gezant voor de Hoorn van Afrika en het werk van de VS om een einde te maken aan het conflict, het laatste voornamelijk via het kader van het Q</w:t>
      </w:r>
      <w:r w:rsidR="00141620">
        <w:t>uad</w:t>
      </w:r>
      <w:r w:rsidRPr="00152BA8">
        <w:t>-initiatief (VS, Verenigde Arabische Emiraten, Saoedi Arabië en Egypte).</w:t>
      </w:r>
      <w:r w:rsidR="00F55A00">
        <w:t xml:space="preserve"> </w:t>
      </w:r>
    </w:p>
    <w:p w:rsidRPr="00152BA8" w:rsidR="00152BA8" w:rsidP="003A5F9A" w:rsidRDefault="00152BA8" w14:paraId="0E3AF1C4" w14:textId="77777777">
      <w:pPr>
        <w:spacing w:line="276" w:lineRule="auto"/>
      </w:pPr>
    </w:p>
    <w:p w:rsidR="00EB13CE" w:rsidP="009471D3" w:rsidRDefault="267444A4" w14:paraId="67D2DEF9" w14:textId="3A99A041">
      <w:pPr>
        <w:spacing w:line="276" w:lineRule="auto"/>
      </w:pPr>
      <w:r w:rsidRPr="267444A4">
        <w:rPr>
          <w:b/>
          <w:bCs/>
        </w:rPr>
        <w:t>Vraag 7</w:t>
      </w:r>
    </w:p>
    <w:p w:rsidR="00EB13CE" w:rsidP="009471D3" w:rsidRDefault="267444A4" w14:paraId="48986502" w14:textId="09CAF455">
      <w:pPr>
        <w:spacing w:line="276" w:lineRule="auto"/>
      </w:pPr>
      <w:r>
        <w:t>Kunt u aangeven op welke wijze Nederland momenteel controleert of door Nederland geëxporteerde militaire goederen via de VAE in handen van de RSF terechtkomen?</w:t>
      </w:r>
    </w:p>
    <w:p w:rsidR="00EB13CE" w:rsidP="009471D3" w:rsidRDefault="00EB13CE" w14:paraId="7CA11BA0" w14:textId="77777777">
      <w:pPr>
        <w:spacing w:line="276" w:lineRule="auto"/>
      </w:pPr>
    </w:p>
    <w:p w:rsidR="00EB13CE" w:rsidP="009471D3" w:rsidRDefault="267444A4" w14:paraId="1967C835" w14:textId="77777777">
      <w:pPr>
        <w:spacing w:line="276" w:lineRule="auto"/>
      </w:pPr>
      <w:r w:rsidRPr="267444A4">
        <w:rPr>
          <w:b/>
          <w:bCs/>
        </w:rPr>
        <w:t>Antwoord</w:t>
      </w:r>
    </w:p>
    <w:p w:rsidR="00631154" w:rsidP="009471D3" w:rsidRDefault="267444A4" w14:paraId="25257D7D" w14:textId="25BC388A">
      <w:pPr>
        <w:spacing w:line="276" w:lineRule="auto"/>
      </w:pPr>
      <w:r>
        <w:t xml:space="preserve">Wapenexportcontrole wordt vormgegeven door een zorgvuldige risicoanalyse op grond van alle beschikbare informatie die op het moment van toetsing beschikbaar is, waarbij alle relevante ontwikkelingen van dat moment worden meegenomen. </w:t>
      </w:r>
    </w:p>
    <w:p w:rsidR="00631154" w:rsidP="009471D3" w:rsidRDefault="00631154" w14:paraId="285420C7" w14:textId="77777777">
      <w:pPr>
        <w:spacing w:line="276" w:lineRule="auto"/>
      </w:pPr>
    </w:p>
    <w:p w:rsidR="00EB13CE" w:rsidP="009471D3" w:rsidRDefault="267444A4" w14:paraId="4E4F0F23" w14:textId="1C6BCF89">
      <w:pPr>
        <w:spacing w:line="276" w:lineRule="auto"/>
      </w:pPr>
      <w:r>
        <w:t xml:space="preserve">Zoals aangegeven in het antwoord op vraag 5, toetst het kabinet alle vergunningaanvragen voor de uitvoer van militaire goederen zorgvuldig en per geval aan de hand van de acht criteria uit het EUGS. Bij het toetsen van een eventueel omleidingsrisico wordt er onder andere zorgvuldig gekeken naar de </w:t>
      </w:r>
      <w:r>
        <w:lastRenderedPageBreak/>
        <w:t xml:space="preserve">risico’s in relatie tot de specifieke aard van de goederen, het opgegeven eindgebruik, de eindgebruiker en het land van eindbestemming. Om zicht te krijgen op (de aannemelijkheid van) het eindgebruik, is onder andere een eindgebruikersverklaring vereist bij een vergunningaanvraag voor de uitvoer van militaire goederen. Ook wordt op basis van de aard van de goederen bezien hoe waarschijnlijk het is dat zij na omleiding inzetbaar zouden zijn in conflictgebieden, bijvoorbeeld Soedan. Zo is bij uitvoer van goederen ten behoeve van marineschepen met als eindgebruiker de VAE bijvoorbeeld overwogen dat het, gelet op het feit dat er in Soedan geen sprake is van een maritiem conflict, niet aannemelijk is dat dergelijke goederen worden omgeleid naar Soedan. </w:t>
      </w:r>
    </w:p>
    <w:p w:rsidR="009471D3" w:rsidP="009471D3" w:rsidRDefault="009471D3" w14:paraId="206FB7C5" w14:textId="77777777">
      <w:pPr>
        <w:spacing w:line="276" w:lineRule="auto"/>
      </w:pPr>
    </w:p>
    <w:p w:rsidR="00EB13CE" w:rsidP="009471D3" w:rsidRDefault="267444A4" w14:paraId="4A047FDD" w14:textId="75E6BC07">
      <w:pPr>
        <w:spacing w:line="276" w:lineRule="auto"/>
      </w:pPr>
      <w:r w:rsidRPr="267444A4">
        <w:rPr>
          <w:b/>
          <w:bCs/>
        </w:rPr>
        <w:t>Vraag 8</w:t>
      </w:r>
    </w:p>
    <w:p w:rsidR="00EB13CE" w:rsidP="009471D3" w:rsidRDefault="267444A4" w14:paraId="00776E6D" w14:textId="27488517">
      <w:pPr>
        <w:spacing w:line="276" w:lineRule="auto"/>
      </w:pPr>
      <w:r>
        <w:t>De EU onderhandelt sinds april 2025 over een vrijhandelsverdrag met de VAE; bent u bereid deze onderhandelingen op te schorten vanwege de steun van VAE aan de RSF met wapens, huurlingen en financiële middelen? 9)</w:t>
      </w:r>
    </w:p>
    <w:p w:rsidR="00EB13CE" w:rsidP="009471D3" w:rsidRDefault="00EB13CE" w14:paraId="6472FF93" w14:textId="77777777">
      <w:pPr>
        <w:spacing w:line="276" w:lineRule="auto"/>
      </w:pPr>
    </w:p>
    <w:p w:rsidR="00EB13CE" w:rsidP="009471D3" w:rsidRDefault="267444A4" w14:paraId="00D405BF" w14:textId="77777777">
      <w:pPr>
        <w:spacing w:line="276" w:lineRule="auto"/>
      </w:pPr>
      <w:r w:rsidRPr="267444A4">
        <w:rPr>
          <w:b/>
          <w:bCs/>
        </w:rPr>
        <w:t>Antwoord</w:t>
      </w:r>
    </w:p>
    <w:p w:rsidR="00C62C9B" w:rsidP="009471D3" w:rsidRDefault="267444A4" w14:paraId="1CECECE7" w14:textId="7A5B8B14">
      <w:pPr>
        <w:spacing w:line="276" w:lineRule="auto"/>
      </w:pPr>
      <w:r>
        <w:t xml:space="preserve">Op 28 mei 2025 zijn de onderhandelingen over </w:t>
      </w:r>
      <w:r w:rsidRPr="00736187">
        <w:t xml:space="preserve">een mogelijk handelsverdrag (FTA) tussen de EU en de VAE gestart. De onderhandelingen richten zich op </w:t>
      </w:r>
      <w:r w:rsidRPr="00736187" w:rsidR="00B5531D">
        <w:t xml:space="preserve">het opheffen van beperkingen op </w:t>
      </w:r>
      <w:r w:rsidRPr="00736187">
        <w:t>de handel in goederen, diensten en investeringen, evenals samenwerking in strategische sectoren zoals hernieuwbare energie, groene waterstof en kritieke grondstoffen.</w:t>
      </w:r>
    </w:p>
    <w:p w:rsidRPr="00C62C9B" w:rsidR="006B6193" w:rsidP="009471D3" w:rsidRDefault="006B6193" w14:paraId="4BD5F98E" w14:textId="77777777">
      <w:pPr>
        <w:spacing w:line="276" w:lineRule="auto"/>
      </w:pPr>
    </w:p>
    <w:p w:rsidR="00C62C9B" w:rsidP="009471D3" w:rsidRDefault="00C62C9B" w14:paraId="48491B68" w14:textId="69DFAB6C">
      <w:pPr>
        <w:spacing w:line="276" w:lineRule="auto"/>
      </w:pPr>
      <w:r w:rsidRPr="00C62C9B">
        <w:t>Conform het betreffende BNC-fiche</w:t>
      </w:r>
      <w:r w:rsidR="006B6193">
        <w:rPr>
          <w:rStyle w:val="FootnoteReference"/>
        </w:rPr>
        <w:footnoteReference w:id="7"/>
      </w:r>
      <w:r w:rsidRPr="00C62C9B">
        <w:t xml:space="preserve"> heeft het kabinet een positieve grondhouding ten aanzien van EU-handelsakkoorden, waarbij het uitgangspunt blijft dat ieder akkoord op de eigen merites wordt beoordeeld. Juist nu het wereldwijde handelssysteem onder druk staat, is het belangrijk dat we, conform de motie Hirsch-Ceder, afspraken blijven maken met internationale partners over moderne en duurzame handelsbetrekkingen, en ons inzetten voor een open en op regels gebaseerd handelssysteem.</w:t>
      </w:r>
    </w:p>
    <w:p w:rsidRPr="00C62C9B" w:rsidR="000E1558" w:rsidP="009471D3" w:rsidRDefault="000E1558" w14:paraId="1B23821F" w14:textId="77777777">
      <w:pPr>
        <w:spacing w:line="276" w:lineRule="auto"/>
      </w:pPr>
    </w:p>
    <w:p w:rsidRPr="00C62C9B" w:rsidR="00C62C9B" w:rsidP="009471D3" w:rsidRDefault="267444A4" w14:paraId="37AD40AE" w14:textId="7A05EB74">
      <w:pPr>
        <w:spacing w:line="276" w:lineRule="auto"/>
      </w:pPr>
      <w:r>
        <w:t>In het mandaat voor de onderhandelingen met de VAE wordt verwezen naar de beginselen en doelstellingen van het externe optreden van de EU, waaronder de naleving van het internationaal recht door derde landen. De Raad heeft met dit onderhandelingsmandaat ingestemd. Het is nu aan de Commissie om op basis hiervan tot een onderhandelingsresultaat te komen met de VAE. Het kabinet zal daarover een positie innemen op het moment dat een eventueel onderhandelingsresultaat ter besluitvorming wordt voorgelegd aan de Raad.</w:t>
      </w:r>
    </w:p>
    <w:p w:rsidR="00EB13CE" w:rsidP="009471D3" w:rsidRDefault="00EB13CE" w14:paraId="0440B590" w14:textId="77777777">
      <w:pPr>
        <w:spacing w:line="276" w:lineRule="auto"/>
      </w:pPr>
    </w:p>
    <w:p w:rsidR="00EB13CE" w:rsidP="009471D3" w:rsidRDefault="267444A4" w14:paraId="41821633" w14:textId="53A02349">
      <w:pPr>
        <w:spacing w:line="276" w:lineRule="auto"/>
      </w:pPr>
      <w:r w:rsidRPr="267444A4">
        <w:rPr>
          <w:b/>
          <w:bCs/>
        </w:rPr>
        <w:t>Vraag 9</w:t>
      </w:r>
    </w:p>
    <w:p w:rsidR="00A6619E" w:rsidP="009471D3" w:rsidRDefault="267444A4" w14:paraId="013CCA8B" w14:textId="5F996056">
      <w:pPr>
        <w:spacing w:line="276" w:lineRule="auto"/>
      </w:pPr>
      <w:r>
        <w:t>Bent u bereid zich in te zetten voor een Europees verbod op de import van goud uit de VAE, zolang er een reëel risico bestaat dat dit goud afkomstig is uit door de RSF gecontroleerde mijnen in Soedan?</w:t>
      </w:r>
    </w:p>
    <w:p w:rsidR="00EB13CE" w:rsidP="009471D3" w:rsidRDefault="00EB13CE" w14:paraId="12E65467" w14:textId="77777777">
      <w:pPr>
        <w:spacing w:line="276" w:lineRule="auto"/>
      </w:pPr>
    </w:p>
    <w:p w:rsidR="00090A57" w:rsidP="009471D3" w:rsidRDefault="267444A4" w14:paraId="3A867295" w14:textId="12AFC87D">
      <w:pPr>
        <w:spacing w:line="276" w:lineRule="auto"/>
      </w:pPr>
      <w:r w:rsidRPr="267444A4">
        <w:rPr>
          <w:b/>
          <w:bCs/>
        </w:rPr>
        <w:t>Antwoord</w:t>
      </w:r>
    </w:p>
    <w:p w:rsidRPr="00C62C9B" w:rsidR="00090A57" w:rsidP="009471D3" w:rsidRDefault="00090A57" w14:paraId="5D396F02" w14:textId="505F830B">
      <w:pPr>
        <w:spacing w:line="276" w:lineRule="auto"/>
      </w:pPr>
      <w:r w:rsidRPr="00090A57">
        <w:t xml:space="preserve">Sinds 2021 implementeert Nederland de Europese conflictmineralenverordening. Deze voorziet in wettelijke gepaste zorgvuldigheidsverplichtingen voor Europese </w:t>
      </w:r>
      <w:r w:rsidRPr="00090A57">
        <w:lastRenderedPageBreak/>
        <w:t xml:space="preserve">importeurs die boven een bepaalde drempelwaarden tin, tantaal, wolfraam en goud (3TG) importeren. Deze </w:t>
      </w:r>
      <w:r w:rsidRPr="00090A57" w:rsidR="00F70310">
        <w:t>V</w:t>
      </w:r>
      <w:r w:rsidR="00F70310">
        <w:t>e</w:t>
      </w:r>
      <w:r w:rsidRPr="00090A57" w:rsidR="00F70310">
        <w:t>rordening</w:t>
      </w:r>
      <w:r w:rsidRPr="00090A57">
        <w:t xml:space="preserve"> ziet toe op de controle op handel in 3TG met als doel om bij te dragen aan het tegengaan van de financiering van gewapende groepen en mensenrechtenschendingen. Hoewel de implementatie niet </w:t>
      </w:r>
      <w:r w:rsidRPr="00090A57" w:rsidR="00F70310">
        <w:t>landen specifiek</w:t>
      </w:r>
      <w:r w:rsidRPr="00090A57">
        <w:t xml:space="preserve"> is bestaat er onder de Verordening wel een lijst van conflict- en hoog risicogebieden, opgesteld door onafhankelijke externe experts. Lidstaten en de Europese Commissie hebben geen directe invloed op de lijst. Desalniettemin heeft het kabinet zorgen over doorvoerlanden besproken met de Commissie. De Commissie gaf aan de intentie te hebben om het element van doorvoerlanden onderdeel te maken van de aanbestedingsprocedure voor actualisatie van de lijst.</w:t>
      </w:r>
    </w:p>
    <w:p w:rsidR="00EB13CE" w:rsidP="009471D3" w:rsidRDefault="00EB13CE" w14:paraId="63FF3843" w14:textId="77777777">
      <w:pPr>
        <w:spacing w:line="276" w:lineRule="auto"/>
      </w:pPr>
    </w:p>
    <w:p w:rsidR="00EB13CE" w:rsidP="009471D3" w:rsidRDefault="267444A4" w14:paraId="511E5FB2" w14:textId="0617B827">
      <w:pPr>
        <w:spacing w:line="276" w:lineRule="auto"/>
      </w:pPr>
      <w:r w:rsidRPr="267444A4">
        <w:rPr>
          <w:b/>
          <w:bCs/>
        </w:rPr>
        <w:t>Vraag 10</w:t>
      </w:r>
    </w:p>
    <w:p w:rsidR="00EB13CE" w:rsidP="009471D3" w:rsidRDefault="267444A4" w14:paraId="53B1D32A" w14:textId="18394CA0">
      <w:pPr>
        <w:spacing w:line="276" w:lineRule="auto"/>
      </w:pPr>
      <w:r>
        <w:t>Bent u bereid samen te werken met gelijkgezinde landen aan een internationaal onderzoek naar de rol van de VAE in de financiering en bewapening van de RSF?</w:t>
      </w:r>
    </w:p>
    <w:p w:rsidR="00426AA5" w:rsidP="009471D3" w:rsidRDefault="00426AA5" w14:paraId="3A3B440D" w14:textId="77777777">
      <w:pPr>
        <w:spacing w:line="276" w:lineRule="auto"/>
        <w:rPr>
          <w:b/>
          <w:bCs/>
        </w:rPr>
      </w:pPr>
    </w:p>
    <w:p w:rsidR="00EB13CE" w:rsidP="009471D3" w:rsidRDefault="267444A4" w14:paraId="67FED89C" w14:textId="0FEAB555">
      <w:pPr>
        <w:spacing w:line="276" w:lineRule="auto"/>
      </w:pPr>
      <w:r w:rsidRPr="267444A4">
        <w:rPr>
          <w:b/>
          <w:bCs/>
        </w:rPr>
        <w:t>Antwoord</w:t>
      </w:r>
    </w:p>
    <w:p w:rsidR="0036752B" w:rsidP="009471D3" w:rsidRDefault="267444A4" w14:paraId="77CD9C61" w14:textId="4A5B93F3">
      <w:pPr>
        <w:spacing w:line="276" w:lineRule="auto"/>
      </w:pPr>
      <w:r>
        <w:t>Het is in algemene zin van belang om wapentoevoer en financiële stromen richting de strijdende partijen in te dammen, met als doel een eind te maken aan het geweld. Nederland pleit tot maatregelen hiertoe in EU-verband, waaronder bijvoorbeeld het oproepen tot een wapenembargo voor geheel Soedan.</w:t>
      </w:r>
    </w:p>
    <w:p w:rsidR="0036752B" w:rsidP="009471D3" w:rsidRDefault="0036752B" w14:paraId="25F52CE7" w14:textId="77777777">
      <w:pPr>
        <w:spacing w:line="276" w:lineRule="auto"/>
      </w:pPr>
    </w:p>
    <w:p w:rsidR="0036752B" w:rsidP="009471D3" w:rsidRDefault="267444A4" w14:paraId="74254194" w14:textId="7A2A413D">
      <w:pPr>
        <w:spacing w:line="276" w:lineRule="auto"/>
      </w:pPr>
      <w:r>
        <w:t xml:space="preserve">Nederland spreekt bovendien externe actoren aan op hun verantwoordelijkheid om geen handelingen te verrichten die het conflict voeden en om in te zetten op de-escalatie, naleving van </w:t>
      </w:r>
      <w:r w:rsidRPr="1B195981" w:rsidR="005A466F">
        <w:rPr>
          <w:rFonts w:eastAsia="Verdana" w:cs="Verdana"/>
        </w:rPr>
        <w:t xml:space="preserve">het humanitair oorlogsrecht </w:t>
      </w:r>
      <w:r>
        <w:t>en ongehinderde humanitaire toegang.</w:t>
      </w:r>
    </w:p>
    <w:p w:rsidR="0036752B" w:rsidP="009471D3" w:rsidRDefault="0036752B" w14:paraId="5451CF17" w14:textId="77777777">
      <w:pPr>
        <w:spacing w:line="276" w:lineRule="auto"/>
      </w:pPr>
    </w:p>
    <w:p w:rsidR="00EB13CE" w:rsidP="009471D3" w:rsidRDefault="267444A4" w14:paraId="2F92BF7C" w14:textId="5F92E30D">
      <w:pPr>
        <w:spacing w:line="276" w:lineRule="auto"/>
      </w:pPr>
      <w:r w:rsidRPr="267444A4">
        <w:rPr>
          <w:b/>
          <w:bCs/>
        </w:rPr>
        <w:t>Vraag 11</w:t>
      </w:r>
    </w:p>
    <w:p w:rsidR="00EB13CE" w:rsidP="009471D3" w:rsidRDefault="267444A4" w14:paraId="51E6A61C" w14:textId="2451AD89">
      <w:pPr>
        <w:spacing w:line="276" w:lineRule="auto"/>
      </w:pPr>
      <w:r>
        <w:t>Hoe beoordeelt u de mogelijkheid van gerichte sancties tegen VAE-entiteiten of individuen die de RSF direct of indirect ondersteunen?</w:t>
      </w:r>
    </w:p>
    <w:p w:rsidR="003A5F9A" w:rsidP="009471D3" w:rsidRDefault="003A5F9A" w14:paraId="5D00571E" w14:textId="77777777">
      <w:pPr>
        <w:spacing w:line="276" w:lineRule="auto"/>
      </w:pPr>
    </w:p>
    <w:p w:rsidR="00EB13CE" w:rsidP="009471D3" w:rsidRDefault="267444A4" w14:paraId="187F6B9F" w14:textId="77777777">
      <w:pPr>
        <w:spacing w:line="276" w:lineRule="auto"/>
      </w:pPr>
      <w:r w:rsidRPr="267444A4">
        <w:rPr>
          <w:b/>
          <w:bCs/>
        </w:rPr>
        <w:t>Antwoord</w:t>
      </w:r>
    </w:p>
    <w:p w:rsidR="003A5F9A" w:rsidP="003A5F9A" w:rsidRDefault="003A5F9A" w14:paraId="78E86D09" w14:textId="0FF492B9">
      <w:pPr>
        <w:spacing w:line="276" w:lineRule="auto"/>
      </w:pPr>
      <w:r w:rsidRPr="00736187">
        <w:t xml:space="preserve">Tijdens de Raad Buitenlandse Zaken in november zijn sancties aangenomen tegen Abdelrahim Hamdan Dagalo, de tweede man binnen de RSF en broer van Hemedti, leider van de RSF. Conform de motie-Piri </w:t>
      </w:r>
      <w:r w:rsidRPr="00736187" w:rsidR="009E2743">
        <w:t>c.s.</w:t>
      </w:r>
      <w:r w:rsidRPr="00736187">
        <w:t xml:space="preserve"> (21501-02 Nr. 3278) en motie-Piri (21501-02 Nr. 3279) heeft Nederland tijdens de Raad gepleit voor aanvullende sancties tegen verantwoordelijken voor de oorlog, zowel binnen als buiten Soedan, en inclusief de strijdende partijen op het hoogste niveau.</w:t>
      </w:r>
    </w:p>
    <w:p w:rsidRPr="006B6193" w:rsidR="00EB13CE" w:rsidP="009471D3" w:rsidRDefault="00EB13CE" w14:paraId="0926A48A" w14:textId="77777777">
      <w:pPr>
        <w:spacing w:line="276" w:lineRule="auto"/>
      </w:pPr>
    </w:p>
    <w:p w:rsidR="00EB13CE" w:rsidP="009471D3" w:rsidRDefault="267444A4" w14:paraId="2A82F54F" w14:textId="151D2385">
      <w:pPr>
        <w:spacing w:line="276" w:lineRule="auto"/>
      </w:pPr>
      <w:r w:rsidRPr="267444A4">
        <w:rPr>
          <w:b/>
          <w:bCs/>
        </w:rPr>
        <w:t>Vraag 12</w:t>
      </w:r>
    </w:p>
    <w:p w:rsidR="00EB13CE" w:rsidP="009471D3" w:rsidRDefault="267444A4" w14:paraId="7845E8CB" w14:textId="32EF7EAD">
      <w:pPr>
        <w:spacing w:line="276" w:lineRule="auto"/>
      </w:pPr>
      <w:r>
        <w:t>Kunt u deze vragen binnen een week beantwoorden?</w:t>
      </w:r>
    </w:p>
    <w:p w:rsidR="00EB13CE" w:rsidP="009471D3" w:rsidRDefault="00EB13CE" w14:paraId="7E5566DA" w14:textId="77777777">
      <w:pPr>
        <w:spacing w:line="276" w:lineRule="auto"/>
      </w:pPr>
    </w:p>
    <w:p w:rsidR="00EB13CE" w:rsidP="009471D3" w:rsidRDefault="267444A4" w14:paraId="2D00A6EA" w14:textId="77777777">
      <w:pPr>
        <w:spacing w:line="276" w:lineRule="auto"/>
      </w:pPr>
      <w:r w:rsidRPr="267444A4">
        <w:rPr>
          <w:b/>
          <w:bCs/>
        </w:rPr>
        <w:t>Antwoord</w:t>
      </w:r>
    </w:p>
    <w:p w:rsidR="00EB13CE" w:rsidP="009471D3" w:rsidRDefault="007315FC" w14:paraId="0D101988" w14:textId="5CE1D173">
      <w:pPr>
        <w:spacing w:line="276" w:lineRule="auto"/>
      </w:pPr>
      <w:r>
        <w:t xml:space="preserve">De vragen zijn zo spoedig mogelijk beantwoord. </w:t>
      </w:r>
    </w:p>
    <w:p w:rsidR="00EB13CE" w:rsidP="009471D3" w:rsidRDefault="00EB13CE" w14:paraId="3DB02490" w14:textId="77777777">
      <w:pPr>
        <w:spacing w:line="276" w:lineRule="auto"/>
      </w:pPr>
    </w:p>
    <w:p w:rsidR="00814C0F" w:rsidP="009471D3" w:rsidRDefault="00814C0F" w14:paraId="02BCA8DC" w14:textId="77777777">
      <w:pPr>
        <w:spacing w:line="276" w:lineRule="auto"/>
        <w:rPr>
          <w:b/>
        </w:rPr>
      </w:pPr>
    </w:p>
    <w:p w:rsidR="009E2743" w:rsidP="009471D3" w:rsidRDefault="009E2743" w14:paraId="54923C61" w14:textId="77777777">
      <w:pPr>
        <w:spacing w:line="276" w:lineRule="auto"/>
        <w:rPr>
          <w:b/>
        </w:rPr>
      </w:pPr>
    </w:p>
    <w:p w:rsidR="009E2743" w:rsidP="009471D3" w:rsidRDefault="009E2743" w14:paraId="798DE29D" w14:textId="77777777">
      <w:pPr>
        <w:spacing w:line="276" w:lineRule="auto"/>
        <w:rPr>
          <w:b/>
        </w:rPr>
      </w:pPr>
    </w:p>
    <w:p w:rsidR="009E2743" w:rsidP="009471D3" w:rsidRDefault="009E2743" w14:paraId="736CB19B" w14:textId="77777777">
      <w:pPr>
        <w:spacing w:line="276" w:lineRule="auto"/>
        <w:rPr>
          <w:b/>
        </w:rPr>
      </w:pPr>
    </w:p>
    <w:p w:rsidR="009E2743" w:rsidP="009471D3" w:rsidRDefault="009E2743" w14:paraId="20BA2486" w14:textId="77777777">
      <w:pPr>
        <w:spacing w:line="276" w:lineRule="auto"/>
        <w:rPr>
          <w:b/>
        </w:rPr>
      </w:pPr>
    </w:p>
    <w:p w:rsidR="009E2743" w:rsidP="009471D3" w:rsidRDefault="009E2743" w14:paraId="2EEB0193" w14:textId="77777777">
      <w:pPr>
        <w:spacing w:line="276" w:lineRule="auto"/>
        <w:rPr>
          <w:b/>
          <w:bCs/>
        </w:rPr>
      </w:pPr>
    </w:p>
    <w:p w:rsidR="00EB13CE" w:rsidP="009471D3" w:rsidRDefault="267444A4" w14:paraId="7B857549" w14:textId="24B9B0B4">
      <w:pPr>
        <w:spacing w:line="276" w:lineRule="auto"/>
        <w:rPr>
          <w:b/>
          <w:bCs/>
        </w:rPr>
      </w:pPr>
      <w:r w:rsidRPr="267444A4">
        <w:rPr>
          <w:b/>
          <w:bCs/>
        </w:rPr>
        <w:lastRenderedPageBreak/>
        <w:t>Bronnen</w:t>
      </w:r>
    </w:p>
    <w:p w:rsidRPr="0012528F" w:rsidR="00EB13CE" w:rsidP="009471D3" w:rsidRDefault="267444A4" w14:paraId="29334442" w14:textId="77777777">
      <w:pPr>
        <w:spacing w:line="276" w:lineRule="auto"/>
      </w:pPr>
      <w:r>
        <w:t>1) NOS, 3 november 2025, (Voedselwaakhond VN: hongersnood in Sudan in Al-Fasher en Kadugli)</w:t>
      </w:r>
      <w:r w:rsidR="00EB13CE">
        <w:br/>
      </w:r>
    </w:p>
    <w:p w:rsidRPr="0012528F" w:rsidR="00EB13CE" w:rsidP="009471D3" w:rsidRDefault="267444A4" w14:paraId="2ECE5C2A" w14:textId="77777777">
      <w:pPr>
        <w:spacing w:line="276" w:lineRule="auto"/>
      </w:pPr>
      <w:r>
        <w:t>2) Trouw, 3 november 2025, (Rode Kruis: Situatie Soedan schrijnender dan ooit | Trouw)</w:t>
      </w:r>
      <w:r w:rsidR="00EB13CE">
        <w:br/>
      </w:r>
    </w:p>
    <w:p w:rsidRPr="0012528F" w:rsidR="00EB13CE" w:rsidP="009471D3" w:rsidRDefault="267444A4" w14:paraId="3DB275F9" w14:textId="77777777">
      <w:pPr>
        <w:spacing w:line="276" w:lineRule="auto"/>
        <w:rPr>
          <w:lang w:val="en-US"/>
        </w:rPr>
      </w:pPr>
      <w:r w:rsidRPr="267444A4">
        <w:rPr>
          <w:lang w:val="en-US"/>
        </w:rPr>
        <w:t>3) Human Rights Watch, 3 november 2025, (Sudan: Joint Appeal for a UN HRC special session on the situation in and around El Fasher, North Darfur | Human Rights Watch)</w:t>
      </w:r>
      <w:r w:rsidRPr="009D5E65" w:rsidR="00EB13CE">
        <w:rPr>
          <w:lang w:val="en-US"/>
        </w:rPr>
        <w:br/>
      </w:r>
    </w:p>
    <w:p w:rsidRPr="0012528F" w:rsidR="00EB13CE" w:rsidP="009471D3" w:rsidRDefault="267444A4" w14:paraId="0264AC93" w14:textId="77777777">
      <w:pPr>
        <w:spacing w:line="276" w:lineRule="auto"/>
        <w:rPr>
          <w:lang w:val="en-US"/>
        </w:rPr>
      </w:pPr>
      <w:r w:rsidRPr="267444A4">
        <w:rPr>
          <w:lang w:val="en-US"/>
        </w:rPr>
        <w:t>4) The Guardian, 3 november 2025 (Blood spilled in Sudan can be seen from space. Nobody can feign ignorance about what’s going on | Nesrine Malik | The Guardian)</w:t>
      </w:r>
      <w:r w:rsidRPr="009D5E65" w:rsidR="00EB13CE">
        <w:rPr>
          <w:lang w:val="en-US"/>
        </w:rPr>
        <w:br/>
      </w:r>
    </w:p>
    <w:p w:rsidRPr="0012528F" w:rsidR="00EB13CE" w:rsidP="009471D3" w:rsidRDefault="267444A4" w14:paraId="6B3D3215" w14:textId="77777777">
      <w:pPr>
        <w:spacing w:line="276" w:lineRule="auto"/>
      </w:pPr>
      <w:r>
        <w:t>5) RTL, 1 november 2025, (Oorlog in Soedan met Europese wapens: 'Ook Nederland moet hiervoor oppassen')</w:t>
      </w:r>
      <w:r w:rsidR="00EB13CE">
        <w:br/>
      </w:r>
    </w:p>
    <w:p w:rsidRPr="0012528F" w:rsidR="00EB13CE" w:rsidP="009471D3" w:rsidRDefault="267444A4" w14:paraId="25B72FB1" w14:textId="77777777">
      <w:pPr>
        <w:spacing w:line="276" w:lineRule="auto"/>
      </w:pPr>
      <w:r>
        <w:t>6) Wall Street Journal, 28 oktober 2025, (https://www.wsj.com/world/how-u-a-e-arms-bolstered-a-sudanese-militia-accused-of-genocide-781b9803)</w:t>
      </w:r>
      <w:r w:rsidR="00EB13CE">
        <w:br/>
      </w:r>
    </w:p>
    <w:p w:rsidRPr="0012528F" w:rsidR="00EB13CE" w:rsidP="009471D3" w:rsidRDefault="267444A4" w14:paraId="7FAD5E9B" w14:textId="77777777">
      <w:pPr>
        <w:spacing w:line="276" w:lineRule="auto"/>
      </w:pPr>
      <w:r>
        <w:t>7) Kamerstuk 21501-02, nr. 3194</w:t>
      </w:r>
      <w:r w:rsidR="00EB13CE">
        <w:br/>
      </w:r>
    </w:p>
    <w:p w:rsidRPr="0012528F" w:rsidR="00EB13CE" w:rsidP="009471D3" w:rsidRDefault="267444A4" w14:paraId="39136130" w14:textId="77777777">
      <w:pPr>
        <w:spacing w:line="276" w:lineRule="auto"/>
      </w:pPr>
      <w:r>
        <w:t>8) Kamerstuk 21501-02, nr. 3008</w:t>
      </w:r>
      <w:r w:rsidR="00EB13CE">
        <w:br/>
      </w:r>
    </w:p>
    <w:p w:rsidR="00EB13CE" w:rsidP="009471D3" w:rsidRDefault="267444A4" w14:paraId="1FD02024" w14:textId="37843219">
      <w:pPr>
        <w:spacing w:line="276" w:lineRule="auto"/>
      </w:pPr>
      <w:r>
        <w:t>9) European Commission, (EU-United Arab Emirates)</w:t>
      </w:r>
    </w:p>
    <w:sectPr w:rsidR="00EB13CE" w:rsidSect="00F55A80">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9F716" w14:textId="77777777" w:rsidR="00EB13CE" w:rsidRDefault="00EB13CE">
      <w:pPr>
        <w:spacing w:line="240" w:lineRule="auto"/>
      </w:pPr>
      <w:r>
        <w:separator/>
      </w:r>
    </w:p>
  </w:endnote>
  <w:endnote w:type="continuationSeparator" w:id="0">
    <w:p w14:paraId="44B1264E" w14:textId="77777777" w:rsidR="00EB13CE" w:rsidRDefault="00EB13CE">
      <w:pPr>
        <w:spacing w:line="240" w:lineRule="auto"/>
      </w:pPr>
      <w:r>
        <w:continuationSeparator/>
      </w:r>
    </w:p>
  </w:endnote>
  <w:endnote w:type="continuationNotice" w:id="1">
    <w:p w14:paraId="2B19F6F3" w14:textId="77777777" w:rsidR="001D4A39" w:rsidRDefault="001D4A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33DD" w14:textId="77777777" w:rsidR="00853694" w:rsidRDefault="00853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5CC0" w14:textId="77777777" w:rsidR="00853694" w:rsidRDefault="008536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CA9F" w14:textId="77777777" w:rsidR="00853694" w:rsidRDefault="00853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208B" w14:textId="77777777" w:rsidR="00EB13CE" w:rsidRDefault="00EB13CE">
      <w:pPr>
        <w:spacing w:line="240" w:lineRule="auto"/>
      </w:pPr>
      <w:r>
        <w:separator/>
      </w:r>
    </w:p>
  </w:footnote>
  <w:footnote w:type="continuationSeparator" w:id="0">
    <w:p w14:paraId="6A01AFB2" w14:textId="77777777" w:rsidR="00EB13CE" w:rsidRDefault="00EB13CE">
      <w:pPr>
        <w:spacing w:line="240" w:lineRule="auto"/>
      </w:pPr>
      <w:r>
        <w:continuationSeparator/>
      </w:r>
    </w:p>
  </w:footnote>
  <w:footnote w:type="continuationNotice" w:id="1">
    <w:p w14:paraId="666E5BC7" w14:textId="77777777" w:rsidR="001D4A39" w:rsidRDefault="001D4A39">
      <w:pPr>
        <w:spacing w:line="240" w:lineRule="auto"/>
      </w:pPr>
    </w:p>
  </w:footnote>
  <w:footnote w:id="2">
    <w:p w14:paraId="1926061D" w14:textId="380FB008" w:rsidR="00AF03B8" w:rsidRPr="009E2743" w:rsidRDefault="00AF03B8">
      <w:pPr>
        <w:pStyle w:val="FootnoteText"/>
        <w:rPr>
          <w:sz w:val="16"/>
          <w:szCs w:val="16"/>
        </w:rPr>
      </w:pPr>
      <w:r w:rsidRPr="00A6619E">
        <w:rPr>
          <w:rStyle w:val="FootnoteReference"/>
          <w:sz w:val="16"/>
          <w:szCs w:val="16"/>
        </w:rPr>
        <w:footnoteRef/>
      </w:r>
      <w:r w:rsidRPr="009E2743">
        <w:rPr>
          <w:sz w:val="16"/>
          <w:szCs w:val="16"/>
        </w:rPr>
        <w:t xml:space="preserve"> </w:t>
      </w:r>
      <w:r w:rsidR="002145C3" w:rsidRPr="009E2743">
        <w:rPr>
          <w:sz w:val="16"/>
          <w:szCs w:val="16"/>
        </w:rPr>
        <w:t>Kamerstuk 2025Z17931</w:t>
      </w:r>
    </w:p>
  </w:footnote>
  <w:footnote w:id="3">
    <w:p w14:paraId="4F753E9C" w14:textId="583112B0" w:rsidR="00AF03B8" w:rsidRPr="009E2743" w:rsidRDefault="00AF03B8">
      <w:pPr>
        <w:pStyle w:val="FootnoteText"/>
      </w:pPr>
      <w:r w:rsidRPr="00A6619E">
        <w:rPr>
          <w:rStyle w:val="FootnoteReference"/>
          <w:sz w:val="16"/>
          <w:szCs w:val="16"/>
        </w:rPr>
        <w:footnoteRef/>
      </w:r>
      <w:r w:rsidRPr="009E2743">
        <w:rPr>
          <w:sz w:val="16"/>
          <w:szCs w:val="16"/>
        </w:rPr>
        <w:t xml:space="preserve"> Kamerstuk 29237, nr. 234</w:t>
      </w:r>
    </w:p>
  </w:footnote>
  <w:footnote w:id="4">
    <w:p w14:paraId="109D2E89" w14:textId="3AF3481A" w:rsidR="0037754A" w:rsidRPr="009E2743" w:rsidRDefault="0037754A">
      <w:pPr>
        <w:pStyle w:val="FootnoteText"/>
        <w:rPr>
          <w:sz w:val="16"/>
          <w:szCs w:val="16"/>
        </w:rPr>
      </w:pPr>
      <w:r w:rsidRPr="0037754A">
        <w:rPr>
          <w:rStyle w:val="FootnoteReference"/>
          <w:sz w:val="16"/>
          <w:szCs w:val="16"/>
        </w:rPr>
        <w:footnoteRef/>
      </w:r>
      <w:r w:rsidRPr="009E2743">
        <w:rPr>
          <w:sz w:val="16"/>
          <w:szCs w:val="16"/>
        </w:rPr>
        <w:t xml:space="preserve"> Kamerstuk 29237, nr. 236</w:t>
      </w:r>
    </w:p>
  </w:footnote>
  <w:footnote w:id="5">
    <w:p w14:paraId="21951983" w14:textId="185ED93A" w:rsidR="0033179A" w:rsidRPr="008B2E26" w:rsidRDefault="0033179A">
      <w:pPr>
        <w:pStyle w:val="FootnoteText"/>
        <w:rPr>
          <w:sz w:val="16"/>
          <w:szCs w:val="16"/>
          <w:lang w:val="en-US"/>
        </w:rPr>
      </w:pPr>
      <w:r w:rsidRPr="00D11C14">
        <w:rPr>
          <w:rStyle w:val="FootnoteReference"/>
          <w:sz w:val="16"/>
          <w:szCs w:val="16"/>
        </w:rPr>
        <w:footnoteRef/>
      </w:r>
      <w:r w:rsidRPr="00D11C14">
        <w:rPr>
          <w:sz w:val="16"/>
          <w:szCs w:val="16"/>
          <w:lang w:val="en-US"/>
        </w:rPr>
        <w:t xml:space="preserve"> </w:t>
      </w:r>
      <w:hyperlink r:id="rId1" w:history="1">
        <w:r w:rsidRPr="008B2E26">
          <w:rPr>
            <w:rStyle w:val="Hyperlink"/>
            <w:sz w:val="16"/>
            <w:szCs w:val="16"/>
            <w:lang w:val="en-US"/>
          </w:rPr>
          <w:t>Joint Statement Condemning Atrocities and Violations of International Humanitarian law in Sudan - regjeringen.no</w:t>
        </w:r>
      </w:hyperlink>
    </w:p>
  </w:footnote>
  <w:footnote w:id="6">
    <w:p w14:paraId="3B8B3701" w14:textId="63F75D47" w:rsidR="2F85DD52" w:rsidRPr="00D11C14" w:rsidRDefault="2F85DD52" w:rsidP="2F85DD52">
      <w:pPr>
        <w:pStyle w:val="FootnoteText"/>
        <w:rPr>
          <w:sz w:val="16"/>
          <w:szCs w:val="16"/>
        </w:rPr>
      </w:pPr>
      <w:r w:rsidRPr="00D11C14">
        <w:rPr>
          <w:rStyle w:val="FootnoteReference"/>
          <w:sz w:val="16"/>
          <w:szCs w:val="16"/>
        </w:rPr>
        <w:footnoteRef/>
      </w:r>
      <w:r w:rsidRPr="00D11C14">
        <w:rPr>
          <w:sz w:val="16"/>
          <w:szCs w:val="16"/>
        </w:rPr>
        <w:t xml:space="preserve"> </w:t>
      </w:r>
      <w:r w:rsidRPr="00D11C14">
        <w:rPr>
          <w:rFonts w:eastAsia="Times New Roman" w:cs="Times New Roman"/>
          <w:sz w:val="16"/>
          <w:szCs w:val="16"/>
        </w:rPr>
        <w:t>Kamerstuk 29237</w:t>
      </w:r>
      <w:r w:rsidR="00B55EEB">
        <w:rPr>
          <w:rFonts w:eastAsia="Times New Roman" w:cs="Times New Roman"/>
          <w:sz w:val="16"/>
          <w:szCs w:val="16"/>
        </w:rPr>
        <w:t xml:space="preserve">, nr. </w:t>
      </w:r>
      <w:r w:rsidRPr="00D11C14">
        <w:rPr>
          <w:rFonts w:eastAsia="Times New Roman" w:cs="Times New Roman"/>
          <w:sz w:val="16"/>
          <w:szCs w:val="16"/>
        </w:rPr>
        <w:t>234</w:t>
      </w:r>
    </w:p>
  </w:footnote>
  <w:footnote w:id="7">
    <w:p w14:paraId="44C02D2B" w14:textId="4426AED0" w:rsidR="006B6193" w:rsidRPr="008B2E26" w:rsidRDefault="006B6193">
      <w:pPr>
        <w:pStyle w:val="FootnoteText"/>
        <w:rPr>
          <w:sz w:val="16"/>
          <w:szCs w:val="16"/>
        </w:rPr>
      </w:pPr>
      <w:r w:rsidRPr="008B2E26">
        <w:rPr>
          <w:rStyle w:val="FootnoteReference"/>
          <w:sz w:val="16"/>
          <w:szCs w:val="16"/>
        </w:rPr>
        <w:footnoteRef/>
      </w:r>
      <w:r w:rsidRPr="008B2E26">
        <w:rPr>
          <w:sz w:val="16"/>
          <w:szCs w:val="16"/>
        </w:rPr>
        <w:t xml:space="preserve"> </w:t>
      </w:r>
      <w:hyperlink r:id="rId2" w:history="1">
        <w:r w:rsidRPr="00F375CF">
          <w:rPr>
            <w:rStyle w:val="Hyperlink"/>
            <w:color w:val="auto"/>
            <w:sz w:val="16"/>
            <w:szCs w:val="16"/>
            <w:u w:val="none"/>
          </w:rPr>
          <w:t>Kamerstuk 22 122 nr. 4083</w:t>
        </w:r>
      </w:hyperlink>
      <w:r w:rsidRPr="00F375CF">
        <w:rPr>
          <w:sz w:val="16"/>
          <w:szCs w:val="16"/>
        </w:rPr>
        <w:t>.</w:t>
      </w:r>
      <w:r w:rsidRPr="008B2E26">
        <w:rPr>
          <w:sz w:val="16"/>
          <w:szCs w:val="16"/>
        </w:rPr>
        <w:t xml:space="preserve"> BNC-fiche: Aanbeveling onderhandelingsrichtsnoeren handelsakkoorden tussen de EU en de Raad voor Samenwerking voor Arabische Golfstaten en respectievelijke lidstaten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B119" w14:textId="77777777" w:rsidR="00853694" w:rsidRDefault="00853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BA19" w14:textId="772865C2" w:rsidR="00FE09C7" w:rsidRDefault="00EB13CE">
    <w:r>
      <w:rPr>
        <w:noProof/>
      </w:rPr>
      <mc:AlternateContent>
        <mc:Choice Requires="wps">
          <w:drawing>
            <wp:anchor distT="0" distB="0" distL="0" distR="0" simplePos="0" relativeHeight="251658240" behindDoc="0" locked="1" layoutInCell="1" allowOverlap="1" wp14:anchorId="7A13BA1D" wp14:editId="2EFD7E25">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7A13BA4C" w14:textId="77777777" w:rsidR="00FE09C7" w:rsidRDefault="00EB13CE">
                          <w:pPr>
                            <w:pStyle w:val="Referentiegegevensbold"/>
                          </w:pPr>
                          <w:r>
                            <w:t>Ministerie van Buitenlandse Zaken</w:t>
                          </w:r>
                        </w:p>
                        <w:p w14:paraId="7A13BA4D" w14:textId="77777777" w:rsidR="00FE09C7" w:rsidRDefault="00FE09C7">
                          <w:pPr>
                            <w:pStyle w:val="WitregelW2"/>
                          </w:pPr>
                        </w:p>
                        <w:p w14:paraId="7A13BA4E" w14:textId="77777777" w:rsidR="00FE09C7" w:rsidRDefault="00EB13CE">
                          <w:pPr>
                            <w:pStyle w:val="Referentiegegevensbold"/>
                          </w:pPr>
                          <w:r>
                            <w:t>Onze referentie</w:t>
                          </w:r>
                        </w:p>
                        <w:p w14:paraId="7A13BA4F" w14:textId="77777777" w:rsidR="00FE09C7" w:rsidRDefault="00EB13CE">
                          <w:pPr>
                            <w:pStyle w:val="Referentiegegevens"/>
                          </w:pPr>
                          <w:r>
                            <w:t>BZ2521965</w:t>
                          </w:r>
                        </w:p>
                      </w:txbxContent>
                    </wps:txbx>
                    <wps:bodyPr vert="horz" wrap="square" lIns="0" tIns="0" rIns="0" bIns="0" anchor="t" anchorCtr="0"/>
                  </wps:wsp>
                </a:graphicData>
              </a:graphic>
              <wp14:sizeRelH relativeFrom="margin">
                <wp14:pctWidth>0</wp14:pctWidth>
              </wp14:sizeRelH>
            </wp:anchor>
          </w:drawing>
        </mc:Choice>
        <mc:Fallback>
          <w:pict>
            <v:shapetype w14:anchorId="7A13BA1D"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7A13BA4C" w14:textId="77777777" w:rsidR="00FE09C7" w:rsidRDefault="00EB13CE">
                    <w:pPr>
                      <w:pStyle w:val="Referentiegegevensbold"/>
                    </w:pPr>
                    <w:r>
                      <w:t>Ministerie van Buitenlandse Zaken</w:t>
                    </w:r>
                  </w:p>
                  <w:p w14:paraId="7A13BA4D" w14:textId="77777777" w:rsidR="00FE09C7" w:rsidRDefault="00FE09C7">
                    <w:pPr>
                      <w:pStyle w:val="WitregelW2"/>
                    </w:pPr>
                  </w:p>
                  <w:p w14:paraId="7A13BA4E" w14:textId="77777777" w:rsidR="00FE09C7" w:rsidRDefault="00EB13CE">
                    <w:pPr>
                      <w:pStyle w:val="Referentiegegevensbold"/>
                    </w:pPr>
                    <w:r>
                      <w:t>Onze referentie</w:t>
                    </w:r>
                  </w:p>
                  <w:p w14:paraId="7A13BA4F" w14:textId="77777777" w:rsidR="00FE09C7" w:rsidRDefault="00EB13CE">
                    <w:pPr>
                      <w:pStyle w:val="Referentiegegevens"/>
                    </w:pPr>
                    <w:r>
                      <w:t>BZ2521965</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A13BA21" wp14:editId="63D4C9E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13BA51" w14:textId="378928DD" w:rsidR="00FE09C7" w:rsidRDefault="00EB13CE">
                          <w:pPr>
                            <w:pStyle w:val="Referentiegegevens"/>
                          </w:pPr>
                          <w:r>
                            <w:t xml:space="preserve">Pagina </w:t>
                          </w:r>
                          <w:r>
                            <w:fldChar w:fldCharType="begin"/>
                          </w:r>
                          <w:r>
                            <w:instrText>=</w:instrText>
                          </w:r>
                          <w:r>
                            <w:fldChar w:fldCharType="begin"/>
                          </w:r>
                          <w:r>
                            <w:instrText>PAGE</w:instrText>
                          </w:r>
                          <w:r>
                            <w:fldChar w:fldCharType="separate"/>
                          </w:r>
                          <w:r w:rsidR="00856949">
                            <w:rPr>
                              <w:noProof/>
                            </w:rPr>
                            <w:instrText>3</w:instrText>
                          </w:r>
                          <w:r>
                            <w:fldChar w:fldCharType="end"/>
                          </w:r>
                          <w:r>
                            <w:instrText>-1</w:instrText>
                          </w:r>
                          <w:r>
                            <w:fldChar w:fldCharType="separate"/>
                          </w:r>
                          <w:r w:rsidR="00856949">
                            <w:rPr>
                              <w:noProof/>
                            </w:rPr>
                            <w:t>2</w:t>
                          </w:r>
                          <w:r>
                            <w:fldChar w:fldCharType="end"/>
                          </w:r>
                          <w:r w:rsidR="00491F25">
                            <w:t xml:space="preserve"> </w:t>
                          </w:r>
                          <w:r>
                            <w:t xml:space="preserve">van </w:t>
                          </w:r>
                          <w:r>
                            <w:fldChar w:fldCharType="begin"/>
                          </w:r>
                          <w:r>
                            <w:instrText>=</w:instrText>
                          </w:r>
                          <w:r>
                            <w:fldChar w:fldCharType="begin"/>
                          </w:r>
                          <w:r>
                            <w:instrText>NUMPAGES</w:instrText>
                          </w:r>
                          <w:r>
                            <w:fldChar w:fldCharType="separate"/>
                          </w:r>
                          <w:r w:rsidR="00856949">
                            <w:rPr>
                              <w:noProof/>
                            </w:rPr>
                            <w:instrText>8</w:instrText>
                          </w:r>
                          <w:r>
                            <w:fldChar w:fldCharType="end"/>
                          </w:r>
                          <w:r>
                            <w:instrText>-1</w:instrText>
                          </w:r>
                          <w:r>
                            <w:fldChar w:fldCharType="separate"/>
                          </w:r>
                          <w:r w:rsidR="00856949">
                            <w:rPr>
                              <w:noProof/>
                            </w:rPr>
                            <w:t>7</w:t>
                          </w:r>
                          <w:r>
                            <w:fldChar w:fldCharType="end"/>
                          </w:r>
                        </w:p>
                      </w:txbxContent>
                    </wps:txbx>
                    <wps:bodyPr vert="horz" wrap="square" lIns="0" tIns="0" rIns="0" bIns="0" anchor="t" anchorCtr="0"/>
                  </wps:wsp>
                </a:graphicData>
              </a:graphic>
            </wp:anchor>
          </w:drawing>
        </mc:Choice>
        <mc:Fallback>
          <w:pict>
            <v:shape w14:anchorId="7A13BA21"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A13BA51" w14:textId="378928DD" w:rsidR="00FE09C7" w:rsidRDefault="00EB13CE">
                    <w:pPr>
                      <w:pStyle w:val="Referentiegegevens"/>
                    </w:pPr>
                    <w:r>
                      <w:t xml:space="preserve">Pagina </w:t>
                    </w:r>
                    <w:r>
                      <w:fldChar w:fldCharType="begin"/>
                    </w:r>
                    <w:r>
                      <w:instrText>=</w:instrText>
                    </w:r>
                    <w:r>
                      <w:fldChar w:fldCharType="begin"/>
                    </w:r>
                    <w:r>
                      <w:instrText>PAGE</w:instrText>
                    </w:r>
                    <w:r>
                      <w:fldChar w:fldCharType="separate"/>
                    </w:r>
                    <w:r w:rsidR="00856949">
                      <w:rPr>
                        <w:noProof/>
                      </w:rPr>
                      <w:instrText>3</w:instrText>
                    </w:r>
                    <w:r>
                      <w:fldChar w:fldCharType="end"/>
                    </w:r>
                    <w:r>
                      <w:instrText>-1</w:instrText>
                    </w:r>
                    <w:r>
                      <w:fldChar w:fldCharType="separate"/>
                    </w:r>
                    <w:r w:rsidR="00856949">
                      <w:rPr>
                        <w:noProof/>
                      </w:rPr>
                      <w:t>2</w:t>
                    </w:r>
                    <w:r>
                      <w:fldChar w:fldCharType="end"/>
                    </w:r>
                    <w:r w:rsidR="00491F25">
                      <w:t xml:space="preserve"> </w:t>
                    </w:r>
                    <w:r>
                      <w:t xml:space="preserve">van </w:t>
                    </w:r>
                    <w:r>
                      <w:fldChar w:fldCharType="begin"/>
                    </w:r>
                    <w:r>
                      <w:instrText>=</w:instrText>
                    </w:r>
                    <w:r>
                      <w:fldChar w:fldCharType="begin"/>
                    </w:r>
                    <w:r>
                      <w:instrText>NUMPAGES</w:instrText>
                    </w:r>
                    <w:r>
                      <w:fldChar w:fldCharType="separate"/>
                    </w:r>
                    <w:r w:rsidR="00856949">
                      <w:rPr>
                        <w:noProof/>
                      </w:rPr>
                      <w:instrText>8</w:instrText>
                    </w:r>
                    <w:r>
                      <w:fldChar w:fldCharType="end"/>
                    </w:r>
                    <w:r>
                      <w:instrText>-1</w:instrText>
                    </w:r>
                    <w:r>
                      <w:fldChar w:fldCharType="separate"/>
                    </w:r>
                    <w:r w:rsidR="00856949">
                      <w:rPr>
                        <w:noProof/>
                      </w:rPr>
                      <w:t>7</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BA1B" w14:textId="0B7E3322" w:rsidR="00FE09C7" w:rsidRDefault="00EB13CE">
    <w:pPr>
      <w:spacing w:after="7131" w:line="14" w:lineRule="exact"/>
    </w:pPr>
    <w:r>
      <w:rPr>
        <w:noProof/>
      </w:rPr>
      <mc:AlternateContent>
        <mc:Choice Requires="wps">
          <w:drawing>
            <wp:anchor distT="0" distB="0" distL="0" distR="0" simplePos="0" relativeHeight="251658242" behindDoc="0" locked="1" layoutInCell="1" allowOverlap="1" wp14:anchorId="7A13BA23" wp14:editId="7A13BA2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A13BA52" w14:textId="77777777" w:rsidR="00EB13CE" w:rsidRDefault="00EB13CE"/>
                      </w:txbxContent>
                    </wps:txbx>
                    <wps:bodyPr vert="horz" wrap="square" lIns="0" tIns="0" rIns="0" bIns="0" anchor="t" anchorCtr="0"/>
                  </wps:wsp>
                </a:graphicData>
              </a:graphic>
            </wp:anchor>
          </w:drawing>
        </mc:Choice>
        <mc:Fallback>
          <w:pict>
            <v:shapetype w14:anchorId="7A13BA2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A13BA52" w14:textId="77777777" w:rsidR="00EB13CE" w:rsidRDefault="00EB13CE"/>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A13BA25" wp14:editId="7A13BA2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4CD87B6" w14:textId="77777777" w:rsidR="009471D3" w:rsidRPr="00CF7C5C" w:rsidRDefault="009471D3" w:rsidP="009471D3">
                          <w:r>
                            <w:t>Aan de Voorzitter van de</w:t>
                          </w:r>
                          <w:r>
                            <w:br/>
                            <w:t>Tweede Kamer der Staten-Generaal</w:t>
                          </w:r>
                          <w:r>
                            <w:br/>
                            <w:t>Prinses Irenestraat 6</w:t>
                          </w:r>
                          <w:r>
                            <w:br/>
                            <w:t>Den Haag</w:t>
                          </w:r>
                        </w:p>
                        <w:p w14:paraId="7A13BA33" w14:textId="14F98E1C" w:rsidR="00FE09C7" w:rsidRDefault="00FE09C7">
                          <w:pPr>
                            <w:pStyle w:val="Rubricering"/>
                          </w:pPr>
                        </w:p>
                      </w:txbxContent>
                    </wps:txbx>
                    <wps:bodyPr vert="horz" wrap="square" lIns="0" tIns="0" rIns="0" bIns="0" anchor="t" anchorCtr="0"/>
                  </wps:wsp>
                </a:graphicData>
              </a:graphic>
            </wp:anchor>
          </w:drawing>
        </mc:Choice>
        <mc:Fallback>
          <w:pict>
            <v:shape w14:anchorId="7A13BA25"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4CD87B6" w14:textId="77777777" w:rsidR="009471D3" w:rsidRPr="00CF7C5C" w:rsidRDefault="009471D3" w:rsidP="009471D3">
                    <w:r>
                      <w:t>Aan de Voorzitter van de</w:t>
                    </w:r>
                    <w:r>
                      <w:br/>
                      <w:t>Tweede Kamer der Staten-Generaal</w:t>
                    </w:r>
                    <w:r>
                      <w:br/>
                      <w:t>Prinses Irenestraat 6</w:t>
                    </w:r>
                    <w:r>
                      <w:br/>
                      <w:t>Den Haag</w:t>
                    </w:r>
                  </w:p>
                  <w:p w14:paraId="7A13BA33" w14:textId="14F98E1C" w:rsidR="00FE09C7" w:rsidRDefault="00FE09C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A13BA27" wp14:editId="7A13BA2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4D37C19" w14:textId="7657FDB8" w:rsidR="009471D3" w:rsidRDefault="009471D3" w:rsidP="009471D3">
                          <w:r>
                            <w:t>Datum</w:t>
                          </w:r>
                          <w:r w:rsidR="009E2743">
                            <w:t xml:space="preserve"> 26</w:t>
                          </w:r>
                          <w:r>
                            <w:t xml:space="preserve"> november 2025</w:t>
                          </w:r>
                        </w:p>
                        <w:p w14:paraId="157CD923" w14:textId="7A6B806E" w:rsidR="009471D3" w:rsidRDefault="009471D3" w:rsidP="009471D3">
                          <w:r>
                            <w:t>Betreft</w:t>
                          </w:r>
                          <w:r w:rsidR="009E2743">
                            <w:t xml:space="preserve"> </w:t>
                          </w:r>
                          <w:r>
                            <w:t>Beantwoording vragen van het lid Teunissen (PvdD) over de situatie in Soedan</w:t>
                          </w:r>
                        </w:p>
                        <w:p w14:paraId="7A13BA3C" w14:textId="77777777" w:rsidR="00FE09C7" w:rsidRDefault="00FE09C7"/>
                      </w:txbxContent>
                    </wps:txbx>
                    <wps:bodyPr vert="horz" wrap="square" lIns="0" tIns="0" rIns="0" bIns="0" anchor="t" anchorCtr="0"/>
                  </wps:wsp>
                </a:graphicData>
              </a:graphic>
            </wp:anchor>
          </w:drawing>
        </mc:Choice>
        <mc:Fallback>
          <w:pict>
            <v:shape w14:anchorId="7A13BA27"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4D37C19" w14:textId="7657FDB8" w:rsidR="009471D3" w:rsidRDefault="009471D3" w:rsidP="009471D3">
                    <w:r>
                      <w:t>Datum</w:t>
                    </w:r>
                    <w:r w:rsidR="009E2743">
                      <w:t xml:space="preserve"> 26</w:t>
                    </w:r>
                    <w:r>
                      <w:t xml:space="preserve"> november 2025</w:t>
                    </w:r>
                  </w:p>
                  <w:p w14:paraId="157CD923" w14:textId="7A6B806E" w:rsidR="009471D3" w:rsidRDefault="009471D3" w:rsidP="009471D3">
                    <w:r>
                      <w:t>Betreft</w:t>
                    </w:r>
                    <w:r w:rsidR="009E2743">
                      <w:t xml:space="preserve"> </w:t>
                    </w:r>
                    <w:r>
                      <w:t>Beantwoording vragen van het lid Teunissen (PvdD) over de situatie in Soedan</w:t>
                    </w:r>
                  </w:p>
                  <w:p w14:paraId="7A13BA3C" w14:textId="77777777" w:rsidR="00FE09C7" w:rsidRDefault="00FE09C7"/>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A13BA29" wp14:editId="40AC9FEA">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7A13BA3D" w14:textId="77777777" w:rsidR="00FE09C7" w:rsidRDefault="00EB13CE">
                          <w:pPr>
                            <w:pStyle w:val="Referentiegegevensbold"/>
                          </w:pPr>
                          <w:r>
                            <w:t>Ministerie van Buitenlandse Zaken</w:t>
                          </w:r>
                        </w:p>
                        <w:p w14:paraId="50222C3D" w14:textId="77777777" w:rsidR="009471D3" w:rsidRPr="00EE5E5D" w:rsidRDefault="009471D3" w:rsidP="009471D3">
                          <w:pPr>
                            <w:rPr>
                              <w:sz w:val="13"/>
                              <w:szCs w:val="13"/>
                            </w:rPr>
                          </w:pPr>
                          <w:r>
                            <w:rPr>
                              <w:sz w:val="13"/>
                              <w:szCs w:val="13"/>
                            </w:rPr>
                            <w:t>Rijnstraat 8</w:t>
                          </w:r>
                        </w:p>
                        <w:p w14:paraId="4A07F0C8" w14:textId="77777777" w:rsidR="009471D3" w:rsidRPr="00AF03B8" w:rsidRDefault="009471D3" w:rsidP="009471D3">
                          <w:pPr>
                            <w:rPr>
                              <w:sz w:val="13"/>
                              <w:szCs w:val="13"/>
                              <w:lang w:val="da-DK"/>
                            </w:rPr>
                          </w:pPr>
                          <w:r w:rsidRPr="00AF03B8">
                            <w:rPr>
                              <w:sz w:val="13"/>
                              <w:szCs w:val="13"/>
                              <w:lang w:val="da-DK"/>
                            </w:rPr>
                            <w:t>2515 XP Den Haag</w:t>
                          </w:r>
                        </w:p>
                        <w:p w14:paraId="2DAD1395" w14:textId="77777777" w:rsidR="009471D3" w:rsidRPr="00AF03B8" w:rsidRDefault="009471D3" w:rsidP="009471D3">
                          <w:pPr>
                            <w:rPr>
                              <w:sz w:val="13"/>
                              <w:szCs w:val="13"/>
                              <w:lang w:val="da-DK"/>
                            </w:rPr>
                          </w:pPr>
                          <w:r w:rsidRPr="00AF03B8">
                            <w:rPr>
                              <w:sz w:val="13"/>
                              <w:szCs w:val="13"/>
                              <w:lang w:val="da-DK"/>
                            </w:rPr>
                            <w:t>Postbus 20061</w:t>
                          </w:r>
                        </w:p>
                        <w:p w14:paraId="7A13BA3F" w14:textId="06665BBB" w:rsidR="00FE09C7" w:rsidRDefault="009471D3" w:rsidP="009471D3">
                          <w:pPr>
                            <w:rPr>
                              <w:sz w:val="13"/>
                              <w:szCs w:val="13"/>
                              <w:lang w:val="da-DK"/>
                            </w:rPr>
                          </w:pPr>
                          <w:r w:rsidRPr="0059764A">
                            <w:rPr>
                              <w:sz w:val="13"/>
                              <w:szCs w:val="13"/>
                              <w:lang w:val="da-DK"/>
                            </w:rPr>
                            <w:t>Nederland</w:t>
                          </w:r>
                        </w:p>
                        <w:p w14:paraId="4FFB466D" w14:textId="77777777" w:rsidR="009471D3" w:rsidRPr="009471D3" w:rsidRDefault="009471D3" w:rsidP="009471D3">
                          <w:pPr>
                            <w:rPr>
                              <w:sz w:val="13"/>
                              <w:szCs w:val="13"/>
                              <w:lang w:val="da-DK"/>
                            </w:rPr>
                          </w:pPr>
                        </w:p>
                        <w:p w14:paraId="7A13BA40" w14:textId="77777777" w:rsidR="00FE09C7" w:rsidRPr="00AF03B8" w:rsidRDefault="00EB13CE">
                          <w:pPr>
                            <w:pStyle w:val="Referentiegegevens"/>
                            <w:rPr>
                              <w:lang w:val="da-DK"/>
                            </w:rPr>
                          </w:pPr>
                          <w:r w:rsidRPr="00AF03B8">
                            <w:rPr>
                              <w:lang w:val="da-DK"/>
                            </w:rPr>
                            <w:t>www.minbuza.nl</w:t>
                          </w:r>
                        </w:p>
                        <w:p w14:paraId="7A13BA41" w14:textId="77777777" w:rsidR="00FE09C7" w:rsidRPr="00AF03B8" w:rsidRDefault="00FE09C7">
                          <w:pPr>
                            <w:pStyle w:val="WitregelW2"/>
                            <w:rPr>
                              <w:lang w:val="da-DK"/>
                            </w:rPr>
                          </w:pPr>
                        </w:p>
                        <w:p w14:paraId="7A13BA42" w14:textId="77777777" w:rsidR="00FE09C7" w:rsidRDefault="00EB13CE">
                          <w:pPr>
                            <w:pStyle w:val="Referentiegegevensbold"/>
                          </w:pPr>
                          <w:r>
                            <w:t>Onze referentie</w:t>
                          </w:r>
                        </w:p>
                        <w:p w14:paraId="7A13BA43" w14:textId="77777777" w:rsidR="00FE09C7" w:rsidRDefault="00EB13CE">
                          <w:pPr>
                            <w:pStyle w:val="Referentiegegevens"/>
                          </w:pPr>
                          <w:r>
                            <w:t>BZ2521965</w:t>
                          </w:r>
                        </w:p>
                        <w:p w14:paraId="7A13BA44" w14:textId="77777777" w:rsidR="00FE09C7" w:rsidRDefault="00FE09C7">
                          <w:pPr>
                            <w:pStyle w:val="WitregelW1"/>
                          </w:pPr>
                        </w:p>
                        <w:p w14:paraId="7A13BA45" w14:textId="77777777" w:rsidR="00FE09C7" w:rsidRDefault="00EB13CE">
                          <w:pPr>
                            <w:pStyle w:val="Referentiegegevensbold"/>
                          </w:pPr>
                          <w:r>
                            <w:t>Uw referentie</w:t>
                          </w:r>
                        </w:p>
                        <w:p w14:paraId="7A13BA46" w14:textId="77777777" w:rsidR="00FE09C7" w:rsidRDefault="00EB13CE">
                          <w:pPr>
                            <w:pStyle w:val="Referentiegegevens"/>
                          </w:pPr>
                          <w:r>
                            <w:t>2025Z19478</w:t>
                          </w:r>
                        </w:p>
                        <w:p w14:paraId="7A13BA47" w14:textId="77777777" w:rsidR="00FE09C7" w:rsidRDefault="00FE09C7">
                          <w:pPr>
                            <w:pStyle w:val="WitregelW1"/>
                          </w:pPr>
                        </w:p>
                        <w:p w14:paraId="7A13BA48" w14:textId="77777777" w:rsidR="00FE09C7" w:rsidRDefault="00EB13CE">
                          <w:pPr>
                            <w:pStyle w:val="Referentiegegevensbold"/>
                          </w:pPr>
                          <w:r>
                            <w:t>Bijlage(n)</w:t>
                          </w:r>
                        </w:p>
                        <w:p w14:paraId="7A13BA49" w14:textId="77777777" w:rsidR="00FE09C7" w:rsidRDefault="00EB13CE">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A13BA29" id="41b10cd4-80a4-11ea-b356-6230a4311406" o:spid="_x0000_s1031" type="#_x0000_t202" style="position:absolute;margin-left:466.5pt;margin-top:155pt;width:108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" filled="f" stroked="f">
              <v:textbox inset="0,0,0,0">
                <w:txbxContent>
                  <w:p w14:paraId="7A13BA3D" w14:textId="77777777" w:rsidR="00FE09C7" w:rsidRDefault="00EB13CE">
                    <w:pPr>
                      <w:pStyle w:val="Referentiegegevensbold"/>
                    </w:pPr>
                    <w:r>
                      <w:t>Ministerie van Buitenlandse Zaken</w:t>
                    </w:r>
                  </w:p>
                  <w:p w14:paraId="50222C3D" w14:textId="77777777" w:rsidR="009471D3" w:rsidRPr="00EE5E5D" w:rsidRDefault="009471D3" w:rsidP="009471D3">
                    <w:pPr>
                      <w:rPr>
                        <w:sz w:val="13"/>
                        <w:szCs w:val="13"/>
                      </w:rPr>
                    </w:pPr>
                    <w:r>
                      <w:rPr>
                        <w:sz w:val="13"/>
                        <w:szCs w:val="13"/>
                      </w:rPr>
                      <w:t>Rijnstraat 8</w:t>
                    </w:r>
                  </w:p>
                  <w:p w14:paraId="4A07F0C8" w14:textId="77777777" w:rsidR="009471D3" w:rsidRPr="00AF03B8" w:rsidRDefault="009471D3" w:rsidP="009471D3">
                    <w:pPr>
                      <w:rPr>
                        <w:sz w:val="13"/>
                        <w:szCs w:val="13"/>
                        <w:lang w:val="da-DK"/>
                      </w:rPr>
                    </w:pPr>
                    <w:r w:rsidRPr="00AF03B8">
                      <w:rPr>
                        <w:sz w:val="13"/>
                        <w:szCs w:val="13"/>
                        <w:lang w:val="da-DK"/>
                      </w:rPr>
                      <w:t>2515 XP Den Haag</w:t>
                    </w:r>
                  </w:p>
                  <w:p w14:paraId="2DAD1395" w14:textId="77777777" w:rsidR="009471D3" w:rsidRPr="00AF03B8" w:rsidRDefault="009471D3" w:rsidP="009471D3">
                    <w:pPr>
                      <w:rPr>
                        <w:sz w:val="13"/>
                        <w:szCs w:val="13"/>
                        <w:lang w:val="da-DK"/>
                      </w:rPr>
                    </w:pPr>
                    <w:r w:rsidRPr="00AF03B8">
                      <w:rPr>
                        <w:sz w:val="13"/>
                        <w:szCs w:val="13"/>
                        <w:lang w:val="da-DK"/>
                      </w:rPr>
                      <w:t>Postbus 20061</w:t>
                    </w:r>
                  </w:p>
                  <w:p w14:paraId="7A13BA3F" w14:textId="06665BBB" w:rsidR="00FE09C7" w:rsidRDefault="009471D3" w:rsidP="009471D3">
                    <w:pPr>
                      <w:rPr>
                        <w:sz w:val="13"/>
                        <w:szCs w:val="13"/>
                        <w:lang w:val="da-DK"/>
                      </w:rPr>
                    </w:pPr>
                    <w:r w:rsidRPr="0059764A">
                      <w:rPr>
                        <w:sz w:val="13"/>
                        <w:szCs w:val="13"/>
                        <w:lang w:val="da-DK"/>
                      </w:rPr>
                      <w:t>Nederland</w:t>
                    </w:r>
                  </w:p>
                  <w:p w14:paraId="4FFB466D" w14:textId="77777777" w:rsidR="009471D3" w:rsidRPr="009471D3" w:rsidRDefault="009471D3" w:rsidP="009471D3">
                    <w:pPr>
                      <w:rPr>
                        <w:sz w:val="13"/>
                        <w:szCs w:val="13"/>
                        <w:lang w:val="da-DK"/>
                      </w:rPr>
                    </w:pPr>
                  </w:p>
                  <w:p w14:paraId="7A13BA40" w14:textId="77777777" w:rsidR="00FE09C7" w:rsidRPr="00AF03B8" w:rsidRDefault="00EB13CE">
                    <w:pPr>
                      <w:pStyle w:val="Referentiegegevens"/>
                      <w:rPr>
                        <w:lang w:val="da-DK"/>
                      </w:rPr>
                    </w:pPr>
                    <w:r w:rsidRPr="00AF03B8">
                      <w:rPr>
                        <w:lang w:val="da-DK"/>
                      </w:rPr>
                      <w:t>www.minbuza.nl</w:t>
                    </w:r>
                  </w:p>
                  <w:p w14:paraId="7A13BA41" w14:textId="77777777" w:rsidR="00FE09C7" w:rsidRPr="00AF03B8" w:rsidRDefault="00FE09C7">
                    <w:pPr>
                      <w:pStyle w:val="WitregelW2"/>
                      <w:rPr>
                        <w:lang w:val="da-DK"/>
                      </w:rPr>
                    </w:pPr>
                  </w:p>
                  <w:p w14:paraId="7A13BA42" w14:textId="77777777" w:rsidR="00FE09C7" w:rsidRDefault="00EB13CE">
                    <w:pPr>
                      <w:pStyle w:val="Referentiegegevensbold"/>
                    </w:pPr>
                    <w:r>
                      <w:t>Onze referentie</w:t>
                    </w:r>
                  </w:p>
                  <w:p w14:paraId="7A13BA43" w14:textId="77777777" w:rsidR="00FE09C7" w:rsidRDefault="00EB13CE">
                    <w:pPr>
                      <w:pStyle w:val="Referentiegegevens"/>
                    </w:pPr>
                    <w:r>
                      <w:t>BZ2521965</w:t>
                    </w:r>
                  </w:p>
                  <w:p w14:paraId="7A13BA44" w14:textId="77777777" w:rsidR="00FE09C7" w:rsidRDefault="00FE09C7">
                    <w:pPr>
                      <w:pStyle w:val="WitregelW1"/>
                    </w:pPr>
                  </w:p>
                  <w:p w14:paraId="7A13BA45" w14:textId="77777777" w:rsidR="00FE09C7" w:rsidRDefault="00EB13CE">
                    <w:pPr>
                      <w:pStyle w:val="Referentiegegevensbold"/>
                    </w:pPr>
                    <w:r>
                      <w:t>Uw referentie</w:t>
                    </w:r>
                  </w:p>
                  <w:p w14:paraId="7A13BA46" w14:textId="77777777" w:rsidR="00FE09C7" w:rsidRDefault="00EB13CE">
                    <w:pPr>
                      <w:pStyle w:val="Referentiegegevens"/>
                    </w:pPr>
                    <w:r>
                      <w:t>2025Z19478</w:t>
                    </w:r>
                  </w:p>
                  <w:p w14:paraId="7A13BA47" w14:textId="77777777" w:rsidR="00FE09C7" w:rsidRDefault="00FE09C7">
                    <w:pPr>
                      <w:pStyle w:val="WitregelW1"/>
                    </w:pPr>
                  </w:p>
                  <w:p w14:paraId="7A13BA48" w14:textId="77777777" w:rsidR="00FE09C7" w:rsidRDefault="00EB13CE">
                    <w:pPr>
                      <w:pStyle w:val="Referentiegegevensbold"/>
                    </w:pPr>
                    <w:r>
                      <w:t>Bijlage(n)</w:t>
                    </w:r>
                  </w:p>
                  <w:p w14:paraId="7A13BA49" w14:textId="77777777" w:rsidR="00FE09C7" w:rsidRDefault="00EB13C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A13BA2D" wp14:editId="037C548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13BA58" w14:textId="77777777" w:rsidR="00EB13CE" w:rsidRDefault="00EB13CE"/>
                      </w:txbxContent>
                    </wps:txbx>
                    <wps:bodyPr vert="horz" wrap="square" lIns="0" tIns="0" rIns="0" bIns="0" anchor="t" anchorCtr="0"/>
                  </wps:wsp>
                </a:graphicData>
              </a:graphic>
            </wp:anchor>
          </w:drawing>
        </mc:Choice>
        <mc:Fallback>
          <w:pict>
            <v:shape w14:anchorId="7A13BA2D"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A13BA58" w14:textId="77777777" w:rsidR="00EB13CE" w:rsidRDefault="00EB13CE"/>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A13BA2F" wp14:editId="7A13BA3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13BA5A" w14:textId="77777777" w:rsidR="00EB13CE" w:rsidRDefault="00EB13CE"/>
                      </w:txbxContent>
                    </wps:txbx>
                    <wps:bodyPr vert="horz" wrap="square" lIns="0" tIns="0" rIns="0" bIns="0" anchor="t" anchorCtr="0"/>
                  </wps:wsp>
                </a:graphicData>
              </a:graphic>
            </wp:anchor>
          </w:drawing>
        </mc:Choice>
        <mc:Fallback>
          <w:pict>
            <v:shape w14:anchorId="7A13BA2F"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A13BA5A" w14:textId="77777777" w:rsidR="00EB13CE" w:rsidRDefault="00EB13CE"/>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A13BA31" wp14:editId="7A13BA3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13BA4B" w14:textId="0427D2D5" w:rsidR="00FE09C7" w:rsidRDefault="00EB13CE">
                          <w:pPr>
                            <w:spacing w:line="240" w:lineRule="auto"/>
                          </w:pPr>
                          <w:r>
                            <w:rPr>
                              <w:noProof/>
                            </w:rPr>
                            <w:drawing>
                              <wp:inline distT="0" distB="0" distL="0" distR="0" wp14:anchorId="6FC8B5C4" wp14:editId="7A13BA5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13BA31"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A13BA4B" w14:textId="0427D2D5" w:rsidR="00FE09C7" w:rsidRDefault="00EB13CE">
                    <w:pPr>
                      <w:spacing w:line="240" w:lineRule="auto"/>
                    </w:pPr>
                    <w:r>
                      <w:rPr>
                        <w:noProof/>
                      </w:rPr>
                      <w:drawing>
                        <wp:inline distT="0" distB="0" distL="0" distR="0" wp14:anchorId="6FC8B5C4" wp14:editId="7A13BA5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13AEE1"/>
    <w:multiLevelType w:val="multilevel"/>
    <w:tmpl w:val="A419B9A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4BBE3C"/>
    <w:multiLevelType w:val="multilevel"/>
    <w:tmpl w:val="B846097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985244B"/>
    <w:multiLevelType w:val="multilevel"/>
    <w:tmpl w:val="3C0477A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D521C59"/>
    <w:multiLevelType w:val="multilevel"/>
    <w:tmpl w:val="DF4E8A7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2752EBF"/>
    <w:multiLevelType w:val="multilevel"/>
    <w:tmpl w:val="38C2CF7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61491570">
    <w:abstractNumId w:val="3"/>
  </w:num>
  <w:num w:numId="2" w16cid:durableId="844711760">
    <w:abstractNumId w:val="1"/>
  </w:num>
  <w:num w:numId="3" w16cid:durableId="846989017">
    <w:abstractNumId w:val="4"/>
  </w:num>
  <w:num w:numId="4" w16cid:durableId="1192187286">
    <w:abstractNumId w:val="2"/>
  </w:num>
  <w:num w:numId="5" w16cid:durableId="115345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9C7"/>
    <w:rsid w:val="00014DB3"/>
    <w:rsid w:val="0002371D"/>
    <w:rsid w:val="00025C2E"/>
    <w:rsid w:val="00036D00"/>
    <w:rsid w:val="00037973"/>
    <w:rsid w:val="000410AB"/>
    <w:rsid w:val="00054E27"/>
    <w:rsid w:val="00070C4B"/>
    <w:rsid w:val="000732B7"/>
    <w:rsid w:val="00077A55"/>
    <w:rsid w:val="00077D97"/>
    <w:rsid w:val="00083016"/>
    <w:rsid w:val="0008348F"/>
    <w:rsid w:val="00090A57"/>
    <w:rsid w:val="00093DBB"/>
    <w:rsid w:val="00094E8D"/>
    <w:rsid w:val="000A4D7C"/>
    <w:rsid w:val="000B7D51"/>
    <w:rsid w:val="000C1040"/>
    <w:rsid w:val="000D6421"/>
    <w:rsid w:val="000E0987"/>
    <w:rsid w:val="000E1558"/>
    <w:rsid w:val="000E70E4"/>
    <w:rsid w:val="000E72DE"/>
    <w:rsid w:val="00100C3F"/>
    <w:rsid w:val="00111D86"/>
    <w:rsid w:val="00126956"/>
    <w:rsid w:val="0014036A"/>
    <w:rsid w:val="00141620"/>
    <w:rsid w:val="001422F6"/>
    <w:rsid w:val="00150F11"/>
    <w:rsid w:val="00152BA8"/>
    <w:rsid w:val="0016234B"/>
    <w:rsid w:val="00162648"/>
    <w:rsid w:val="001672F0"/>
    <w:rsid w:val="00171248"/>
    <w:rsid w:val="00174CA5"/>
    <w:rsid w:val="00176096"/>
    <w:rsid w:val="00177945"/>
    <w:rsid w:val="0018538A"/>
    <w:rsid w:val="00193162"/>
    <w:rsid w:val="00194658"/>
    <w:rsid w:val="00196268"/>
    <w:rsid w:val="00196744"/>
    <w:rsid w:val="001A131B"/>
    <w:rsid w:val="001A41B6"/>
    <w:rsid w:val="001A459D"/>
    <w:rsid w:val="001C2B02"/>
    <w:rsid w:val="001D10FA"/>
    <w:rsid w:val="001D4A39"/>
    <w:rsid w:val="001D751E"/>
    <w:rsid w:val="001E12FC"/>
    <w:rsid w:val="001E1CE0"/>
    <w:rsid w:val="001E63FA"/>
    <w:rsid w:val="001F7AE2"/>
    <w:rsid w:val="00205E31"/>
    <w:rsid w:val="002115BC"/>
    <w:rsid w:val="002145C1"/>
    <w:rsid w:val="002145C3"/>
    <w:rsid w:val="0023234D"/>
    <w:rsid w:val="00235A44"/>
    <w:rsid w:val="002376A8"/>
    <w:rsid w:val="0026129A"/>
    <w:rsid w:val="00271D41"/>
    <w:rsid w:val="00275F08"/>
    <w:rsid w:val="00285405"/>
    <w:rsid w:val="0029466D"/>
    <w:rsid w:val="002949F0"/>
    <w:rsid w:val="002D5FAA"/>
    <w:rsid w:val="002D6D71"/>
    <w:rsid w:val="002E3E28"/>
    <w:rsid w:val="002F1ACE"/>
    <w:rsid w:val="00305754"/>
    <w:rsid w:val="00305D20"/>
    <w:rsid w:val="00316297"/>
    <w:rsid w:val="00317935"/>
    <w:rsid w:val="00322358"/>
    <w:rsid w:val="0033179A"/>
    <w:rsid w:val="00332290"/>
    <w:rsid w:val="00337093"/>
    <w:rsid w:val="00355118"/>
    <w:rsid w:val="003609B8"/>
    <w:rsid w:val="00362D3F"/>
    <w:rsid w:val="0036752B"/>
    <w:rsid w:val="003725A9"/>
    <w:rsid w:val="00372DBE"/>
    <w:rsid w:val="0037754A"/>
    <w:rsid w:val="00377C41"/>
    <w:rsid w:val="00380527"/>
    <w:rsid w:val="00392BF9"/>
    <w:rsid w:val="003A0E9E"/>
    <w:rsid w:val="003A56F7"/>
    <w:rsid w:val="003A5F9A"/>
    <w:rsid w:val="003B1B6F"/>
    <w:rsid w:val="003B5A14"/>
    <w:rsid w:val="003E36AC"/>
    <w:rsid w:val="003F73F2"/>
    <w:rsid w:val="00402E2A"/>
    <w:rsid w:val="004071A3"/>
    <w:rsid w:val="004106A3"/>
    <w:rsid w:val="00412B6B"/>
    <w:rsid w:val="00426AA5"/>
    <w:rsid w:val="00435F0F"/>
    <w:rsid w:val="004502B7"/>
    <w:rsid w:val="004518E9"/>
    <w:rsid w:val="00463931"/>
    <w:rsid w:val="004709EC"/>
    <w:rsid w:val="00472A39"/>
    <w:rsid w:val="00491F25"/>
    <w:rsid w:val="00492433"/>
    <w:rsid w:val="004A21D8"/>
    <w:rsid w:val="004A3BC1"/>
    <w:rsid w:val="004B51EF"/>
    <w:rsid w:val="004D3636"/>
    <w:rsid w:val="004D4C5E"/>
    <w:rsid w:val="004D5AD5"/>
    <w:rsid w:val="004E347D"/>
    <w:rsid w:val="00502ED7"/>
    <w:rsid w:val="00504624"/>
    <w:rsid w:val="005149B3"/>
    <w:rsid w:val="00516424"/>
    <w:rsid w:val="00521956"/>
    <w:rsid w:val="005372E3"/>
    <w:rsid w:val="00540754"/>
    <w:rsid w:val="00543A27"/>
    <w:rsid w:val="005444DA"/>
    <w:rsid w:val="00564388"/>
    <w:rsid w:val="0058401B"/>
    <w:rsid w:val="00584854"/>
    <w:rsid w:val="00592D6E"/>
    <w:rsid w:val="005A466F"/>
    <w:rsid w:val="005B5C7C"/>
    <w:rsid w:val="005C6540"/>
    <w:rsid w:val="005D55DF"/>
    <w:rsid w:val="005E48DB"/>
    <w:rsid w:val="005F56DB"/>
    <w:rsid w:val="00606E87"/>
    <w:rsid w:val="00630440"/>
    <w:rsid w:val="00631154"/>
    <w:rsid w:val="0064241E"/>
    <w:rsid w:val="00642F76"/>
    <w:rsid w:val="00646A74"/>
    <w:rsid w:val="006740E2"/>
    <w:rsid w:val="00680103"/>
    <w:rsid w:val="00687D3B"/>
    <w:rsid w:val="00691254"/>
    <w:rsid w:val="00695BE1"/>
    <w:rsid w:val="00697698"/>
    <w:rsid w:val="006B0A00"/>
    <w:rsid w:val="006B6193"/>
    <w:rsid w:val="006B68ED"/>
    <w:rsid w:val="006C54BB"/>
    <w:rsid w:val="006D539D"/>
    <w:rsid w:val="006E0632"/>
    <w:rsid w:val="006E32D6"/>
    <w:rsid w:val="006F5F93"/>
    <w:rsid w:val="006F628E"/>
    <w:rsid w:val="00707911"/>
    <w:rsid w:val="007179BA"/>
    <w:rsid w:val="007205AF"/>
    <w:rsid w:val="007205D3"/>
    <w:rsid w:val="00726B0B"/>
    <w:rsid w:val="007278DC"/>
    <w:rsid w:val="00727A52"/>
    <w:rsid w:val="0073005D"/>
    <w:rsid w:val="007315FC"/>
    <w:rsid w:val="00736187"/>
    <w:rsid w:val="0073776B"/>
    <w:rsid w:val="00740072"/>
    <w:rsid w:val="0074523F"/>
    <w:rsid w:val="0076335A"/>
    <w:rsid w:val="00763387"/>
    <w:rsid w:val="00775804"/>
    <w:rsid w:val="00782952"/>
    <w:rsid w:val="00792667"/>
    <w:rsid w:val="00796955"/>
    <w:rsid w:val="007D39CD"/>
    <w:rsid w:val="007D7FA2"/>
    <w:rsid w:val="007E1DC9"/>
    <w:rsid w:val="007E7F0E"/>
    <w:rsid w:val="007F10CF"/>
    <w:rsid w:val="007F5ED0"/>
    <w:rsid w:val="00812F33"/>
    <w:rsid w:val="00814C0F"/>
    <w:rsid w:val="00820C8C"/>
    <w:rsid w:val="008217E9"/>
    <w:rsid w:val="0082551E"/>
    <w:rsid w:val="00834541"/>
    <w:rsid w:val="0084011A"/>
    <w:rsid w:val="00843D29"/>
    <w:rsid w:val="00851C4E"/>
    <w:rsid w:val="00853694"/>
    <w:rsid w:val="00855361"/>
    <w:rsid w:val="00856949"/>
    <w:rsid w:val="008625FC"/>
    <w:rsid w:val="00875467"/>
    <w:rsid w:val="00881C58"/>
    <w:rsid w:val="008822F1"/>
    <w:rsid w:val="00885C4B"/>
    <w:rsid w:val="008A2497"/>
    <w:rsid w:val="008B08D1"/>
    <w:rsid w:val="008B2E26"/>
    <w:rsid w:val="008C2BFF"/>
    <w:rsid w:val="008C4EDD"/>
    <w:rsid w:val="008E044A"/>
    <w:rsid w:val="008E278D"/>
    <w:rsid w:val="008E35BA"/>
    <w:rsid w:val="008E757C"/>
    <w:rsid w:val="008F6DAF"/>
    <w:rsid w:val="008F6EFA"/>
    <w:rsid w:val="009010D6"/>
    <w:rsid w:val="00902BCF"/>
    <w:rsid w:val="00904BAA"/>
    <w:rsid w:val="00914238"/>
    <w:rsid w:val="00940401"/>
    <w:rsid w:val="00946599"/>
    <w:rsid w:val="009471D3"/>
    <w:rsid w:val="0095238A"/>
    <w:rsid w:val="00957965"/>
    <w:rsid w:val="00962E79"/>
    <w:rsid w:val="00980DC5"/>
    <w:rsid w:val="009812C1"/>
    <w:rsid w:val="00995736"/>
    <w:rsid w:val="009D5E65"/>
    <w:rsid w:val="009E0589"/>
    <w:rsid w:val="009E2743"/>
    <w:rsid w:val="009E302A"/>
    <w:rsid w:val="009F39A1"/>
    <w:rsid w:val="009F76FE"/>
    <w:rsid w:val="00A02656"/>
    <w:rsid w:val="00A123C4"/>
    <w:rsid w:val="00A27277"/>
    <w:rsid w:val="00A378CD"/>
    <w:rsid w:val="00A4348C"/>
    <w:rsid w:val="00A52BC8"/>
    <w:rsid w:val="00A52CDC"/>
    <w:rsid w:val="00A534D6"/>
    <w:rsid w:val="00A56878"/>
    <w:rsid w:val="00A573ED"/>
    <w:rsid w:val="00A57821"/>
    <w:rsid w:val="00A62A37"/>
    <w:rsid w:val="00A6619E"/>
    <w:rsid w:val="00A753E8"/>
    <w:rsid w:val="00A77A1B"/>
    <w:rsid w:val="00A85824"/>
    <w:rsid w:val="00A872F4"/>
    <w:rsid w:val="00A911FD"/>
    <w:rsid w:val="00AA39D5"/>
    <w:rsid w:val="00AB1CE3"/>
    <w:rsid w:val="00AC70DE"/>
    <w:rsid w:val="00AD1FF4"/>
    <w:rsid w:val="00AD2FFA"/>
    <w:rsid w:val="00AD5132"/>
    <w:rsid w:val="00AD585C"/>
    <w:rsid w:val="00AD7565"/>
    <w:rsid w:val="00AF03B8"/>
    <w:rsid w:val="00AF4FF0"/>
    <w:rsid w:val="00B01D0C"/>
    <w:rsid w:val="00B0635B"/>
    <w:rsid w:val="00B13875"/>
    <w:rsid w:val="00B22409"/>
    <w:rsid w:val="00B277FB"/>
    <w:rsid w:val="00B36B18"/>
    <w:rsid w:val="00B36B60"/>
    <w:rsid w:val="00B376F3"/>
    <w:rsid w:val="00B40259"/>
    <w:rsid w:val="00B43350"/>
    <w:rsid w:val="00B45817"/>
    <w:rsid w:val="00B53963"/>
    <w:rsid w:val="00B54112"/>
    <w:rsid w:val="00B551B2"/>
    <w:rsid w:val="00B5531D"/>
    <w:rsid w:val="00B55EEB"/>
    <w:rsid w:val="00B55FCA"/>
    <w:rsid w:val="00B56C10"/>
    <w:rsid w:val="00B57CED"/>
    <w:rsid w:val="00B63FF7"/>
    <w:rsid w:val="00B70EF8"/>
    <w:rsid w:val="00B728C3"/>
    <w:rsid w:val="00B87F3B"/>
    <w:rsid w:val="00B87F8A"/>
    <w:rsid w:val="00B97987"/>
    <w:rsid w:val="00BA2FB7"/>
    <w:rsid w:val="00BA3071"/>
    <w:rsid w:val="00BB34CA"/>
    <w:rsid w:val="00BC2086"/>
    <w:rsid w:val="00BD70AB"/>
    <w:rsid w:val="00BE60FB"/>
    <w:rsid w:val="00C008B3"/>
    <w:rsid w:val="00C13AA9"/>
    <w:rsid w:val="00C170B8"/>
    <w:rsid w:val="00C20CC7"/>
    <w:rsid w:val="00C24CE6"/>
    <w:rsid w:val="00C36DCD"/>
    <w:rsid w:val="00C40D78"/>
    <w:rsid w:val="00C415E6"/>
    <w:rsid w:val="00C4579B"/>
    <w:rsid w:val="00C61DD1"/>
    <w:rsid w:val="00C61F28"/>
    <w:rsid w:val="00C62C9B"/>
    <w:rsid w:val="00C65E81"/>
    <w:rsid w:val="00C82D25"/>
    <w:rsid w:val="00C837A4"/>
    <w:rsid w:val="00C877CE"/>
    <w:rsid w:val="00C9501F"/>
    <w:rsid w:val="00C9638D"/>
    <w:rsid w:val="00CA524D"/>
    <w:rsid w:val="00CA69A0"/>
    <w:rsid w:val="00CA75B3"/>
    <w:rsid w:val="00CB0AA7"/>
    <w:rsid w:val="00CB5693"/>
    <w:rsid w:val="00CB725B"/>
    <w:rsid w:val="00CE5FFD"/>
    <w:rsid w:val="00CF0DBB"/>
    <w:rsid w:val="00D04DEF"/>
    <w:rsid w:val="00D11C14"/>
    <w:rsid w:val="00D17E94"/>
    <w:rsid w:val="00D2037B"/>
    <w:rsid w:val="00D275A8"/>
    <w:rsid w:val="00D27ECD"/>
    <w:rsid w:val="00D30A5A"/>
    <w:rsid w:val="00D51A47"/>
    <w:rsid w:val="00D52B0A"/>
    <w:rsid w:val="00D612A1"/>
    <w:rsid w:val="00D67E90"/>
    <w:rsid w:val="00D758E6"/>
    <w:rsid w:val="00D83DDD"/>
    <w:rsid w:val="00D84B88"/>
    <w:rsid w:val="00DA109E"/>
    <w:rsid w:val="00DA6848"/>
    <w:rsid w:val="00DA6DB3"/>
    <w:rsid w:val="00DB52D7"/>
    <w:rsid w:val="00DB6667"/>
    <w:rsid w:val="00DC3980"/>
    <w:rsid w:val="00DC60D4"/>
    <w:rsid w:val="00DE6CF3"/>
    <w:rsid w:val="00E25D1E"/>
    <w:rsid w:val="00E2782E"/>
    <w:rsid w:val="00E32A23"/>
    <w:rsid w:val="00E56D51"/>
    <w:rsid w:val="00E70892"/>
    <w:rsid w:val="00E74724"/>
    <w:rsid w:val="00E82DFA"/>
    <w:rsid w:val="00EA2A8B"/>
    <w:rsid w:val="00EA2FA8"/>
    <w:rsid w:val="00EA3497"/>
    <w:rsid w:val="00EA44C3"/>
    <w:rsid w:val="00EB13CE"/>
    <w:rsid w:val="00EB5567"/>
    <w:rsid w:val="00EB6686"/>
    <w:rsid w:val="00ED1148"/>
    <w:rsid w:val="00ED5006"/>
    <w:rsid w:val="00EE455C"/>
    <w:rsid w:val="00F009A2"/>
    <w:rsid w:val="00F10E14"/>
    <w:rsid w:val="00F25030"/>
    <w:rsid w:val="00F375CF"/>
    <w:rsid w:val="00F438BE"/>
    <w:rsid w:val="00F46BA1"/>
    <w:rsid w:val="00F47513"/>
    <w:rsid w:val="00F5304F"/>
    <w:rsid w:val="00F55A00"/>
    <w:rsid w:val="00F55A80"/>
    <w:rsid w:val="00F61E71"/>
    <w:rsid w:val="00F6383D"/>
    <w:rsid w:val="00F70310"/>
    <w:rsid w:val="00F740EB"/>
    <w:rsid w:val="00F76A60"/>
    <w:rsid w:val="00F7754C"/>
    <w:rsid w:val="00F82E77"/>
    <w:rsid w:val="00F85BC3"/>
    <w:rsid w:val="00F96CFA"/>
    <w:rsid w:val="00FC3E8B"/>
    <w:rsid w:val="00FC4A10"/>
    <w:rsid w:val="00FC606C"/>
    <w:rsid w:val="00FE09C7"/>
    <w:rsid w:val="00FE2E58"/>
    <w:rsid w:val="00FF464A"/>
    <w:rsid w:val="267444A4"/>
    <w:rsid w:val="2F85DD5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A13B9F1"/>
  <w15:docId w15:val="{09360282-9BF2-4C21-8B24-551D10EE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semiHidden/>
    <w:unhideWhenUsed/>
    <w:rsid w:val="00DA6DB3"/>
    <w:rPr>
      <w:sz w:val="16"/>
      <w:szCs w:val="16"/>
    </w:rPr>
  </w:style>
  <w:style w:type="paragraph" w:styleId="CommentText">
    <w:name w:val="annotation text"/>
    <w:basedOn w:val="Normal"/>
    <w:link w:val="CommentTextChar"/>
    <w:unhideWhenUsed/>
    <w:rsid w:val="00DA6DB3"/>
    <w:pPr>
      <w:spacing w:line="240" w:lineRule="auto"/>
    </w:pPr>
    <w:rPr>
      <w:sz w:val="20"/>
      <w:szCs w:val="20"/>
    </w:rPr>
  </w:style>
  <w:style w:type="character" w:customStyle="1" w:styleId="CommentTextChar">
    <w:name w:val="Comment Text Char"/>
    <w:basedOn w:val="DefaultParagraphFont"/>
    <w:link w:val="CommentText"/>
    <w:rsid w:val="00DA6DB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A6DB3"/>
    <w:rPr>
      <w:b/>
      <w:bCs/>
    </w:rPr>
  </w:style>
  <w:style w:type="character" w:customStyle="1" w:styleId="CommentSubjectChar">
    <w:name w:val="Comment Subject Char"/>
    <w:basedOn w:val="CommentTextChar"/>
    <w:link w:val="CommentSubject"/>
    <w:uiPriority w:val="99"/>
    <w:semiHidden/>
    <w:rsid w:val="00DA6DB3"/>
    <w:rPr>
      <w:rFonts w:ascii="Verdana" w:hAnsi="Verdana"/>
      <w:b/>
      <w:bCs/>
      <w:color w:val="000000"/>
    </w:rPr>
  </w:style>
  <w:style w:type="paragraph" w:styleId="Header">
    <w:name w:val="header"/>
    <w:basedOn w:val="Normal"/>
    <w:link w:val="HeaderChar"/>
    <w:uiPriority w:val="99"/>
    <w:unhideWhenUsed/>
    <w:rsid w:val="001D4A39"/>
    <w:pPr>
      <w:tabs>
        <w:tab w:val="center" w:pos="4513"/>
        <w:tab w:val="right" w:pos="9026"/>
      </w:tabs>
      <w:spacing w:line="240" w:lineRule="auto"/>
    </w:pPr>
  </w:style>
  <w:style w:type="character" w:customStyle="1" w:styleId="HeaderChar">
    <w:name w:val="Header Char"/>
    <w:basedOn w:val="DefaultParagraphFont"/>
    <w:link w:val="Header"/>
    <w:uiPriority w:val="99"/>
    <w:rsid w:val="001D4A39"/>
    <w:rPr>
      <w:rFonts w:ascii="Verdana" w:hAnsi="Verdana"/>
      <w:color w:val="000000"/>
      <w:sz w:val="18"/>
      <w:szCs w:val="18"/>
    </w:rPr>
  </w:style>
  <w:style w:type="paragraph" w:styleId="Footer">
    <w:name w:val="footer"/>
    <w:basedOn w:val="Normal"/>
    <w:link w:val="FooterChar"/>
    <w:uiPriority w:val="99"/>
    <w:unhideWhenUsed/>
    <w:rsid w:val="001D4A39"/>
    <w:pPr>
      <w:tabs>
        <w:tab w:val="center" w:pos="4513"/>
        <w:tab w:val="right" w:pos="9026"/>
      </w:tabs>
      <w:spacing w:line="240" w:lineRule="auto"/>
    </w:pPr>
  </w:style>
  <w:style w:type="character" w:customStyle="1" w:styleId="FooterChar">
    <w:name w:val="Footer Char"/>
    <w:basedOn w:val="DefaultParagraphFont"/>
    <w:link w:val="Footer"/>
    <w:uiPriority w:val="99"/>
    <w:rsid w:val="001D4A39"/>
    <w:rPr>
      <w:rFonts w:ascii="Verdana" w:hAnsi="Verdana"/>
      <w:color w:val="000000"/>
      <w:sz w:val="18"/>
      <w:szCs w:val="18"/>
    </w:rPr>
  </w:style>
  <w:style w:type="paragraph" w:styleId="Revision">
    <w:name w:val="Revision"/>
    <w:hidden/>
    <w:uiPriority w:val="99"/>
    <w:semiHidden/>
    <w:rsid w:val="001D4A39"/>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8E757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205AF"/>
    <w:rPr>
      <w:color w:val="605E5C"/>
      <w:shd w:val="clear" w:color="auto" w:fill="E1DFDD"/>
    </w:rPr>
  </w:style>
  <w:style w:type="paragraph" w:styleId="FootnoteText">
    <w:name w:val="footnote text"/>
    <w:basedOn w:val="Normal"/>
    <w:link w:val="FootnoteTextChar"/>
    <w:uiPriority w:val="99"/>
    <w:semiHidden/>
    <w:unhideWhenUsed/>
    <w:rsid w:val="00687D3B"/>
    <w:pPr>
      <w:spacing w:line="240" w:lineRule="auto"/>
    </w:pPr>
    <w:rPr>
      <w:sz w:val="20"/>
      <w:szCs w:val="20"/>
    </w:rPr>
  </w:style>
  <w:style w:type="character" w:customStyle="1" w:styleId="FootnoteTextChar">
    <w:name w:val="Footnote Text Char"/>
    <w:basedOn w:val="DefaultParagraphFont"/>
    <w:link w:val="FootnoteText"/>
    <w:uiPriority w:val="99"/>
    <w:semiHidden/>
    <w:rsid w:val="00687D3B"/>
    <w:rPr>
      <w:rFonts w:ascii="Verdana" w:hAnsi="Verdana"/>
      <w:color w:val="000000"/>
    </w:rPr>
  </w:style>
  <w:style w:type="character" w:styleId="FootnoteReference">
    <w:name w:val="footnote reference"/>
    <w:basedOn w:val="DefaultParagraphFont"/>
    <w:uiPriority w:val="99"/>
    <w:semiHidden/>
    <w:unhideWhenUsed/>
    <w:rsid w:val="00687D3B"/>
    <w:rPr>
      <w:vertAlign w:val="superscript"/>
    </w:rPr>
  </w:style>
  <w:style w:type="character" w:styleId="FollowedHyperlink">
    <w:name w:val="FollowedHyperlink"/>
    <w:basedOn w:val="DefaultParagraphFont"/>
    <w:uiPriority w:val="99"/>
    <w:semiHidden/>
    <w:unhideWhenUsed/>
    <w:rsid w:val="009471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2903">
      <w:bodyDiv w:val="1"/>
      <w:marLeft w:val="0"/>
      <w:marRight w:val="0"/>
      <w:marTop w:val="0"/>
      <w:marBottom w:val="0"/>
      <w:divBdr>
        <w:top w:val="none" w:sz="0" w:space="0" w:color="auto"/>
        <w:left w:val="none" w:sz="0" w:space="0" w:color="auto"/>
        <w:bottom w:val="none" w:sz="0" w:space="0" w:color="auto"/>
        <w:right w:val="none" w:sz="0" w:space="0" w:color="auto"/>
      </w:divBdr>
    </w:div>
    <w:div w:id="88085005">
      <w:bodyDiv w:val="1"/>
      <w:marLeft w:val="0"/>
      <w:marRight w:val="0"/>
      <w:marTop w:val="0"/>
      <w:marBottom w:val="0"/>
      <w:divBdr>
        <w:top w:val="none" w:sz="0" w:space="0" w:color="auto"/>
        <w:left w:val="none" w:sz="0" w:space="0" w:color="auto"/>
        <w:bottom w:val="none" w:sz="0" w:space="0" w:color="auto"/>
        <w:right w:val="none" w:sz="0" w:space="0" w:color="auto"/>
      </w:divBdr>
    </w:div>
    <w:div w:id="269433025">
      <w:bodyDiv w:val="1"/>
      <w:marLeft w:val="0"/>
      <w:marRight w:val="0"/>
      <w:marTop w:val="0"/>
      <w:marBottom w:val="0"/>
      <w:divBdr>
        <w:top w:val="none" w:sz="0" w:space="0" w:color="auto"/>
        <w:left w:val="none" w:sz="0" w:space="0" w:color="auto"/>
        <w:bottom w:val="none" w:sz="0" w:space="0" w:color="auto"/>
        <w:right w:val="none" w:sz="0" w:space="0" w:color="auto"/>
      </w:divBdr>
    </w:div>
    <w:div w:id="462231319">
      <w:bodyDiv w:val="1"/>
      <w:marLeft w:val="0"/>
      <w:marRight w:val="0"/>
      <w:marTop w:val="0"/>
      <w:marBottom w:val="0"/>
      <w:divBdr>
        <w:top w:val="none" w:sz="0" w:space="0" w:color="auto"/>
        <w:left w:val="none" w:sz="0" w:space="0" w:color="auto"/>
        <w:bottom w:val="none" w:sz="0" w:space="0" w:color="auto"/>
        <w:right w:val="none" w:sz="0" w:space="0" w:color="auto"/>
      </w:divBdr>
    </w:div>
    <w:div w:id="555170264">
      <w:bodyDiv w:val="1"/>
      <w:marLeft w:val="0"/>
      <w:marRight w:val="0"/>
      <w:marTop w:val="0"/>
      <w:marBottom w:val="0"/>
      <w:divBdr>
        <w:top w:val="none" w:sz="0" w:space="0" w:color="auto"/>
        <w:left w:val="none" w:sz="0" w:space="0" w:color="auto"/>
        <w:bottom w:val="none" w:sz="0" w:space="0" w:color="auto"/>
        <w:right w:val="none" w:sz="0" w:space="0" w:color="auto"/>
      </w:divBdr>
    </w:div>
    <w:div w:id="563684120">
      <w:bodyDiv w:val="1"/>
      <w:marLeft w:val="0"/>
      <w:marRight w:val="0"/>
      <w:marTop w:val="0"/>
      <w:marBottom w:val="0"/>
      <w:divBdr>
        <w:top w:val="none" w:sz="0" w:space="0" w:color="auto"/>
        <w:left w:val="none" w:sz="0" w:space="0" w:color="auto"/>
        <w:bottom w:val="none" w:sz="0" w:space="0" w:color="auto"/>
        <w:right w:val="none" w:sz="0" w:space="0" w:color="auto"/>
      </w:divBdr>
    </w:div>
    <w:div w:id="878780083">
      <w:bodyDiv w:val="1"/>
      <w:marLeft w:val="0"/>
      <w:marRight w:val="0"/>
      <w:marTop w:val="0"/>
      <w:marBottom w:val="0"/>
      <w:divBdr>
        <w:top w:val="none" w:sz="0" w:space="0" w:color="auto"/>
        <w:left w:val="none" w:sz="0" w:space="0" w:color="auto"/>
        <w:bottom w:val="none" w:sz="0" w:space="0" w:color="auto"/>
        <w:right w:val="none" w:sz="0" w:space="0" w:color="auto"/>
      </w:divBdr>
    </w:div>
    <w:div w:id="1036469767">
      <w:bodyDiv w:val="1"/>
      <w:marLeft w:val="0"/>
      <w:marRight w:val="0"/>
      <w:marTop w:val="0"/>
      <w:marBottom w:val="0"/>
      <w:divBdr>
        <w:top w:val="none" w:sz="0" w:space="0" w:color="auto"/>
        <w:left w:val="none" w:sz="0" w:space="0" w:color="auto"/>
        <w:bottom w:val="none" w:sz="0" w:space="0" w:color="auto"/>
        <w:right w:val="none" w:sz="0" w:space="0" w:color="auto"/>
      </w:divBdr>
    </w:div>
    <w:div w:id="1064568278">
      <w:bodyDiv w:val="1"/>
      <w:marLeft w:val="0"/>
      <w:marRight w:val="0"/>
      <w:marTop w:val="0"/>
      <w:marBottom w:val="0"/>
      <w:divBdr>
        <w:top w:val="none" w:sz="0" w:space="0" w:color="auto"/>
        <w:left w:val="none" w:sz="0" w:space="0" w:color="auto"/>
        <w:bottom w:val="none" w:sz="0" w:space="0" w:color="auto"/>
        <w:right w:val="none" w:sz="0" w:space="0" w:color="auto"/>
      </w:divBdr>
      <w:divsChild>
        <w:div w:id="1150249423">
          <w:marLeft w:val="0"/>
          <w:marRight w:val="0"/>
          <w:marTop w:val="0"/>
          <w:marBottom w:val="0"/>
          <w:divBdr>
            <w:top w:val="none" w:sz="0" w:space="0" w:color="auto"/>
            <w:left w:val="none" w:sz="0" w:space="0" w:color="auto"/>
            <w:bottom w:val="none" w:sz="0" w:space="0" w:color="auto"/>
            <w:right w:val="none" w:sz="0" w:space="0" w:color="auto"/>
          </w:divBdr>
        </w:div>
      </w:divsChild>
    </w:div>
    <w:div w:id="1312827318">
      <w:bodyDiv w:val="1"/>
      <w:marLeft w:val="0"/>
      <w:marRight w:val="0"/>
      <w:marTop w:val="0"/>
      <w:marBottom w:val="0"/>
      <w:divBdr>
        <w:top w:val="none" w:sz="0" w:space="0" w:color="auto"/>
        <w:left w:val="none" w:sz="0" w:space="0" w:color="auto"/>
        <w:bottom w:val="none" w:sz="0" w:space="0" w:color="auto"/>
        <w:right w:val="none" w:sz="0" w:space="0" w:color="auto"/>
      </w:divBdr>
    </w:div>
    <w:div w:id="1461387399">
      <w:bodyDiv w:val="1"/>
      <w:marLeft w:val="0"/>
      <w:marRight w:val="0"/>
      <w:marTop w:val="0"/>
      <w:marBottom w:val="0"/>
      <w:divBdr>
        <w:top w:val="none" w:sz="0" w:space="0" w:color="auto"/>
        <w:left w:val="none" w:sz="0" w:space="0" w:color="auto"/>
        <w:bottom w:val="none" w:sz="0" w:space="0" w:color="auto"/>
        <w:right w:val="none" w:sz="0" w:space="0" w:color="auto"/>
      </w:divBdr>
    </w:div>
    <w:div w:id="1585450201">
      <w:bodyDiv w:val="1"/>
      <w:marLeft w:val="0"/>
      <w:marRight w:val="0"/>
      <w:marTop w:val="0"/>
      <w:marBottom w:val="0"/>
      <w:divBdr>
        <w:top w:val="none" w:sz="0" w:space="0" w:color="auto"/>
        <w:left w:val="none" w:sz="0" w:space="0" w:color="auto"/>
        <w:bottom w:val="none" w:sz="0" w:space="0" w:color="auto"/>
        <w:right w:val="none" w:sz="0" w:space="0" w:color="auto"/>
      </w:divBdr>
      <w:divsChild>
        <w:div w:id="1866094731">
          <w:marLeft w:val="0"/>
          <w:marRight w:val="0"/>
          <w:marTop w:val="0"/>
          <w:marBottom w:val="0"/>
          <w:divBdr>
            <w:top w:val="none" w:sz="0" w:space="0" w:color="auto"/>
            <w:left w:val="none" w:sz="0" w:space="0" w:color="auto"/>
            <w:bottom w:val="none" w:sz="0" w:space="0" w:color="auto"/>
            <w:right w:val="none" w:sz="0" w:space="0" w:color="auto"/>
          </w:divBdr>
        </w:div>
      </w:divsChild>
    </w:div>
    <w:div w:id="1608464269">
      <w:bodyDiv w:val="1"/>
      <w:marLeft w:val="0"/>
      <w:marRight w:val="0"/>
      <w:marTop w:val="0"/>
      <w:marBottom w:val="0"/>
      <w:divBdr>
        <w:top w:val="none" w:sz="0" w:space="0" w:color="auto"/>
        <w:left w:val="none" w:sz="0" w:space="0" w:color="auto"/>
        <w:bottom w:val="none" w:sz="0" w:space="0" w:color="auto"/>
        <w:right w:val="none" w:sz="0" w:space="0" w:color="auto"/>
      </w:divBdr>
    </w:div>
    <w:div w:id="1626079982">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7">
          <w:marLeft w:val="0"/>
          <w:marRight w:val="0"/>
          <w:marTop w:val="0"/>
          <w:marBottom w:val="0"/>
          <w:divBdr>
            <w:top w:val="none" w:sz="0" w:space="0" w:color="auto"/>
            <w:left w:val="none" w:sz="0" w:space="0" w:color="auto"/>
            <w:bottom w:val="none" w:sz="0" w:space="0" w:color="auto"/>
            <w:right w:val="none" w:sz="0" w:space="0" w:color="auto"/>
          </w:divBdr>
        </w:div>
      </w:divsChild>
    </w:div>
    <w:div w:id="1885553360">
      <w:bodyDiv w:val="1"/>
      <w:marLeft w:val="0"/>
      <w:marRight w:val="0"/>
      <w:marTop w:val="0"/>
      <w:marBottom w:val="0"/>
      <w:divBdr>
        <w:top w:val="none" w:sz="0" w:space="0" w:color="auto"/>
        <w:left w:val="none" w:sz="0" w:space="0" w:color="auto"/>
        <w:bottom w:val="none" w:sz="0" w:space="0" w:color="auto"/>
        <w:right w:val="none" w:sz="0" w:space="0" w:color="auto"/>
      </w:divBdr>
    </w:div>
    <w:div w:id="1927498080">
      <w:bodyDiv w:val="1"/>
      <w:marLeft w:val="0"/>
      <w:marRight w:val="0"/>
      <w:marTop w:val="0"/>
      <w:marBottom w:val="0"/>
      <w:divBdr>
        <w:top w:val="none" w:sz="0" w:space="0" w:color="auto"/>
        <w:left w:val="none" w:sz="0" w:space="0" w:color="auto"/>
        <w:bottom w:val="none" w:sz="0" w:space="0" w:color="auto"/>
        <w:right w:val="none" w:sz="0" w:space="0" w:color="auto"/>
      </w:divBdr>
    </w:div>
    <w:div w:id="2125272401">
      <w:bodyDiv w:val="1"/>
      <w:marLeft w:val="0"/>
      <w:marRight w:val="0"/>
      <w:marTop w:val="0"/>
      <w:marBottom w:val="0"/>
      <w:divBdr>
        <w:top w:val="none" w:sz="0" w:space="0" w:color="auto"/>
        <w:left w:val="none" w:sz="0" w:space="0" w:color="auto"/>
        <w:bottom w:val="none" w:sz="0" w:space="0" w:color="auto"/>
        <w:right w:val="none" w:sz="0" w:space="0" w:color="auto"/>
      </w:divBdr>
    </w:div>
    <w:div w:id="2128506306">
      <w:bodyDiv w:val="1"/>
      <w:marLeft w:val="0"/>
      <w:marRight w:val="0"/>
      <w:marTop w:val="0"/>
      <w:marBottom w:val="0"/>
      <w:divBdr>
        <w:top w:val="none" w:sz="0" w:space="0" w:color="auto"/>
        <w:left w:val="none" w:sz="0" w:space="0" w:color="auto"/>
        <w:bottom w:val="none" w:sz="0" w:space="0" w:color="auto"/>
        <w:right w:val="none" w:sz="0" w:space="0" w:color="auto"/>
      </w:divBdr>
      <w:divsChild>
        <w:div w:id="2605722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12193&amp;did=2025D27868" TargetMode="External"/><Relationship Id="rId1" Type="http://schemas.openxmlformats.org/officeDocument/2006/relationships/hyperlink" Target="https://www.regjeringen.no/no/whats-new/joint-statement-condemning-atrocities-and-violations-of-international-humanitarian-law-in-sudan/id313873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2666</ap:Words>
  <ap:Characters>14663</ap:Characters>
  <ap:DocSecurity>0</ap:DocSecurity>
  <ap:Lines>122</ap:Lines>
  <ap:Paragraphs>34</ap:Paragraphs>
  <ap:ScaleCrop>false</ap:ScaleCrop>
  <ap:HeadingPairs>
    <vt:vector baseType="variant" size="2">
      <vt:variant>
        <vt:lpstr>Title</vt:lpstr>
      </vt:variant>
      <vt:variant>
        <vt:i4>1</vt:i4>
      </vt:variant>
    </vt:vector>
  </ap:HeadingPairs>
  <ap:TitlesOfParts>
    <vt:vector baseType="lpstr" size="1">
      <vt:lpstr>Vragen van het lid Teunissen (PvdD) aan M over de situatie in Soedan</vt:lpstr>
    </vt:vector>
  </ap:TitlesOfParts>
  <ap:LinksUpToDate>false</ap:LinksUpToDate>
  <ap:CharactersWithSpaces>17295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2025-11-21T08:36:00.0000000Z</lastPrinted>
  <dcterms:created xsi:type="dcterms:W3CDTF">2025-11-26T10:14:00.0000000Z</dcterms:created>
  <dcterms:modified xsi:type="dcterms:W3CDTF">2025-11-26T10:14:00.0000000Z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53f20137-c737-4942-a107-73a64408b38f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