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4330ED" w14:paraId="22DC44B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BF76E5" w14:paraId="57E8D14E" w14:textId="23384054">
            <w:pPr>
              <w:pStyle w:val="Amendement"/>
              <w:tabs>
                <w:tab w:val="clear" w:pos="3310"/>
                <w:tab w:val="clear" w:pos="3600"/>
              </w:tabs>
              <w:rPr>
                <w:rFonts w:ascii="Times New Roman" w:hAnsi="Times New Roman"/>
              </w:rPr>
            </w:pPr>
            <w:r w:rsidRPr="00B709BF">
              <w:rPr>
                <w:rFonts w:ascii="Times New Roman" w:hAnsi="Times New Roman"/>
              </w:rPr>
              <w:fldChar w:fldCharType="begin"/>
            </w:r>
            <w:r w:rsidRPr="00B709BF" w:rsidR="001656EE">
              <w:rPr>
                <w:rFonts w:ascii="Times New Roman" w:hAnsi="Times New Roman"/>
              </w:rPr>
              <w:instrText xml:space="preserve"> =  \* MERGEFORMAT </w:instrText>
            </w:r>
            <w:r w:rsidRPr="00B709BF">
              <w:rPr>
                <w:rFonts w:ascii="Times New Roman" w:hAnsi="Times New Roman"/>
              </w:rPr>
              <w:fldChar w:fldCharType="separate"/>
            </w:r>
            <w:r w:rsidR="004120AD">
              <w:rPr>
                <w:rFonts w:ascii="Times New Roman" w:hAnsi="Times New Roman"/>
              </w:rPr>
              <w:t>36 812</w:t>
            </w:r>
            <w:r w:rsidRPr="00B709BF" w:rsidR="00941C3A">
              <w:rPr>
                <w:rFonts w:ascii="Times New Roman" w:hAnsi="Times New Roman"/>
              </w:rPr>
              <w:t xml:space="preserve"> </w:t>
            </w:r>
            <w:r w:rsidRPr="00B709BF">
              <w:rPr>
                <w:rFonts w:ascii="Times New Roman" w:hAnsi="Times New Roman"/>
              </w:rPr>
              <w:fldChar w:fldCharType="end"/>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1CEBE769">
            <w:pPr>
              <w:pStyle w:val="Amendement"/>
              <w:tabs>
                <w:tab w:val="clear" w:pos="3310"/>
                <w:tab w:val="clear" w:pos="3600"/>
              </w:tabs>
              <w:rPr>
                <w:rFonts w:ascii="Times New Roman" w:hAnsi="Times New Roman"/>
              </w:rPr>
            </w:pPr>
            <w:r w:rsidRPr="00C035D4">
              <w:rPr>
                <w:rFonts w:ascii="Times New Roman" w:hAnsi="Times New Roman"/>
              </w:rPr>
              <w:t xml:space="preserve">Nr. </w:t>
            </w:r>
            <w:r w:rsidR="00724FC7">
              <w:rPr>
                <w:rFonts w:ascii="Times New Roman" w:hAnsi="Times New Roman"/>
              </w:rPr>
              <w:t>106</w:t>
            </w:r>
          </w:p>
        </w:tc>
        <w:tc>
          <w:tcPr>
            <w:tcW w:w="7371" w:type="dxa"/>
            <w:gridSpan w:val="2"/>
          </w:tcPr>
          <w:p w:rsidRPr="00C035D4" w:rsidR="003C21AC" w:rsidP="006E0971" w:rsidRDefault="00890CF5" w14:paraId="43334D50" w14:textId="05C51A65">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BF76E5">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BF76E5">
              <w:rPr>
                <w:rFonts w:ascii="Times New Roman" w:hAnsi="Times New Roman"/>
                <w:caps/>
              </w:rPr>
              <w:fldChar w:fldCharType="separate"/>
            </w:r>
            <w:r w:rsidR="00B5464C">
              <w:rPr>
                <w:rFonts w:ascii="Times New Roman" w:hAnsi="Times New Roman"/>
                <w:caps/>
                <w:noProof/>
              </w:rPr>
              <w:t>Stultiens</w:t>
            </w:r>
            <w:r w:rsidRPr="00C035D4" w:rsidR="00BF76E5">
              <w:rPr>
                <w:rFonts w:ascii="Times New Roman" w:hAnsi="Times New Roman"/>
                <w:caps/>
              </w:rPr>
              <w:fldChar w:fldCharType="end"/>
            </w:r>
            <w:r>
              <w:rPr>
                <w:rFonts w:ascii="Times New Roman" w:hAnsi="Times New Roman"/>
                <w:caps/>
              </w:rPr>
              <w:t xml:space="preserve"> ter vervanging van dat gedrukt onder nr. 60</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0081E52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B798E">
              <w:rPr>
                <w:rFonts w:ascii="Times New Roman" w:hAnsi="Times New Roman"/>
                <w:b w:val="0"/>
              </w:rPr>
              <w:t>2</w:t>
            </w:r>
            <w:r w:rsidR="00F0544D">
              <w:rPr>
                <w:rFonts w:ascii="Times New Roman" w:hAnsi="Times New Roman"/>
                <w:b w:val="0"/>
              </w:rPr>
              <w:t>6</w:t>
            </w:r>
            <w:r w:rsidR="00DB798E">
              <w:rPr>
                <w:rFonts w:ascii="Times New Roman" w:hAnsi="Times New Roman"/>
                <w:b w:val="0"/>
              </w:rPr>
              <w:t xml:space="preserve">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77777777">
            <w:pPr>
              <w:ind w:firstLine="284"/>
            </w:pPr>
            <w:r w:rsidRPr="00EA69AC">
              <w:t>De ondergetekende stelt het volgende amendement voor:</w:t>
            </w:r>
          </w:p>
        </w:tc>
      </w:tr>
    </w:tbl>
    <w:p w:rsidRPr="00EA69AC" w:rsidR="004330ED" w:rsidP="00D774B3" w:rsidRDefault="004330ED" w14:paraId="31111856" w14:textId="77777777"/>
    <w:p w:rsidRPr="00EA69AC" w:rsidR="004330ED" w:rsidP="00EA1CE4" w:rsidRDefault="004330ED" w14:paraId="77DF5FF3" w14:textId="77777777">
      <w:r w:rsidRPr="00EA69AC">
        <w:t>I</w:t>
      </w:r>
    </w:p>
    <w:p w:rsidRPr="00EA69AC" w:rsidR="005B1DCC" w:rsidP="00BF623B" w:rsidRDefault="005B1DCC" w14:paraId="4F70DCC5" w14:textId="77777777"/>
    <w:p w:rsidR="00865317" w:rsidP="00DB798E" w:rsidRDefault="00865317" w14:paraId="2D8DBA93" w14:textId="05372EAD">
      <w:pPr>
        <w:ind w:firstLine="284"/>
      </w:pPr>
      <w:r>
        <w:t xml:space="preserve">Artikel I, onderdeel A, </w:t>
      </w:r>
      <w:r w:rsidR="00A26377">
        <w:t>onder 1, vervalt</w:t>
      </w:r>
      <w:r w:rsidRPr="00610D21">
        <w:t>.</w:t>
      </w:r>
    </w:p>
    <w:p w:rsidR="00865317" w:rsidRDefault="00865317" w14:paraId="2121F3DC" w14:textId="77777777">
      <w:pPr>
        <w:rPr>
          <w:bCs/>
        </w:rPr>
      </w:pPr>
    </w:p>
    <w:p w:rsidR="00B52E51" w:rsidRDefault="00B52E51" w14:paraId="4FA3B13D" w14:textId="610BB289">
      <w:pPr>
        <w:rPr>
          <w:bCs/>
        </w:rPr>
      </w:pPr>
      <w:r>
        <w:rPr>
          <w:bCs/>
        </w:rPr>
        <w:t>II</w:t>
      </w:r>
    </w:p>
    <w:p w:rsidR="00B52E51" w:rsidRDefault="00B52E51" w14:paraId="0FB8B506" w14:textId="77777777">
      <w:pPr>
        <w:rPr>
          <w:bCs/>
        </w:rPr>
      </w:pPr>
    </w:p>
    <w:p w:rsidR="00CD35C2" w:rsidP="00DB798E" w:rsidRDefault="00A26377" w14:paraId="679D3569" w14:textId="31066802">
      <w:pPr>
        <w:ind w:firstLine="284"/>
        <w:rPr>
          <w:bCs/>
        </w:rPr>
      </w:pPr>
      <w:r>
        <w:rPr>
          <w:bCs/>
        </w:rPr>
        <w:t>Na</w:t>
      </w:r>
      <w:r w:rsidR="00CD35C2">
        <w:rPr>
          <w:bCs/>
        </w:rPr>
        <w:t xml:space="preserve"> artikel I</w:t>
      </w:r>
      <w:r>
        <w:rPr>
          <w:bCs/>
        </w:rPr>
        <w:t>, onderdeel G,</w:t>
      </w:r>
      <w:r w:rsidR="00CD35C2">
        <w:rPr>
          <w:bCs/>
        </w:rPr>
        <w:t xml:space="preserve"> wordt een onderdeel ingevoegd, luidende:</w:t>
      </w:r>
    </w:p>
    <w:p w:rsidR="00CD35C2" w:rsidRDefault="00CD35C2" w14:paraId="41D7AD96" w14:textId="77777777">
      <w:pPr>
        <w:rPr>
          <w:bCs/>
        </w:rPr>
      </w:pPr>
    </w:p>
    <w:p w:rsidR="00CD35C2" w:rsidRDefault="00CD35C2" w14:paraId="073D6B2D" w14:textId="47DDE657">
      <w:pPr>
        <w:rPr>
          <w:bCs/>
        </w:rPr>
      </w:pPr>
      <w:r>
        <w:rPr>
          <w:bCs/>
        </w:rPr>
        <w:t>G</w:t>
      </w:r>
      <w:r w:rsidR="00A26377">
        <w:rPr>
          <w:bCs/>
        </w:rPr>
        <w:t>a</w:t>
      </w:r>
    </w:p>
    <w:p w:rsidR="00DB798E" w:rsidRDefault="00DB798E" w14:paraId="28021446" w14:textId="77777777">
      <w:pPr>
        <w:rPr>
          <w:bCs/>
        </w:rPr>
      </w:pPr>
    </w:p>
    <w:p w:rsidR="00B52E51" w:rsidP="00DB798E" w:rsidRDefault="00907AE1" w14:paraId="25FF7007" w14:textId="14E6FB6A">
      <w:pPr>
        <w:ind w:firstLine="284"/>
        <w:rPr>
          <w:bCs/>
        </w:rPr>
      </w:pPr>
      <w:r>
        <w:rPr>
          <w:bCs/>
        </w:rPr>
        <w:t>Het in</w:t>
      </w:r>
      <w:r w:rsidRPr="00CD35C2" w:rsidR="00CD35C2">
        <w:rPr>
          <w:bCs/>
        </w:rPr>
        <w:t xml:space="preserve"> artikel 8.10, tweede lid, </w:t>
      </w:r>
      <w:proofErr w:type="spellStart"/>
      <w:r w:rsidRPr="00CD35C2" w:rsidR="00CD35C2">
        <w:rPr>
          <w:bCs/>
        </w:rPr>
        <w:t>eerstvermelde</w:t>
      </w:r>
      <w:proofErr w:type="spellEnd"/>
      <w:r w:rsidRPr="00CD35C2" w:rsidR="00CD35C2">
        <w:rPr>
          <w:bCs/>
        </w:rPr>
        <w:t xml:space="preserve"> bedrag </w:t>
      </w:r>
      <w:r>
        <w:rPr>
          <w:bCs/>
        </w:rPr>
        <w:t xml:space="preserve">wordt </w:t>
      </w:r>
      <w:r w:rsidRPr="00CD35C2" w:rsidR="00CD35C2">
        <w:rPr>
          <w:bCs/>
        </w:rPr>
        <w:t>ver</w:t>
      </w:r>
      <w:r w:rsidR="00CD35C2">
        <w:rPr>
          <w:bCs/>
        </w:rPr>
        <w:t>hoo</w:t>
      </w:r>
      <w:r w:rsidRPr="00CD35C2" w:rsidR="00CD35C2">
        <w:rPr>
          <w:bCs/>
        </w:rPr>
        <w:t>gd met €</w:t>
      </w:r>
      <w:r w:rsidR="0098646D">
        <w:rPr>
          <w:bCs/>
        </w:rPr>
        <w:t> </w:t>
      </w:r>
      <w:r w:rsidR="00FC2046">
        <w:rPr>
          <w:bCs/>
        </w:rPr>
        <w:t>59</w:t>
      </w:r>
      <w:r w:rsidR="00DB798E">
        <w:rPr>
          <w:bCs/>
        </w:rPr>
        <w:t>.</w:t>
      </w:r>
    </w:p>
    <w:p w:rsidR="00B52E51" w:rsidRDefault="00B52E51" w14:paraId="7763439C" w14:textId="77777777">
      <w:pPr>
        <w:rPr>
          <w:bCs/>
        </w:rPr>
      </w:pPr>
    </w:p>
    <w:p w:rsidR="00865317" w:rsidRDefault="00865317" w14:paraId="31783B9F" w14:textId="431855DB">
      <w:pPr>
        <w:rPr>
          <w:bCs/>
        </w:rPr>
      </w:pPr>
      <w:r>
        <w:rPr>
          <w:bCs/>
        </w:rPr>
        <w:t>II</w:t>
      </w:r>
      <w:r w:rsidR="00B52E51">
        <w:rPr>
          <w:bCs/>
        </w:rPr>
        <w:t>I</w:t>
      </w:r>
    </w:p>
    <w:p w:rsidR="00865317" w:rsidRDefault="00865317" w14:paraId="084433FA" w14:textId="77777777">
      <w:pPr>
        <w:rPr>
          <w:bCs/>
        </w:rPr>
      </w:pPr>
    </w:p>
    <w:p w:rsidR="00B52E51" w:rsidP="00DB798E" w:rsidRDefault="00B52E51" w14:paraId="01545911" w14:textId="4C7FC5D5">
      <w:pPr>
        <w:ind w:firstLine="284"/>
      </w:pPr>
      <w:r>
        <w:t xml:space="preserve">Artikel III, onderdeel B, </w:t>
      </w:r>
      <w:r w:rsidR="00A26377">
        <w:t>onder 1, vervalt</w:t>
      </w:r>
      <w:r w:rsidR="00907AE1">
        <w:t>.</w:t>
      </w:r>
    </w:p>
    <w:p w:rsidR="00CD35C2" w:rsidP="00B52E51" w:rsidRDefault="00CD35C2" w14:paraId="4303839A" w14:textId="77777777"/>
    <w:p w:rsidR="00CD35C2" w:rsidP="00B52E51" w:rsidRDefault="00CD35C2" w14:paraId="102A96DB" w14:textId="41A9D53A">
      <w:r>
        <w:t>IV</w:t>
      </w:r>
    </w:p>
    <w:p w:rsidR="00CD35C2" w:rsidP="00B52E51" w:rsidRDefault="00CD35C2" w14:paraId="01B328D4" w14:textId="77777777"/>
    <w:p w:rsidR="00CD35C2" w:rsidP="00DB798E" w:rsidRDefault="00A26377" w14:paraId="0424AC27" w14:textId="5CD55B76">
      <w:pPr>
        <w:ind w:firstLine="284"/>
      </w:pPr>
      <w:r>
        <w:t>Na</w:t>
      </w:r>
      <w:r w:rsidRPr="00CD35C2" w:rsidR="00CD35C2">
        <w:t xml:space="preserve"> artikel III</w:t>
      </w:r>
      <w:r>
        <w:t>, onderdeel B,</w:t>
      </w:r>
      <w:r w:rsidRPr="00CD35C2" w:rsidR="00CD35C2">
        <w:t xml:space="preserve"> wordt e</w:t>
      </w:r>
      <w:r w:rsidR="00CD35C2">
        <w:t>en onderdeel ingevoegd, luidende:</w:t>
      </w:r>
    </w:p>
    <w:p w:rsidRPr="00CD35C2" w:rsidR="00CD35C2" w:rsidP="00B52E51" w:rsidRDefault="00CD35C2" w14:paraId="7D3AF9F3" w14:textId="77777777"/>
    <w:p w:rsidR="00CD35C2" w:rsidP="00B52E51" w:rsidRDefault="00B42512" w14:paraId="402C55B1" w14:textId="7C47CD5F">
      <w:r>
        <w:t>B</w:t>
      </w:r>
      <w:r w:rsidR="00A26377">
        <w:t>a</w:t>
      </w:r>
    </w:p>
    <w:p w:rsidR="00DB798E" w:rsidP="00B52E51" w:rsidRDefault="00DB798E" w14:paraId="096E96A4" w14:textId="77777777"/>
    <w:p w:rsidR="00CD35C2" w:rsidP="00DB798E" w:rsidRDefault="00907AE1" w14:paraId="01009A32" w14:textId="09877F46">
      <w:pPr>
        <w:ind w:firstLine="284"/>
      </w:pPr>
      <w:r>
        <w:t>Het in</w:t>
      </w:r>
      <w:r w:rsidRPr="00CD35C2" w:rsidR="00CD35C2">
        <w:t xml:space="preserve"> artikel 22, tweede lid, </w:t>
      </w:r>
      <w:proofErr w:type="spellStart"/>
      <w:r w:rsidRPr="00CD35C2" w:rsidR="00CD35C2">
        <w:t>eerstvermelde</w:t>
      </w:r>
      <w:proofErr w:type="spellEnd"/>
      <w:r w:rsidRPr="00CD35C2" w:rsidR="00CD35C2">
        <w:t xml:space="preserve"> bedrag </w:t>
      </w:r>
      <w:r>
        <w:t xml:space="preserve">wordt </w:t>
      </w:r>
      <w:r w:rsidRPr="00CD35C2" w:rsidR="00CD35C2">
        <w:t>ver</w:t>
      </w:r>
      <w:r w:rsidR="00CD35C2">
        <w:t>hoo</w:t>
      </w:r>
      <w:r w:rsidRPr="00CD35C2" w:rsidR="00CD35C2">
        <w:t>gd met €</w:t>
      </w:r>
      <w:r w:rsidR="0098646D">
        <w:t> </w:t>
      </w:r>
      <w:r w:rsidR="00FC2046">
        <w:t>59</w:t>
      </w:r>
      <w:r w:rsidRPr="00CD35C2" w:rsidR="00CD35C2">
        <w:t>.</w:t>
      </w:r>
    </w:p>
    <w:p w:rsidR="00B52E51" w:rsidP="00B52E51" w:rsidRDefault="00B52E51" w14:paraId="1D8E09EE" w14:textId="77777777"/>
    <w:p w:rsidR="00B52E51" w:rsidP="00B52E51" w:rsidRDefault="00B52E51" w14:paraId="74F0BDDF" w14:textId="2CEB1EC8">
      <w:r>
        <w:t>V</w:t>
      </w:r>
      <w:r w:rsidR="00CD35C2">
        <w:t>I</w:t>
      </w:r>
    </w:p>
    <w:p w:rsidR="00B52E51" w:rsidP="00B52E51" w:rsidRDefault="00B52E51" w14:paraId="7CCC9602" w14:textId="77777777"/>
    <w:p w:rsidR="00B52E51" w:rsidP="00DB798E" w:rsidRDefault="00B52E51" w14:paraId="2F6A600A" w14:textId="77B31F25">
      <w:pPr>
        <w:ind w:firstLine="284"/>
      </w:pPr>
      <w:r w:rsidRPr="00B52E51">
        <w:t xml:space="preserve">In artikel XLIV wordt </w:t>
      </w:r>
      <w:r w:rsidR="00890CF5">
        <w:t>na “met betrekking tot” ingevoegd</w:t>
      </w:r>
      <w:r w:rsidRPr="00B52E51">
        <w:t xml:space="preserve"> “het in de eerste en tweede kolom </w:t>
      </w:r>
      <w:r w:rsidR="00A26377">
        <w:t xml:space="preserve">van </w:t>
      </w:r>
      <w:r w:rsidRPr="00B52E51">
        <w:t xml:space="preserve">de in de artikelen 2.10 en 2.10a </w:t>
      </w:r>
      <w:r w:rsidR="00A26377">
        <w:t xml:space="preserve">van die wet </w:t>
      </w:r>
      <w:r w:rsidRPr="00B52E51">
        <w:t xml:space="preserve">opgenomen tabel </w:t>
      </w:r>
      <w:proofErr w:type="spellStart"/>
      <w:r w:rsidRPr="00B52E51" w:rsidR="00A26377">
        <w:t>laatstvermelde</w:t>
      </w:r>
      <w:proofErr w:type="spellEnd"/>
      <w:r w:rsidRPr="00B52E51" w:rsidR="00A26377">
        <w:t xml:space="preserve"> bedrag </w:t>
      </w:r>
      <w:r w:rsidRPr="00B52E51">
        <w:t>en”.</w:t>
      </w:r>
    </w:p>
    <w:p w:rsidR="00B52E51" w:rsidP="00B52E51" w:rsidRDefault="00B52E51" w14:paraId="04287898" w14:textId="77777777"/>
    <w:p w:rsidR="00B52E51" w:rsidP="00B52E51" w:rsidRDefault="00B52E51" w14:paraId="67FAE308" w14:textId="4535FCC8">
      <w:r>
        <w:t>VI</w:t>
      </w:r>
      <w:r w:rsidR="0055059F">
        <w:t>I</w:t>
      </w:r>
    </w:p>
    <w:p w:rsidR="00865317" w:rsidRDefault="00865317" w14:paraId="512294E7" w14:textId="77777777">
      <w:pPr>
        <w:rPr>
          <w:bCs/>
        </w:rPr>
      </w:pPr>
    </w:p>
    <w:p w:rsidR="00B52E51" w:rsidP="00DB798E" w:rsidRDefault="00A26377" w14:paraId="0DD22D19" w14:textId="5D9A5EE3">
      <w:pPr>
        <w:ind w:firstLine="284"/>
        <w:rPr>
          <w:bCs/>
        </w:rPr>
      </w:pPr>
      <w:r>
        <w:rPr>
          <w:bCs/>
        </w:rPr>
        <w:t>A</w:t>
      </w:r>
      <w:r w:rsidRPr="00B52E51" w:rsidR="00B52E51">
        <w:rPr>
          <w:bCs/>
        </w:rPr>
        <w:t xml:space="preserve">rtikel L, eerste lid, </w:t>
      </w:r>
      <w:r w:rsidR="00B52E51">
        <w:rPr>
          <w:bCs/>
        </w:rPr>
        <w:t>onderdeel a</w:t>
      </w:r>
      <w:r>
        <w:rPr>
          <w:bCs/>
        </w:rPr>
        <w:t>, vervalt</w:t>
      </w:r>
      <w:r w:rsidR="00B52E51">
        <w:rPr>
          <w:bCs/>
        </w:rPr>
        <w:t>.</w:t>
      </w:r>
    </w:p>
    <w:p w:rsidR="00B42512" w:rsidP="00B52E51" w:rsidRDefault="00B42512" w14:paraId="404476AD" w14:textId="77777777">
      <w:pPr>
        <w:rPr>
          <w:bCs/>
        </w:rPr>
      </w:pPr>
    </w:p>
    <w:p w:rsidR="00B42512" w:rsidP="00B52E51" w:rsidRDefault="00B42512" w14:paraId="43FE6B6E" w14:textId="749792FB">
      <w:pPr>
        <w:rPr>
          <w:bCs/>
        </w:rPr>
      </w:pPr>
      <w:r>
        <w:rPr>
          <w:bCs/>
        </w:rPr>
        <w:t>VII</w:t>
      </w:r>
      <w:r w:rsidR="0055059F">
        <w:rPr>
          <w:bCs/>
        </w:rPr>
        <w:t>I</w:t>
      </w:r>
    </w:p>
    <w:p w:rsidR="00B42512" w:rsidP="00B52E51" w:rsidRDefault="00B42512" w14:paraId="10DD567C" w14:textId="77777777">
      <w:pPr>
        <w:rPr>
          <w:bCs/>
        </w:rPr>
      </w:pPr>
    </w:p>
    <w:p w:rsidR="00907AE1" w:rsidP="00DB798E" w:rsidRDefault="00A26377" w14:paraId="7A9615EB" w14:textId="619116A8">
      <w:pPr>
        <w:ind w:firstLine="284"/>
        <w:rPr>
          <w:bCs/>
        </w:rPr>
      </w:pPr>
      <w:r>
        <w:rPr>
          <w:bCs/>
        </w:rPr>
        <w:t>Na</w:t>
      </w:r>
      <w:r w:rsidR="00B42512">
        <w:rPr>
          <w:bCs/>
        </w:rPr>
        <w:t xml:space="preserve"> artikel L, eerste lid, </w:t>
      </w:r>
      <w:r>
        <w:rPr>
          <w:bCs/>
        </w:rPr>
        <w:t xml:space="preserve">onderdeel c, </w:t>
      </w:r>
      <w:r w:rsidR="00B42512">
        <w:rPr>
          <w:bCs/>
        </w:rPr>
        <w:t>wordt een onderdeel ingevoegd, luidende:</w:t>
      </w:r>
    </w:p>
    <w:p w:rsidR="00907AE1" w:rsidP="00DB798E" w:rsidRDefault="00B42512" w14:paraId="0F006569" w14:textId="3314484E">
      <w:pPr>
        <w:ind w:firstLine="284"/>
        <w:rPr>
          <w:bCs/>
        </w:rPr>
      </w:pPr>
      <w:bookmarkStart w:name="_Hlk215018114" w:id="0"/>
      <w:r>
        <w:rPr>
          <w:bCs/>
        </w:rPr>
        <w:t xml:space="preserve">ca. </w:t>
      </w:r>
      <w:r w:rsidRPr="00B42512">
        <w:rPr>
          <w:bCs/>
        </w:rPr>
        <w:t xml:space="preserve">artikel I, onderdeel </w:t>
      </w:r>
      <w:r>
        <w:rPr>
          <w:bCs/>
        </w:rPr>
        <w:t>G</w:t>
      </w:r>
      <w:r w:rsidR="00A26377">
        <w:rPr>
          <w:bCs/>
        </w:rPr>
        <w:t>a</w:t>
      </w:r>
      <w:r w:rsidRPr="00B42512">
        <w:rPr>
          <w:bCs/>
        </w:rPr>
        <w:t xml:space="preserve">, en artikel III, onderdeel </w:t>
      </w:r>
      <w:r>
        <w:rPr>
          <w:bCs/>
        </w:rPr>
        <w:t>B</w:t>
      </w:r>
      <w:r w:rsidR="00A26377">
        <w:rPr>
          <w:bCs/>
        </w:rPr>
        <w:t>a</w:t>
      </w:r>
      <w:r w:rsidRPr="00B42512">
        <w:rPr>
          <w:bCs/>
        </w:rPr>
        <w:t>, eerst toepassing vind</w:t>
      </w:r>
      <w:r w:rsidR="00907AE1">
        <w:rPr>
          <w:bCs/>
        </w:rPr>
        <w:t>en</w:t>
      </w:r>
      <w:r w:rsidRPr="00B42512">
        <w:rPr>
          <w:bCs/>
        </w:rPr>
        <w:t xml:space="preserve"> nadat artikel 10.1 van de Wet inkomstenbelasting 2001 en artikel 22d van de Wet op de loonbelasting 1964 bij het begin van het kalenderjaar 202</w:t>
      </w:r>
      <w:r>
        <w:rPr>
          <w:bCs/>
        </w:rPr>
        <w:t>6</w:t>
      </w:r>
      <w:r w:rsidRPr="00B42512">
        <w:rPr>
          <w:bCs/>
        </w:rPr>
        <w:t xml:space="preserve"> zijn toegepast</w:t>
      </w:r>
      <w:r>
        <w:rPr>
          <w:bCs/>
        </w:rPr>
        <w:t>;</w:t>
      </w:r>
      <w:r w:rsidR="00907AE1">
        <w:rPr>
          <w:bCs/>
        </w:rPr>
        <w:t>.</w:t>
      </w:r>
    </w:p>
    <w:bookmarkEnd w:id="0"/>
    <w:p w:rsidR="00907AE1" w:rsidP="00B52E51" w:rsidRDefault="00907AE1" w14:paraId="4BDDC83A" w14:textId="77777777">
      <w:pPr>
        <w:rPr>
          <w:bCs/>
        </w:rPr>
      </w:pPr>
    </w:p>
    <w:p w:rsidRPr="00EA69AC" w:rsidR="003C21AC" w:rsidP="00EA1CE4" w:rsidRDefault="003C21AC" w14:paraId="3DD119C9" w14:textId="77777777">
      <w:pPr>
        <w:rPr>
          <w:b/>
        </w:rPr>
      </w:pPr>
      <w:r w:rsidRPr="00EA69AC">
        <w:rPr>
          <w:b/>
        </w:rPr>
        <w:t>Toelichting</w:t>
      </w:r>
    </w:p>
    <w:p w:rsidRPr="00EA69AC" w:rsidR="003C21AC" w:rsidP="00BF623B" w:rsidRDefault="003C21AC" w14:paraId="19D711D5" w14:textId="77777777"/>
    <w:p w:rsidR="00B5464C" w:rsidP="00B5464C" w:rsidRDefault="00B5464C" w14:paraId="24A0E3D6" w14:textId="77777777">
      <w:r>
        <w:t>Dit amendement heeft als doel om de groep belastingplichtigen die steeds de dupe is van tegenvallers en belastingverhogingen tegemoet te komen. Zowel het niet invullen van de taakstelling voor fiscale regelingen en constructies als het niet doorgaan van het afschaffen van het verlaagde btw-tarief voor cultuur, sport en media leidt tot het beperken van de tabelcorrectiefactor. Door die beperking van de inflatiecorrectie gaan mensen met een laag of middeninkomen meer belasting betalen. Daar komt ook nog een tegenvaller in de nota van wijziging bij het Belastingplan bij: daarmee wordt het eerste schijftarief in box 1 van de inkomstenbelasting verhoogd. Tegelijkertijd is in het Belastingplan 2025 al de algemene heffingskorting verlaagd, wat ook leidt tot een hogere inkomstenbelasting voor mensen met een laag inkomen of een middeninkomen.</w:t>
      </w:r>
    </w:p>
    <w:p w:rsidR="00B5464C" w:rsidP="00B5464C" w:rsidRDefault="00B5464C" w14:paraId="4B5156E4" w14:textId="77777777"/>
    <w:p w:rsidR="00B5464C" w:rsidP="00B5464C" w:rsidRDefault="00B5464C" w14:paraId="0A7F53FB" w14:textId="77777777">
      <w:r>
        <w:t xml:space="preserve">De indiener is van mening dat werken moeten lonen én dat de sterkste schouders de zwaarste lasten moeten dragen. Het is niet wenselijk dat mensen met een laag inkomen of een middeninkomen bij elke tegenvaller meer belasting moeten gaan betalen, terwijl de impact voor mensen met een hoog inkomen of veel vermogen verwaarloosbaar is, mede omdat er wel nog sprake is van een beleidsmatige verhoging van de hoogste schijfgrens in box 1 (het aangrijpingspunt van het toptarief), waardoor mensen met een hoog inkomen minder belasting hoeven te betalen. Dit amendement is daarom bedoeld om de groep die hier het meeste last van heeft tegemoet te komen. </w:t>
      </w:r>
      <w:r w:rsidRPr="00303F6B">
        <w:t xml:space="preserve">Belastingplichtigen met een hoog inkomen </w:t>
      </w:r>
      <w:r>
        <w:t>blijven</w:t>
      </w:r>
      <w:r w:rsidRPr="00303F6B">
        <w:t xml:space="preserve"> hetzelfde tarief betalen als in de huidige situatie, door </w:t>
      </w:r>
      <w:r>
        <w:t xml:space="preserve">het schrappen van </w:t>
      </w:r>
      <w:r w:rsidRPr="00303F6B">
        <w:t>de voorgenomen verhoging van de hoogste schrijfgrens in box 1</w:t>
      </w:r>
      <w:r>
        <w:t>.</w:t>
      </w:r>
    </w:p>
    <w:p w:rsidR="00B5464C" w:rsidP="00B5464C" w:rsidRDefault="00B5464C" w14:paraId="51C56DEB" w14:textId="77777777"/>
    <w:p w:rsidR="00B5464C" w:rsidP="00B5464C" w:rsidRDefault="00B5464C" w14:paraId="1E16B0E2" w14:textId="51BA60CE">
      <w:r>
        <w:t xml:space="preserve">Concreet stelt de indiener voor om de algemene heffingskorting beperkt te verhogen, </w:t>
      </w:r>
      <w:r w:rsidR="00BB1A0D">
        <w:t>en tegelijkertijd</w:t>
      </w:r>
      <w:r>
        <w:t xml:space="preserve"> het aangrijpingspunt van het toptarief in box 1 van de loon- en inkomstenbelasting in 2026 niet te verhogen. Het aangrijpingspunt blijft daardoor op hetzelfde niveau als in 2025 (€76.817). Als gevolg van dit amendement stijgt de algemene heffingskorting met €59. </w:t>
      </w:r>
    </w:p>
    <w:p w:rsidR="00B52E51" w:rsidP="00E01659" w:rsidRDefault="00B52E51" w14:paraId="2A29DC2B" w14:textId="77777777"/>
    <w:p w:rsidRPr="00AB1467" w:rsidR="005C167B" w:rsidP="005C167B" w:rsidRDefault="005C167B" w14:paraId="38DB6BCA" w14:textId="77777777">
      <w:pPr>
        <w:rPr>
          <w:i/>
          <w:iCs/>
        </w:rPr>
      </w:pPr>
      <w:r w:rsidRPr="00AB1467">
        <w:rPr>
          <w:i/>
          <w:iCs/>
        </w:rPr>
        <w:t xml:space="preserve">Budgettaire gevolgen (in </w:t>
      </w:r>
      <w:proofErr w:type="spellStart"/>
      <w:r w:rsidRPr="00AB1467">
        <w:rPr>
          <w:i/>
          <w:iCs/>
        </w:rPr>
        <w:t>mln</w:t>
      </w:r>
      <w:proofErr w:type="spellEnd"/>
      <w:r w:rsidRPr="00AB1467">
        <w:rPr>
          <w:i/>
          <w:iCs/>
        </w:rPr>
        <w:t xml:space="preserve"> euro, prijzen 2025)</w:t>
      </w:r>
    </w:p>
    <w:tbl>
      <w:tblPr>
        <w:tblW w:w="9774" w:type="dxa"/>
        <w:tblInd w:w="-3" w:type="dxa"/>
        <w:tblLayout w:type="fixed"/>
        <w:tblCellMar>
          <w:left w:w="0" w:type="dxa"/>
          <w:right w:w="0" w:type="dxa"/>
        </w:tblCellMar>
        <w:tblLook w:val="04A0" w:firstRow="1" w:lastRow="0" w:firstColumn="1" w:lastColumn="0" w:noHBand="0" w:noVBand="1"/>
      </w:tblPr>
      <w:tblGrid>
        <w:gridCol w:w="4955"/>
        <w:gridCol w:w="963"/>
        <w:gridCol w:w="964"/>
        <w:gridCol w:w="964"/>
        <w:gridCol w:w="964"/>
        <w:gridCol w:w="964"/>
      </w:tblGrid>
      <w:tr w:rsidRPr="005C167B" w:rsidR="00AB1467" w:rsidTr="00AB1467" w14:paraId="736FFE5C" w14:textId="77777777">
        <w:trPr>
          <w:trHeight w:val="255"/>
        </w:trPr>
        <w:tc>
          <w:tcPr>
            <w:tcW w:w="4955"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5C167B" w:rsidR="005C167B" w:rsidP="005C167B" w:rsidRDefault="005C167B" w14:paraId="541BEADB" w14:textId="77777777">
            <w:r w:rsidRPr="005C167B">
              <w:t> </w:t>
            </w:r>
          </w:p>
        </w:tc>
        <w:tc>
          <w:tcPr>
            <w:tcW w:w="963"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4E0DC4DA" w14:textId="77777777">
            <w:pPr>
              <w:jc w:val="right"/>
            </w:pPr>
            <w:r w:rsidRPr="005C167B">
              <w:t>2026</w:t>
            </w:r>
          </w:p>
        </w:tc>
        <w:tc>
          <w:tcPr>
            <w:tcW w:w="96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0145AB40" w14:textId="77777777">
            <w:pPr>
              <w:jc w:val="right"/>
            </w:pPr>
            <w:r w:rsidRPr="005C167B">
              <w:t>2027</w:t>
            </w:r>
          </w:p>
        </w:tc>
        <w:tc>
          <w:tcPr>
            <w:tcW w:w="96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68C777BC" w14:textId="77777777">
            <w:pPr>
              <w:jc w:val="right"/>
            </w:pPr>
            <w:r w:rsidRPr="005C167B">
              <w:t>2028</w:t>
            </w:r>
          </w:p>
        </w:tc>
        <w:tc>
          <w:tcPr>
            <w:tcW w:w="964"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47495E0F" w14:textId="77777777">
            <w:pPr>
              <w:jc w:val="right"/>
            </w:pPr>
            <w:r w:rsidRPr="005C167B">
              <w:t>2029</w:t>
            </w:r>
          </w:p>
        </w:tc>
        <w:tc>
          <w:tcPr>
            <w:tcW w:w="964" w:type="dxa"/>
            <w:tcBorders>
              <w:top w:val="single" w:color="auto" w:sz="8" w:space="0"/>
              <w:left w:val="single" w:color="auto" w:sz="4" w:space="0"/>
              <w:bottom w:val="single" w:color="auto" w:sz="8" w:space="0"/>
              <w:right w:val="single" w:color="auto" w:sz="8" w:space="0"/>
            </w:tcBorders>
            <w:noWrap/>
            <w:tcMar>
              <w:top w:w="0" w:type="dxa"/>
              <w:left w:w="70" w:type="dxa"/>
              <w:bottom w:w="0" w:type="dxa"/>
              <w:right w:w="70" w:type="dxa"/>
            </w:tcMar>
            <w:vAlign w:val="bottom"/>
            <w:hideMark/>
          </w:tcPr>
          <w:p w:rsidRPr="005C167B" w:rsidR="005C167B" w:rsidP="00AB1467" w:rsidRDefault="005C167B" w14:paraId="64AA46EE" w14:textId="77777777">
            <w:pPr>
              <w:jc w:val="right"/>
            </w:pPr>
            <w:proofErr w:type="spellStart"/>
            <w:r w:rsidRPr="005C167B">
              <w:t>struc</w:t>
            </w:r>
            <w:proofErr w:type="spellEnd"/>
          </w:p>
        </w:tc>
      </w:tr>
      <w:tr w:rsidRPr="005C167B" w:rsidR="00AB1467" w:rsidTr="00AB1467" w14:paraId="44ED3E24" w14:textId="77777777">
        <w:trPr>
          <w:trHeight w:val="255"/>
        </w:trPr>
        <w:tc>
          <w:tcPr>
            <w:tcW w:w="4955" w:type="dxa"/>
            <w:tcBorders>
              <w:top w:val="nil"/>
              <w:left w:val="single" w:color="auto" w:sz="8" w:space="0"/>
              <w:bottom w:val="single" w:color="auto" w:sz="4" w:space="0"/>
              <w:right w:val="single" w:color="auto" w:sz="8" w:space="0"/>
            </w:tcBorders>
            <w:noWrap/>
            <w:tcMar>
              <w:top w:w="0" w:type="dxa"/>
              <w:left w:w="70" w:type="dxa"/>
              <w:bottom w:w="0" w:type="dxa"/>
              <w:right w:w="70" w:type="dxa"/>
            </w:tcMar>
            <w:vAlign w:val="bottom"/>
          </w:tcPr>
          <w:p w:rsidRPr="005C167B" w:rsidR="005C167B" w:rsidP="005C167B" w:rsidRDefault="005C167B" w14:paraId="2A7E10D3" w14:textId="27DF0898">
            <w:r w:rsidRPr="005C167B">
              <w:t xml:space="preserve">Verhogen algemene heffingskorting met € </w:t>
            </w:r>
            <w:r w:rsidR="00FC2046">
              <w:t>59</w:t>
            </w:r>
          </w:p>
        </w:tc>
        <w:tc>
          <w:tcPr>
            <w:tcW w:w="963"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41583CCE" w14:textId="32597BDF">
            <w:pPr>
              <w:jc w:val="right"/>
            </w:pPr>
            <w:r w:rsidRPr="005C167B">
              <w:t>-5</w:t>
            </w:r>
            <w:r w:rsidR="00FC2046">
              <w:t>06</w:t>
            </w:r>
          </w:p>
        </w:tc>
        <w:tc>
          <w:tcPr>
            <w:tcW w:w="964"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71216F9E" w14:textId="2DF1ECE2">
            <w:pPr>
              <w:jc w:val="right"/>
            </w:pPr>
            <w:r w:rsidRPr="005C167B">
              <w:t>-5</w:t>
            </w:r>
            <w:r w:rsidR="00FC2046">
              <w:t>05</w:t>
            </w:r>
          </w:p>
        </w:tc>
        <w:tc>
          <w:tcPr>
            <w:tcW w:w="964"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2AC3F6DD" w14:textId="35196FE5">
            <w:pPr>
              <w:jc w:val="right"/>
            </w:pPr>
            <w:r w:rsidRPr="005C167B">
              <w:t>-5</w:t>
            </w:r>
            <w:r w:rsidR="00FC2046">
              <w:t>29</w:t>
            </w:r>
          </w:p>
        </w:tc>
        <w:tc>
          <w:tcPr>
            <w:tcW w:w="964" w:type="dxa"/>
            <w:tcBorders>
              <w:top w:val="nil"/>
              <w:left w:val="nil"/>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3AE23681" w14:textId="2BE67D35">
            <w:pPr>
              <w:jc w:val="right"/>
            </w:pPr>
            <w:r w:rsidRPr="005C167B">
              <w:t>-5</w:t>
            </w:r>
            <w:r w:rsidR="00FC2046">
              <w:t>10</w:t>
            </w:r>
          </w:p>
        </w:tc>
        <w:tc>
          <w:tcPr>
            <w:tcW w:w="964" w:type="dxa"/>
            <w:tcBorders>
              <w:top w:val="single" w:color="auto" w:sz="8" w:space="0"/>
              <w:left w:val="single" w:color="auto" w:sz="4" w:space="0"/>
              <w:bottom w:val="single" w:color="auto" w:sz="4" w:space="0"/>
              <w:right w:val="single" w:color="auto" w:sz="8" w:space="0"/>
            </w:tcBorders>
            <w:noWrap/>
            <w:tcMar>
              <w:top w:w="0" w:type="dxa"/>
              <w:left w:w="70" w:type="dxa"/>
              <w:bottom w:w="0" w:type="dxa"/>
              <w:right w:w="70" w:type="dxa"/>
            </w:tcMar>
            <w:vAlign w:val="bottom"/>
          </w:tcPr>
          <w:p w:rsidRPr="005C167B" w:rsidR="005C167B" w:rsidP="00AB1467" w:rsidRDefault="005C167B" w14:paraId="1351D1E0" w14:textId="445E2C00">
            <w:pPr>
              <w:jc w:val="right"/>
            </w:pPr>
            <w:r w:rsidRPr="005C167B">
              <w:t>-5</w:t>
            </w:r>
            <w:r w:rsidR="00FC2046">
              <w:t>28</w:t>
            </w:r>
          </w:p>
        </w:tc>
      </w:tr>
      <w:tr w:rsidRPr="005C167B" w:rsidR="00AB1467" w:rsidTr="00AB1467" w14:paraId="20D251C1" w14:textId="77777777">
        <w:trPr>
          <w:trHeight w:val="255"/>
        </w:trPr>
        <w:tc>
          <w:tcPr>
            <w:tcW w:w="495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hideMark/>
          </w:tcPr>
          <w:p w:rsidRPr="005C167B" w:rsidR="005C167B" w:rsidP="005C167B" w:rsidRDefault="005C167B" w14:paraId="5C75B4A8" w14:textId="77777777">
            <w:r w:rsidRPr="005C167B">
              <w:t>Verlagen aanvangspunt toptarief in 2026</w:t>
            </w:r>
          </w:p>
        </w:tc>
        <w:tc>
          <w:tcPr>
            <w:tcW w:w="963"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2AA0791C" w14:textId="77777777">
            <w:pPr>
              <w:jc w:val="right"/>
            </w:pPr>
            <w:r w:rsidRPr="005C167B">
              <w:t>551</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6952E61C" w14:textId="77777777">
            <w:pPr>
              <w:jc w:val="right"/>
            </w:pPr>
            <w:r w:rsidRPr="005C167B">
              <w:t>549</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2C52B031" w14:textId="77777777">
            <w:pPr>
              <w:jc w:val="right"/>
            </w:pPr>
            <w:r w:rsidRPr="005C167B">
              <w:t>548</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7B3E107A" w14:textId="77777777">
            <w:pPr>
              <w:jc w:val="right"/>
            </w:pPr>
            <w:r w:rsidRPr="005C167B">
              <w:t>543</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5C167B" w14:paraId="170B1FDE" w14:textId="77777777">
            <w:pPr>
              <w:jc w:val="right"/>
            </w:pPr>
            <w:r w:rsidRPr="005C167B">
              <w:t>530</w:t>
            </w:r>
          </w:p>
        </w:tc>
      </w:tr>
      <w:tr w:rsidRPr="005C167B" w:rsidR="00AB1467" w:rsidTr="00AB1467" w14:paraId="27EBE5CF" w14:textId="77777777">
        <w:trPr>
          <w:trHeight w:val="255"/>
        </w:trPr>
        <w:tc>
          <w:tcPr>
            <w:tcW w:w="4955"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5C167B" w:rsidRDefault="005C167B" w14:paraId="3F97253E" w14:textId="77777777">
            <w:r w:rsidRPr="005C167B">
              <w:t>Totaal</w:t>
            </w:r>
          </w:p>
        </w:tc>
        <w:tc>
          <w:tcPr>
            <w:tcW w:w="963"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247C83FB" w14:textId="6BCADC5B">
            <w:pPr>
              <w:jc w:val="right"/>
            </w:pPr>
            <w:r>
              <w:t>45</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57E00076" w14:textId="60747F86">
            <w:pPr>
              <w:jc w:val="right"/>
            </w:pPr>
            <w:r>
              <w:t>44</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477E8542" w14:textId="704D2A3E">
            <w:pPr>
              <w:jc w:val="right"/>
            </w:pPr>
            <w:r>
              <w:t>19</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5BCB1F60" w14:textId="5B5A824F">
            <w:pPr>
              <w:jc w:val="right"/>
            </w:pPr>
            <w:r>
              <w:t>33</w:t>
            </w:r>
          </w:p>
        </w:tc>
        <w:tc>
          <w:tcPr>
            <w:tcW w:w="964" w:type="dxa"/>
            <w:tcBorders>
              <w:top w:val="single" w:color="auto" w:sz="4" w:space="0"/>
              <w:left w:val="single" w:color="auto" w:sz="4" w:space="0"/>
              <w:bottom w:val="single" w:color="auto" w:sz="4" w:space="0"/>
              <w:right w:val="single" w:color="auto" w:sz="4" w:space="0"/>
            </w:tcBorders>
            <w:noWrap/>
            <w:tcMar>
              <w:top w:w="0" w:type="dxa"/>
              <w:left w:w="70" w:type="dxa"/>
              <w:bottom w:w="0" w:type="dxa"/>
              <w:right w:w="70" w:type="dxa"/>
            </w:tcMar>
            <w:vAlign w:val="bottom"/>
          </w:tcPr>
          <w:p w:rsidRPr="005C167B" w:rsidR="005C167B" w:rsidP="00AB1467" w:rsidRDefault="00FC2046" w14:paraId="1A7F7D05" w14:textId="3A45FF38">
            <w:pPr>
              <w:jc w:val="right"/>
            </w:pPr>
            <w:r>
              <w:t>2</w:t>
            </w:r>
          </w:p>
        </w:tc>
      </w:tr>
    </w:tbl>
    <w:p w:rsidR="005B1DCC" w:rsidP="00BF623B" w:rsidRDefault="005B1DCC" w14:paraId="5CA1C6D0" w14:textId="47B3601E"/>
    <w:p w:rsidRPr="00EA69AC" w:rsidR="00B4708A" w:rsidP="00EA1CE4" w:rsidRDefault="00B5464C" w14:paraId="4554FBCB" w14:textId="314A7A5A">
      <w:r>
        <w:t>Stultiens</w:t>
      </w:r>
    </w:p>
    <w:sectPr w:rsidRPr="00EA69AC" w:rsidR="00B4708A" w:rsidSect="00EA1CE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D9C6" w14:textId="77777777" w:rsidR="007E3BCB" w:rsidRDefault="007E3BCB">
      <w:pPr>
        <w:spacing w:line="20" w:lineRule="exact"/>
      </w:pPr>
    </w:p>
  </w:endnote>
  <w:endnote w:type="continuationSeparator" w:id="0">
    <w:p w14:paraId="2EB02B70" w14:textId="77777777" w:rsidR="007E3BCB" w:rsidRDefault="007E3BCB">
      <w:pPr>
        <w:pStyle w:val="Amendement"/>
      </w:pPr>
      <w:r>
        <w:rPr>
          <w:b w:val="0"/>
        </w:rPr>
        <w:t xml:space="preserve"> </w:t>
      </w:r>
    </w:p>
  </w:endnote>
  <w:endnote w:type="continuationNotice" w:id="1">
    <w:p w14:paraId="26F09601" w14:textId="77777777" w:rsidR="007E3BCB" w:rsidRDefault="007E3B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B847" w14:textId="77777777" w:rsidR="007E3BCB" w:rsidRDefault="007E3BCB">
      <w:pPr>
        <w:pStyle w:val="Amendement"/>
      </w:pPr>
      <w:r>
        <w:rPr>
          <w:b w:val="0"/>
        </w:rPr>
        <w:separator/>
      </w:r>
    </w:p>
  </w:footnote>
  <w:footnote w:type="continuationSeparator" w:id="0">
    <w:p w14:paraId="48D1A272" w14:textId="77777777" w:rsidR="007E3BCB" w:rsidRDefault="007E3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C52C9"/>
    <w:multiLevelType w:val="hybridMultilevel"/>
    <w:tmpl w:val="05A60E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613AD4"/>
    <w:multiLevelType w:val="hybridMultilevel"/>
    <w:tmpl w:val="B4A0DD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16207854">
    <w:abstractNumId w:val="0"/>
  </w:num>
  <w:num w:numId="2" w16cid:durableId="1106848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D17BF"/>
    <w:rsid w:val="00157CAF"/>
    <w:rsid w:val="001656EE"/>
    <w:rsid w:val="0016653D"/>
    <w:rsid w:val="001E0E21"/>
    <w:rsid w:val="002153B0"/>
    <w:rsid w:val="0021777F"/>
    <w:rsid w:val="00241DD0"/>
    <w:rsid w:val="002567D2"/>
    <w:rsid w:val="002A0713"/>
    <w:rsid w:val="00300E76"/>
    <w:rsid w:val="00367594"/>
    <w:rsid w:val="003C21AC"/>
    <w:rsid w:val="003C5218"/>
    <w:rsid w:val="003E2F98"/>
    <w:rsid w:val="00401955"/>
    <w:rsid w:val="004048EA"/>
    <w:rsid w:val="004120AD"/>
    <w:rsid w:val="0042574B"/>
    <w:rsid w:val="004330ED"/>
    <w:rsid w:val="00481C91"/>
    <w:rsid w:val="004911E3"/>
    <w:rsid w:val="00497D57"/>
    <w:rsid w:val="004A7DD4"/>
    <w:rsid w:val="004B50D8"/>
    <w:rsid w:val="004B5B90"/>
    <w:rsid w:val="004E58A5"/>
    <w:rsid w:val="00501109"/>
    <w:rsid w:val="0055059F"/>
    <w:rsid w:val="00553376"/>
    <w:rsid w:val="005703C9"/>
    <w:rsid w:val="0059469C"/>
    <w:rsid w:val="00597703"/>
    <w:rsid w:val="005A6097"/>
    <w:rsid w:val="005B1DCC"/>
    <w:rsid w:val="005B7323"/>
    <w:rsid w:val="005C167B"/>
    <w:rsid w:val="005C25B9"/>
    <w:rsid w:val="006267E6"/>
    <w:rsid w:val="0064243D"/>
    <w:rsid w:val="006558D2"/>
    <w:rsid w:val="00672D25"/>
    <w:rsid w:val="006738BC"/>
    <w:rsid w:val="006D0098"/>
    <w:rsid w:val="006D3E69"/>
    <w:rsid w:val="006D7738"/>
    <w:rsid w:val="006E0971"/>
    <w:rsid w:val="006F7179"/>
    <w:rsid w:val="00710DAA"/>
    <w:rsid w:val="00721E3C"/>
    <w:rsid w:val="00724FC7"/>
    <w:rsid w:val="00740097"/>
    <w:rsid w:val="007709F6"/>
    <w:rsid w:val="00786649"/>
    <w:rsid w:val="007965FC"/>
    <w:rsid w:val="007D2608"/>
    <w:rsid w:val="007E3BCB"/>
    <w:rsid w:val="007E3E68"/>
    <w:rsid w:val="00815F51"/>
    <w:rsid w:val="008164E5"/>
    <w:rsid w:val="00827898"/>
    <w:rsid w:val="00830081"/>
    <w:rsid w:val="00832A36"/>
    <w:rsid w:val="008413F4"/>
    <w:rsid w:val="008467D7"/>
    <w:rsid w:val="00852541"/>
    <w:rsid w:val="00865317"/>
    <w:rsid w:val="00865D47"/>
    <w:rsid w:val="008766F7"/>
    <w:rsid w:val="0088452C"/>
    <w:rsid w:val="00890CF5"/>
    <w:rsid w:val="008A7349"/>
    <w:rsid w:val="008D7DCB"/>
    <w:rsid w:val="009055DB"/>
    <w:rsid w:val="00905ECB"/>
    <w:rsid w:val="00907AE1"/>
    <w:rsid w:val="00941C3A"/>
    <w:rsid w:val="0096165D"/>
    <w:rsid w:val="0098646D"/>
    <w:rsid w:val="009A409F"/>
    <w:rsid w:val="009B5845"/>
    <w:rsid w:val="009C0C1F"/>
    <w:rsid w:val="00A10505"/>
    <w:rsid w:val="00A1288B"/>
    <w:rsid w:val="00A26377"/>
    <w:rsid w:val="00A53203"/>
    <w:rsid w:val="00A772EB"/>
    <w:rsid w:val="00A977FC"/>
    <w:rsid w:val="00AB1467"/>
    <w:rsid w:val="00B01BA6"/>
    <w:rsid w:val="00B36DBA"/>
    <w:rsid w:val="00B42512"/>
    <w:rsid w:val="00B4708A"/>
    <w:rsid w:val="00B52E51"/>
    <w:rsid w:val="00B5464C"/>
    <w:rsid w:val="00B709BF"/>
    <w:rsid w:val="00B87F58"/>
    <w:rsid w:val="00BA0069"/>
    <w:rsid w:val="00BB1A0D"/>
    <w:rsid w:val="00BC3F1F"/>
    <w:rsid w:val="00BF623B"/>
    <w:rsid w:val="00BF76E5"/>
    <w:rsid w:val="00C035D4"/>
    <w:rsid w:val="00C159CB"/>
    <w:rsid w:val="00C34704"/>
    <w:rsid w:val="00C679BF"/>
    <w:rsid w:val="00C81BBD"/>
    <w:rsid w:val="00C9556F"/>
    <w:rsid w:val="00CA6A4C"/>
    <w:rsid w:val="00CD3132"/>
    <w:rsid w:val="00CD35C2"/>
    <w:rsid w:val="00CE27CD"/>
    <w:rsid w:val="00D015CB"/>
    <w:rsid w:val="00D134F3"/>
    <w:rsid w:val="00D276FD"/>
    <w:rsid w:val="00D47D01"/>
    <w:rsid w:val="00D47E1D"/>
    <w:rsid w:val="00D774B3"/>
    <w:rsid w:val="00DB798E"/>
    <w:rsid w:val="00DD35A5"/>
    <w:rsid w:val="00DF68BE"/>
    <w:rsid w:val="00DF712A"/>
    <w:rsid w:val="00E01659"/>
    <w:rsid w:val="00E14CC9"/>
    <w:rsid w:val="00E25DF4"/>
    <w:rsid w:val="00E3485D"/>
    <w:rsid w:val="00E6619B"/>
    <w:rsid w:val="00E94B6C"/>
    <w:rsid w:val="00EA1CE4"/>
    <w:rsid w:val="00EA69AC"/>
    <w:rsid w:val="00EB40A1"/>
    <w:rsid w:val="00EC3112"/>
    <w:rsid w:val="00ED0585"/>
    <w:rsid w:val="00ED5E57"/>
    <w:rsid w:val="00EE1BD8"/>
    <w:rsid w:val="00F0524D"/>
    <w:rsid w:val="00F0544D"/>
    <w:rsid w:val="00FA5BBE"/>
    <w:rsid w:val="00FC20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42512"/>
    <w:rPr>
      <w:sz w:val="16"/>
      <w:szCs w:val="16"/>
    </w:rPr>
  </w:style>
  <w:style w:type="paragraph" w:styleId="Tekstopmerking">
    <w:name w:val="annotation text"/>
    <w:basedOn w:val="Standaard"/>
    <w:link w:val="TekstopmerkingChar"/>
    <w:unhideWhenUsed/>
    <w:rsid w:val="00B42512"/>
    <w:rPr>
      <w:sz w:val="20"/>
    </w:rPr>
  </w:style>
  <w:style w:type="character" w:customStyle="1" w:styleId="TekstopmerkingChar">
    <w:name w:val="Tekst opmerking Char"/>
    <w:basedOn w:val="Standaardalinea-lettertype"/>
    <w:link w:val="Tekstopmerking"/>
    <w:rsid w:val="00B42512"/>
  </w:style>
  <w:style w:type="paragraph" w:styleId="Onderwerpvanopmerking">
    <w:name w:val="annotation subject"/>
    <w:basedOn w:val="Tekstopmerking"/>
    <w:next w:val="Tekstopmerking"/>
    <w:link w:val="OnderwerpvanopmerkingChar"/>
    <w:semiHidden/>
    <w:unhideWhenUsed/>
    <w:rsid w:val="00B42512"/>
    <w:rPr>
      <w:b/>
      <w:bCs/>
    </w:rPr>
  </w:style>
  <w:style w:type="character" w:customStyle="1" w:styleId="OnderwerpvanopmerkingChar">
    <w:name w:val="Onderwerp van opmerking Char"/>
    <w:basedOn w:val="TekstopmerkingChar"/>
    <w:link w:val="Onderwerpvanopmerking"/>
    <w:semiHidden/>
    <w:rsid w:val="00B42512"/>
    <w:rPr>
      <w:b/>
      <w:bCs/>
    </w:rPr>
  </w:style>
  <w:style w:type="paragraph" w:styleId="Revisie">
    <w:name w:val="Revision"/>
    <w:hidden/>
    <w:uiPriority w:val="99"/>
    <w:semiHidden/>
    <w:rsid w:val="00A26377"/>
    <w:rPr>
      <w:sz w:val="24"/>
    </w:rPr>
  </w:style>
  <w:style w:type="paragraph" w:styleId="Lijstalinea">
    <w:name w:val="List Paragraph"/>
    <w:basedOn w:val="Standaard"/>
    <w:uiPriority w:val="34"/>
    <w:qFormat/>
    <w:rsid w:val="00907A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568</ap:Words>
  <ap:Characters>3129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2025-11-26T12:59:00.0000000Z</dcterms:created>
  <dcterms:modified xsi:type="dcterms:W3CDTF">2025-11-26T12:59:00.0000000Z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y fmtid="{D5CDD505-2E9C-101B-9397-08002B2CF9AE}" pid="10" name="MediaServiceImageTags">
    <vt:lpwstr/>
  </property>
</Properties>
</file>