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20C8" w:rsidP="00C543BD" w:rsidRDefault="003D5B64" w14:paraId="34439EC8" w14:textId="29A930C5">
      <w:r>
        <w:t>Op 19 september 2024 vond een</w:t>
      </w:r>
      <w:r w:rsidR="005F1DE9">
        <w:t xml:space="preserve"> </w:t>
      </w:r>
      <w:r>
        <w:t>steekincident plaats bij de Erasmusbrug in Rotterdam.</w:t>
      </w:r>
      <w:r w:rsidR="000944CD">
        <w:t xml:space="preserve"> </w:t>
      </w:r>
      <w:r w:rsidR="006220C8">
        <w:t xml:space="preserve">Hierbij is één persoon om het leven gekomen en een ander ernstig gewond geraakt. Deze tragische gebeurtenis heeft een grote maatschappelijke impact gehad. Mijn gedachten gaan uit naar de nabestaanden, slachtoffers en omstanders. </w:t>
      </w:r>
    </w:p>
    <w:p w:rsidR="006220C8" w:rsidP="00C543BD" w:rsidRDefault="006220C8" w14:paraId="2B49954D" w14:textId="77777777"/>
    <w:p w:rsidRPr="00306EB3" w:rsidR="003D5B64" w:rsidP="00C543BD" w:rsidRDefault="005F1DE9" w14:paraId="44F3723B" w14:textId="47B3BE32">
      <w:r w:rsidRPr="00306EB3">
        <w:t xml:space="preserve">Zoals per brief van 23 september 2024 door mijn voorganger is aangekondigd, heeft de Inspectie Justitie en Veiligheid (hierna: de </w:t>
      </w:r>
      <w:proofErr w:type="spellStart"/>
      <w:r w:rsidRPr="00306EB3">
        <w:t>IJenV</w:t>
      </w:r>
      <w:proofErr w:type="spellEnd"/>
      <w:r w:rsidRPr="00306EB3">
        <w:t>) onderzoek gedaan naar het handelen van de betrokken organisaties in de aanloop naar dit incident. Hierbij is</w:t>
      </w:r>
      <w:r w:rsidRPr="00306EB3" w:rsidR="008E4706">
        <w:t xml:space="preserve"> op onderdelen</w:t>
      </w:r>
      <w:r w:rsidRPr="00306EB3">
        <w:t xml:space="preserve"> samengewerkt met de Inspectie Gezondheidszorg en Jeugd (hierna: de IGJ).</w:t>
      </w:r>
      <w:r w:rsidRPr="00306EB3" w:rsidR="00CE27E1">
        <w:t xml:space="preserve"> </w:t>
      </w:r>
      <w:r w:rsidRPr="00306EB3" w:rsidR="003D5B64">
        <w:t xml:space="preserve">Via deze brief bied ik </w:t>
      </w:r>
      <w:r w:rsidRPr="00306EB3" w:rsidR="00F31280">
        <w:t>het</w:t>
      </w:r>
      <w:r w:rsidRPr="00306EB3" w:rsidR="003D5B64">
        <w:t xml:space="preserve"> rapport aan uw Kamer aan en reageer ik inhoudelijk op de </w:t>
      </w:r>
      <w:r w:rsidRPr="00306EB3" w:rsidR="00E90D24">
        <w:t>aanbevelingen</w:t>
      </w:r>
      <w:r w:rsidRPr="00306EB3" w:rsidR="003D5B64">
        <w:t xml:space="preserve"> van de </w:t>
      </w:r>
      <w:r w:rsidRPr="00306EB3" w:rsidR="007007F4">
        <w:t>inspecties</w:t>
      </w:r>
      <w:r w:rsidRPr="00306EB3" w:rsidR="003D5B64">
        <w:t xml:space="preserve">. </w:t>
      </w:r>
    </w:p>
    <w:p w:rsidRPr="00306EB3" w:rsidR="003D5B64" w:rsidP="00C543BD" w:rsidRDefault="003D5B64" w14:paraId="1FF2E6A1" w14:textId="77777777"/>
    <w:p w:rsidRPr="00306EB3" w:rsidR="0099731F" w:rsidP="00C543BD" w:rsidRDefault="004A5FD2" w14:paraId="0AD1D675" w14:textId="22841628">
      <w:r w:rsidRPr="00306EB3">
        <w:t>Zoals eerder aangekondigd reageer ik via deze brief ook op de bevindingen in</w:t>
      </w:r>
      <w:r w:rsidRPr="00306EB3" w:rsidR="00683E42">
        <w:t xml:space="preserve"> het</w:t>
      </w:r>
      <w:r w:rsidRPr="00306EB3">
        <w:t xml:space="preserve"> </w:t>
      </w:r>
      <w:r w:rsidRPr="00306EB3" w:rsidR="0099731F">
        <w:t xml:space="preserve">rapport </w:t>
      </w:r>
      <w:r w:rsidRPr="00306EB3" w:rsidR="003A678D">
        <w:t>‘Incidentenonderzoeken onder de loep’</w:t>
      </w:r>
      <w:r w:rsidRPr="00306EB3">
        <w:t>.</w:t>
      </w:r>
      <w:r w:rsidRPr="00306EB3" w:rsidR="002D257B">
        <w:rPr>
          <w:rStyle w:val="Voetnootmarkering"/>
        </w:rPr>
        <w:footnoteReference w:id="1"/>
      </w:r>
      <w:r w:rsidRPr="00306EB3" w:rsidR="009A03D7">
        <w:t xml:space="preserve"> </w:t>
      </w:r>
      <w:r w:rsidRPr="00306EB3" w:rsidR="00E54C6D">
        <w:t xml:space="preserve">In dit rapport heeft de </w:t>
      </w:r>
      <w:proofErr w:type="spellStart"/>
      <w:r w:rsidRPr="00306EB3" w:rsidR="002D257B">
        <w:t>IJenV</w:t>
      </w:r>
      <w:proofErr w:type="spellEnd"/>
      <w:r w:rsidRPr="00306EB3" w:rsidR="006A22B3">
        <w:t xml:space="preserve"> haar eerdere incidentonderzoeken binnen het domein van de sanctietoepassing over de periode van 2012 tot en met 2024 systematisch geanalyseerd. </w:t>
      </w:r>
      <w:r w:rsidRPr="00306EB3" w:rsidR="0099731F">
        <w:t>De onderzochte incidenten zijn veelal incidenten met een grote maatschappelijke impact en</w:t>
      </w:r>
      <w:r w:rsidRPr="00306EB3" w:rsidR="00E54C6D">
        <w:t xml:space="preserve"> in een aantal gevallen </w:t>
      </w:r>
      <w:r w:rsidRPr="00306EB3" w:rsidR="00341C2E">
        <w:t xml:space="preserve">met </w:t>
      </w:r>
      <w:r w:rsidRPr="00306EB3" w:rsidR="0099731F">
        <w:t xml:space="preserve">dodelijke slachtoffers tot gevolg. </w:t>
      </w:r>
    </w:p>
    <w:p w:rsidRPr="00306EB3" w:rsidR="003D5B64" w:rsidP="00AB17A2" w:rsidRDefault="00AB17A2" w14:paraId="4D8568FF" w14:textId="6C2733F9">
      <w:pPr>
        <w:tabs>
          <w:tab w:val="left" w:pos="6383"/>
        </w:tabs>
      </w:pPr>
      <w:r w:rsidRPr="00306EB3">
        <w:tab/>
      </w:r>
    </w:p>
    <w:p w:rsidRPr="00306EB3" w:rsidR="003A678D" w:rsidP="00C543BD" w:rsidRDefault="006220C8" w14:paraId="6BAEAF7A" w14:textId="1F393448">
      <w:r w:rsidRPr="00306EB3">
        <w:t xml:space="preserve">Het is van groot belang dat er van incidenten wordt geleerd om risico’s, en daarmee de kans op toekomstige incidenten, zo klein mogelijk te maken. Ik geef eerst mijn reactie op </w:t>
      </w:r>
      <w:r w:rsidRPr="00306EB3" w:rsidR="003A6D5A">
        <w:t>het onderzoek</w:t>
      </w:r>
      <w:r w:rsidRPr="00306EB3" w:rsidR="004A5FD2">
        <w:t xml:space="preserve"> naar</w:t>
      </w:r>
      <w:r w:rsidRPr="00306EB3" w:rsidR="003A6D5A">
        <w:t xml:space="preserve"> het steekincident bij de Erasmusbrug te Rotterdam. Vervolgens ga ik in op de bredere reflectie van de </w:t>
      </w:r>
      <w:proofErr w:type="spellStart"/>
      <w:r w:rsidRPr="00306EB3" w:rsidR="004B1927">
        <w:t>IJenV</w:t>
      </w:r>
      <w:proofErr w:type="spellEnd"/>
      <w:r w:rsidRPr="00306EB3" w:rsidR="003A6D5A">
        <w:t xml:space="preserve"> </w:t>
      </w:r>
      <w:r w:rsidRPr="00306EB3" w:rsidR="00576892">
        <w:t>in</w:t>
      </w:r>
      <w:r w:rsidRPr="00306EB3" w:rsidR="003A6D5A">
        <w:t xml:space="preserve"> het rapport ‘Incidentenonderzoeken onder de loep’.</w:t>
      </w:r>
    </w:p>
    <w:p w:rsidRPr="00306EB3" w:rsidR="004F756F" w:rsidP="00C543BD" w:rsidRDefault="004F756F" w14:paraId="7582E26F" w14:textId="77777777"/>
    <w:p w:rsidRPr="00306EB3" w:rsidR="004F756F" w:rsidP="00D97828" w:rsidRDefault="004F756F" w14:paraId="5C9CE3A7" w14:textId="64F03229">
      <w:pPr>
        <w:pStyle w:val="Lijstalinea"/>
        <w:numPr>
          <w:ilvl w:val="0"/>
          <w:numId w:val="19"/>
        </w:numPr>
        <w:ind w:left="567" w:hanging="567"/>
        <w:rPr>
          <w:b/>
          <w:bCs/>
        </w:rPr>
      </w:pPr>
      <w:r w:rsidRPr="00306EB3">
        <w:rPr>
          <w:b/>
          <w:bCs/>
        </w:rPr>
        <w:t>Incidentenonderzoek dodelijk steekincident Erasmusbrug</w:t>
      </w:r>
    </w:p>
    <w:p w:rsidRPr="00306EB3" w:rsidR="00576892" w:rsidP="00D97828" w:rsidRDefault="00576892" w14:paraId="4A4267E8" w14:textId="77777777">
      <w:pPr>
        <w:ind w:left="567" w:hanging="567"/>
      </w:pPr>
    </w:p>
    <w:p w:rsidRPr="00306EB3" w:rsidR="002C1C25" w:rsidP="00D97828" w:rsidRDefault="00AB17A2" w14:paraId="1DE96230" w14:textId="23300FF3">
      <w:pPr>
        <w:pStyle w:val="Lijstalinea"/>
        <w:numPr>
          <w:ilvl w:val="1"/>
          <w:numId w:val="19"/>
        </w:numPr>
        <w:ind w:left="567" w:hanging="567"/>
        <w:rPr>
          <w:b/>
          <w:bCs/>
        </w:rPr>
      </w:pPr>
      <w:r w:rsidRPr="00306EB3">
        <w:rPr>
          <w:b/>
          <w:bCs/>
        </w:rPr>
        <w:t>Samenvatting</w:t>
      </w:r>
      <w:r w:rsidRPr="00306EB3" w:rsidR="00576892">
        <w:rPr>
          <w:b/>
          <w:bCs/>
        </w:rPr>
        <w:t xml:space="preserve"> rapport ‘Incidentenonderzoek dodelijk steekincident Erasmusbrug’</w:t>
      </w:r>
    </w:p>
    <w:p w:rsidRPr="00306EB3" w:rsidR="0064383F" w:rsidP="00C543BD" w:rsidRDefault="00576892" w14:paraId="6D9E1E5F" w14:textId="7E5BAC2E">
      <w:r w:rsidRPr="00306EB3">
        <w:t xml:space="preserve">Het onderzoek van de </w:t>
      </w:r>
      <w:proofErr w:type="spellStart"/>
      <w:r w:rsidRPr="00306EB3" w:rsidR="002D257B">
        <w:t>IJenV</w:t>
      </w:r>
      <w:proofErr w:type="spellEnd"/>
      <w:r w:rsidRPr="00306EB3">
        <w:t xml:space="preserve"> is opgesplitst </w:t>
      </w:r>
      <w:r w:rsidRPr="00306EB3" w:rsidR="00590E8B">
        <w:t xml:space="preserve">in twee delen: 1. Onderzoek </w:t>
      </w:r>
      <w:r w:rsidRPr="00306EB3">
        <w:t xml:space="preserve">naar het handelen van organisaties naar aanleiding van mogelijke signalen van radicalisering, en </w:t>
      </w:r>
      <w:r w:rsidRPr="00306EB3" w:rsidR="00590E8B">
        <w:t xml:space="preserve">2. </w:t>
      </w:r>
      <w:r w:rsidRPr="00306EB3" w:rsidR="0064383F">
        <w:t>O</w:t>
      </w:r>
      <w:r w:rsidRPr="00306EB3">
        <w:t>nderzoek naar het handelen van organisaties bij de uitvoering van de maatregel tbs met voorwaarden.</w:t>
      </w:r>
      <w:r w:rsidRPr="00306EB3" w:rsidR="0064383F">
        <w:t xml:space="preserve"> </w:t>
      </w:r>
      <w:r w:rsidRPr="00306EB3" w:rsidR="003A678D">
        <w:t xml:space="preserve">Voor dit tweede deel heeft de </w:t>
      </w:r>
      <w:proofErr w:type="spellStart"/>
      <w:r w:rsidRPr="00306EB3" w:rsidR="002D257B">
        <w:t>IJenV</w:t>
      </w:r>
      <w:proofErr w:type="spellEnd"/>
      <w:r w:rsidRPr="00306EB3" w:rsidR="003A678D">
        <w:t xml:space="preserve"> samengewerkt met de IGJ.</w:t>
      </w:r>
    </w:p>
    <w:p w:rsidRPr="00306EB3" w:rsidR="005464D6" w:rsidP="00C543BD" w:rsidRDefault="005464D6" w14:paraId="7584EA93" w14:textId="77777777"/>
    <w:p w:rsidRPr="00306EB3" w:rsidR="0064383F" w:rsidP="00C543BD" w:rsidRDefault="0064383F" w14:paraId="2EC7C927" w14:textId="77777777"/>
    <w:p w:rsidRPr="00306EB3" w:rsidR="0064383F" w:rsidP="00C543BD" w:rsidRDefault="0064383F" w14:paraId="67DC0107" w14:textId="20055573">
      <w:pPr>
        <w:rPr>
          <w:i/>
          <w:iCs/>
        </w:rPr>
      </w:pPr>
      <w:r w:rsidRPr="00306EB3">
        <w:rPr>
          <w:i/>
          <w:iCs/>
        </w:rPr>
        <w:t>Deel 1: Het handelen van organisaties naar aanleiding van mogelijke signalen van radicalisering</w:t>
      </w:r>
    </w:p>
    <w:p w:rsidRPr="00306EB3" w:rsidR="0064383F" w:rsidP="00C543BD" w:rsidRDefault="00CD18FF" w14:paraId="1C6B6FFB" w14:textId="1D0646BE">
      <w:r w:rsidRPr="00306EB3">
        <w:t xml:space="preserve">De </w:t>
      </w:r>
      <w:proofErr w:type="spellStart"/>
      <w:r w:rsidRPr="00306EB3">
        <w:t>IJenV</w:t>
      </w:r>
      <w:proofErr w:type="spellEnd"/>
      <w:r w:rsidRPr="00306EB3">
        <w:t xml:space="preserve"> heeft het handelen van organisaties naar aanleiding van mogelijke signalen van radicalisering onderzocht, tot aan het moment van het steekincident op 19 september 2024. Het mogelijke motief van de verdachte en zijn psychische toestand ten tijde van het incident op 19 september 2024 zijn onderdeel van het lopende strafrechtelijk onderzoek. Dit valt buiten de reikwijdte van het inspectierapport. De </w:t>
      </w:r>
      <w:proofErr w:type="spellStart"/>
      <w:r w:rsidRPr="00306EB3">
        <w:t>IJenV</w:t>
      </w:r>
      <w:proofErr w:type="spellEnd"/>
      <w:r w:rsidRPr="00306EB3">
        <w:t xml:space="preserve"> concludeert</w:t>
      </w:r>
      <w:r w:rsidRPr="00306EB3" w:rsidR="00590E8B">
        <w:t xml:space="preserve"> dat alle betrokken organisaties </w:t>
      </w:r>
      <w:r w:rsidRPr="00306EB3" w:rsidR="0097545C">
        <w:t xml:space="preserve">in aanloop naar het incident </w:t>
      </w:r>
      <w:r w:rsidRPr="00306EB3" w:rsidR="00590E8B">
        <w:t xml:space="preserve">de </w:t>
      </w:r>
      <w:r w:rsidRPr="00306EB3" w:rsidR="00E54C6D">
        <w:t xml:space="preserve">juiste processen </w:t>
      </w:r>
      <w:r w:rsidRPr="00306EB3" w:rsidR="00590E8B">
        <w:t xml:space="preserve">rondom signalen van radicalisering hebben gevolgd. Het rapport bevat </w:t>
      </w:r>
      <w:r w:rsidRPr="00306EB3" w:rsidR="0099731C">
        <w:t>geen aanbevelingen met betrekking tot dit onderdeel</w:t>
      </w:r>
      <w:r w:rsidRPr="00306EB3" w:rsidR="00683E42">
        <w:t>.</w:t>
      </w:r>
      <w:r w:rsidRPr="00306EB3" w:rsidR="00590E8B">
        <w:t xml:space="preserve"> </w:t>
      </w:r>
    </w:p>
    <w:p w:rsidRPr="00306EB3" w:rsidR="0064383F" w:rsidP="00C543BD" w:rsidRDefault="0064383F" w14:paraId="6B742432" w14:textId="77777777"/>
    <w:p w:rsidRPr="00306EB3" w:rsidR="00590E8B" w:rsidP="00C543BD" w:rsidRDefault="0064383F" w14:paraId="3AB705FD" w14:textId="347214A6">
      <w:pPr>
        <w:rPr>
          <w:i/>
          <w:iCs/>
        </w:rPr>
      </w:pPr>
      <w:r w:rsidRPr="00306EB3">
        <w:rPr>
          <w:i/>
          <w:iCs/>
        </w:rPr>
        <w:t>Deel 2:</w:t>
      </w:r>
      <w:r w:rsidRPr="00306EB3" w:rsidR="00590E8B">
        <w:t xml:space="preserve"> </w:t>
      </w:r>
      <w:r w:rsidRPr="00306EB3" w:rsidR="00590E8B">
        <w:rPr>
          <w:i/>
          <w:iCs/>
        </w:rPr>
        <w:t>Handelen van organisaties in de uitvoering van de maatregel tbs met voorwaarden</w:t>
      </w:r>
    </w:p>
    <w:p w:rsidRPr="00306EB3" w:rsidR="008E4706" w:rsidP="00C543BD" w:rsidRDefault="00590E8B" w14:paraId="034A217F" w14:textId="444295B3">
      <w:r w:rsidRPr="00306EB3">
        <w:t>De focus van het onderzoek van de inspectie</w:t>
      </w:r>
      <w:r w:rsidRPr="00306EB3" w:rsidR="0064383F">
        <w:t>s</w:t>
      </w:r>
      <w:r w:rsidRPr="00306EB3">
        <w:t xml:space="preserve"> ligt op de periode maart 2024 tot</w:t>
      </w:r>
      <w:r w:rsidRPr="00306EB3" w:rsidR="0064383F">
        <w:t xml:space="preserve"> het moment van </w:t>
      </w:r>
      <w:r w:rsidRPr="00306EB3">
        <w:t>het incident op 19 september 2024.</w:t>
      </w:r>
      <w:r w:rsidRPr="00306EB3" w:rsidR="00B711B2">
        <w:t xml:space="preserve"> </w:t>
      </w:r>
      <w:r w:rsidRPr="00306EB3" w:rsidR="000944CD">
        <w:rPr>
          <w:rStyle w:val="cf01"/>
          <w:rFonts w:ascii="Verdana" w:hAnsi="Verdana"/>
        </w:rPr>
        <w:t>Deze periode wordt door de inspectie uitgelicht aangezien verdachte vanaf maart 2024 gedrag vertoont dat door de betrokken professionals als risicovoller wordt beschouwd dan in de periode daarvoor, en dat in strijd is met de voorwaarden van de aan hem opgelegde maatregel tbs met voorwaarden.</w:t>
      </w:r>
      <w:r w:rsidRPr="00306EB3" w:rsidR="007C2A24">
        <w:t xml:space="preserve"> </w:t>
      </w:r>
    </w:p>
    <w:p w:rsidRPr="00306EB3" w:rsidR="008E4706" w:rsidP="00C543BD" w:rsidRDefault="008E4706" w14:paraId="1934F9C4" w14:textId="77777777"/>
    <w:p w:rsidRPr="00306EB3" w:rsidR="00D97828" w:rsidP="00C543BD" w:rsidRDefault="0064383F" w14:paraId="47E18F0C" w14:textId="77777777">
      <w:r w:rsidRPr="00306EB3">
        <w:t>Gedurende deze periode</w:t>
      </w:r>
      <w:r w:rsidRPr="00306EB3" w:rsidR="00590E8B">
        <w:t xml:space="preserve"> waren</w:t>
      </w:r>
      <w:r w:rsidRPr="00306EB3" w:rsidR="003A678D">
        <w:t xml:space="preserve"> </w:t>
      </w:r>
      <w:r w:rsidRPr="00306EB3" w:rsidR="00590E8B">
        <w:t>de volgende organisaties betrokken bij de uitvoering van de maatregel tbs met voorwaarden</w:t>
      </w:r>
      <w:r w:rsidRPr="00306EB3" w:rsidR="00BA79D4">
        <w:t xml:space="preserve"> ten aanzien van verdachte</w:t>
      </w:r>
      <w:r w:rsidRPr="00306EB3" w:rsidR="00590E8B">
        <w:t>:</w:t>
      </w:r>
    </w:p>
    <w:p w:rsidRPr="00306EB3" w:rsidR="00590E8B" w:rsidP="00D97828" w:rsidRDefault="00590E8B" w14:paraId="40CEFEF5" w14:textId="467A2B63">
      <w:pPr>
        <w:pStyle w:val="Lijstalinea"/>
        <w:numPr>
          <w:ilvl w:val="0"/>
          <w:numId w:val="12"/>
        </w:numPr>
        <w:ind w:left="567" w:hanging="283"/>
      </w:pPr>
      <w:r w:rsidRPr="00306EB3">
        <w:t xml:space="preserve">Reclassering Nederland: </w:t>
      </w:r>
      <w:r w:rsidRPr="00306EB3" w:rsidR="00EB446F">
        <w:t>d</w:t>
      </w:r>
      <w:r w:rsidRPr="00306EB3">
        <w:t>it is de reclasseringsorganisatie die toezicht hield op de naleving van de voorwaarden door verdachte</w:t>
      </w:r>
      <w:r w:rsidRPr="00306EB3" w:rsidR="00D97828">
        <w:t>,</w:t>
      </w:r>
      <w:r w:rsidRPr="00306EB3">
        <w:t xml:space="preserve"> </w:t>
      </w:r>
    </w:p>
    <w:p w:rsidRPr="00306EB3" w:rsidR="00590E8B" w:rsidP="00D97828" w:rsidRDefault="00590E8B" w14:paraId="62327E23" w14:textId="2A5B237A">
      <w:pPr>
        <w:pStyle w:val="Lijstalinea"/>
        <w:numPr>
          <w:ilvl w:val="0"/>
          <w:numId w:val="12"/>
        </w:numPr>
        <w:ind w:left="567" w:hanging="283"/>
      </w:pPr>
      <w:proofErr w:type="spellStart"/>
      <w:r w:rsidRPr="00306EB3">
        <w:t>Kwintes</w:t>
      </w:r>
      <w:proofErr w:type="spellEnd"/>
      <w:r w:rsidRPr="00306EB3">
        <w:t xml:space="preserve">: </w:t>
      </w:r>
      <w:r w:rsidRPr="00306EB3" w:rsidR="00EB446F">
        <w:t>d</w:t>
      </w:r>
      <w:r w:rsidRPr="00306EB3">
        <w:t xml:space="preserve">it is de locatie voor beschermd wonen waar verdachte </w:t>
      </w:r>
      <w:r w:rsidRPr="00306EB3" w:rsidR="0044489E">
        <w:t>in die periode</w:t>
      </w:r>
      <w:r w:rsidRPr="00306EB3">
        <w:t xml:space="preserve"> verbleef</w:t>
      </w:r>
      <w:r w:rsidRPr="00306EB3" w:rsidR="00D97828">
        <w:t>,</w:t>
      </w:r>
    </w:p>
    <w:p w:rsidRPr="00306EB3" w:rsidR="00590E8B" w:rsidP="00D97828" w:rsidRDefault="00590E8B" w14:paraId="7AD13510" w14:textId="5A0DFD59">
      <w:pPr>
        <w:pStyle w:val="Lijstalinea"/>
        <w:numPr>
          <w:ilvl w:val="0"/>
          <w:numId w:val="12"/>
        </w:numPr>
        <w:ind w:left="567" w:hanging="283"/>
      </w:pPr>
      <w:r w:rsidRPr="00306EB3">
        <w:t xml:space="preserve">De Waag: </w:t>
      </w:r>
      <w:r w:rsidRPr="00306EB3" w:rsidR="00EB06DD">
        <w:t xml:space="preserve">de </w:t>
      </w:r>
      <w:r w:rsidRPr="00306EB3" w:rsidR="00AB17A2">
        <w:t xml:space="preserve">Waag </w:t>
      </w:r>
      <w:r w:rsidRPr="00306EB3" w:rsidR="003A678D">
        <w:t>bood de verdachte een forensisch ambulant</w:t>
      </w:r>
      <w:r w:rsidRPr="00306EB3" w:rsidR="006220C8">
        <w:t>e</w:t>
      </w:r>
      <w:r w:rsidRPr="00306EB3" w:rsidR="003A678D">
        <w:t xml:space="preserve"> behandeling</w:t>
      </w:r>
      <w:r w:rsidRPr="00306EB3" w:rsidR="00AB17A2">
        <w:t xml:space="preserve">.  </w:t>
      </w:r>
    </w:p>
    <w:p w:rsidRPr="00306EB3" w:rsidR="00AB17A2" w:rsidP="00AB17A2" w:rsidRDefault="00AB17A2" w14:paraId="5FF0F8DE" w14:textId="77777777"/>
    <w:p w:rsidRPr="00306EB3" w:rsidR="00AB17A2" w:rsidP="00AB17A2" w:rsidRDefault="00AB17A2" w14:paraId="6D29B2E6" w14:textId="34BFB8F2">
      <w:r w:rsidRPr="00306EB3">
        <w:t xml:space="preserve">De </w:t>
      </w:r>
      <w:proofErr w:type="spellStart"/>
      <w:r w:rsidRPr="00306EB3" w:rsidR="002D257B">
        <w:t>IJenV</w:t>
      </w:r>
      <w:proofErr w:type="spellEnd"/>
      <w:r w:rsidRPr="00306EB3">
        <w:t xml:space="preserve"> en de IGJ concluderen dat Reclassering Nederland, de Waag en </w:t>
      </w:r>
      <w:proofErr w:type="spellStart"/>
      <w:r w:rsidRPr="00306EB3">
        <w:t>Kwintes</w:t>
      </w:r>
      <w:proofErr w:type="spellEnd"/>
      <w:r w:rsidRPr="00306EB3">
        <w:t xml:space="preserve"> bij de uitvoering van de maatregel tbs met voorwaarden passende hulp en begeleiding boden, maar onvoldoende zicht hielden op veranderingen in beschermende- en risicofactoren.</w:t>
      </w:r>
      <w:bookmarkStart w:name="_Hlk213919007" w:id="0"/>
      <w:r w:rsidRPr="00306EB3" w:rsidR="008E4706">
        <w:t xml:space="preserve"> </w:t>
      </w:r>
      <w:r w:rsidRPr="00306EB3" w:rsidR="00C00448">
        <w:t xml:space="preserve">Ten eerste zijn de betrokken organisaties volgens de inspecties op momenten </w:t>
      </w:r>
      <w:r w:rsidRPr="00306EB3" w:rsidR="00F31280">
        <w:t>onvoldoende</w:t>
      </w:r>
      <w:r w:rsidRPr="00306EB3" w:rsidR="00C00448">
        <w:t xml:space="preserve"> forensisch scherp geweest in hun handelen. </w:t>
      </w:r>
      <w:r w:rsidRPr="00306EB3" w:rsidR="003A678D">
        <w:t>Zo zijn</w:t>
      </w:r>
      <w:r w:rsidRPr="00306EB3" w:rsidR="004A5FD2">
        <w:t xml:space="preserve"> </w:t>
      </w:r>
      <w:r w:rsidRPr="00306EB3" w:rsidR="003A678D">
        <w:t>signalen</w:t>
      </w:r>
      <w:r w:rsidRPr="00306EB3" w:rsidR="00C00448">
        <w:t xml:space="preserve"> niet altijd in samenhang beoordeeld. Ten tweede werd</w:t>
      </w:r>
      <w:r w:rsidRPr="00306EB3" w:rsidR="00591A54">
        <w:t xml:space="preserve"> de relevante</w:t>
      </w:r>
      <w:r w:rsidRPr="00306EB3" w:rsidR="00C00448">
        <w:t xml:space="preserve"> informatie soms onvoldoende gedeeld tussen de organisaties, </w:t>
      </w:r>
      <w:r w:rsidRPr="00306EB3" w:rsidR="00BA79D4">
        <w:t>mede vanwege</w:t>
      </w:r>
      <w:r w:rsidRPr="00306EB3" w:rsidR="00C00448">
        <w:t xml:space="preserve"> het ontbreken van structurele afspraken over informatiedeling. Tot slot constateren de inspecties dat de inschatting van het risico op recidive en psychiatrische ontregeling te weinig gezamenlijk tot stand is gekomen</w:t>
      </w:r>
      <w:r w:rsidRPr="00306EB3" w:rsidR="00C00448">
        <w:rPr>
          <w:color w:val="auto"/>
        </w:rPr>
        <w:t xml:space="preserve">. </w:t>
      </w:r>
      <w:bookmarkEnd w:id="0"/>
      <w:r w:rsidRPr="00306EB3" w:rsidR="003A678D">
        <w:t>Naar aanleiding van deze bevindingen doen</w:t>
      </w:r>
      <w:r w:rsidRPr="00306EB3">
        <w:t xml:space="preserve"> de inspecties de volgende </w:t>
      </w:r>
      <w:r w:rsidRPr="00306EB3" w:rsidR="002C1C25">
        <w:t xml:space="preserve">drie </w:t>
      </w:r>
      <w:r w:rsidRPr="00306EB3">
        <w:t xml:space="preserve">aanbevelingen: </w:t>
      </w:r>
    </w:p>
    <w:p w:rsidRPr="00306EB3" w:rsidR="00AB17A2" w:rsidP="00AB17A2" w:rsidRDefault="00AB17A2" w14:paraId="23AA8E80" w14:textId="77777777"/>
    <w:p w:rsidRPr="00306EB3" w:rsidR="00AB17A2" w:rsidP="00AB17A2" w:rsidRDefault="00AB17A2" w14:paraId="36678EBF" w14:textId="0249D0D8">
      <w:r w:rsidRPr="00306EB3">
        <w:t xml:space="preserve">Aanbeveling aan Reclassering Nederland: </w:t>
      </w:r>
    </w:p>
    <w:p w:rsidRPr="00306EB3" w:rsidR="00371F2E" w:rsidP="00AB17A2" w:rsidRDefault="00904C3D" w14:paraId="6377D99B" w14:textId="3982B331">
      <w:pPr>
        <w:pStyle w:val="Lijstalinea"/>
        <w:numPr>
          <w:ilvl w:val="0"/>
          <w:numId w:val="13"/>
        </w:numPr>
      </w:pPr>
      <w:r w:rsidRPr="00306EB3">
        <w:t>B</w:t>
      </w:r>
      <w:r w:rsidRPr="00306EB3" w:rsidR="00AB17A2">
        <w:t>org dat multidisciplinaire overleggen (</w:t>
      </w:r>
      <w:proofErr w:type="spellStart"/>
      <w:r w:rsidRPr="00306EB3" w:rsidR="00AB17A2">
        <w:t>MDO’s</w:t>
      </w:r>
      <w:proofErr w:type="spellEnd"/>
      <w:r w:rsidRPr="00306EB3" w:rsidR="00AB17A2">
        <w:t xml:space="preserve">) structureel plaatsvinden, met voldoende tijd om bredere signalen, risico’s en ontwikkelingen gezamenlijk te bespreken en te evalueren. </w:t>
      </w:r>
      <w:r w:rsidRPr="00306EB3">
        <w:t>Zorg dat d</w:t>
      </w:r>
      <w:r w:rsidRPr="00306EB3" w:rsidR="009E0002">
        <w:t>eze</w:t>
      </w:r>
      <w:r w:rsidRPr="00306EB3" w:rsidR="00AB17A2">
        <w:t xml:space="preserve"> structurele </w:t>
      </w:r>
      <w:proofErr w:type="spellStart"/>
      <w:r w:rsidRPr="00306EB3" w:rsidR="00AB17A2">
        <w:t>MDO</w:t>
      </w:r>
      <w:r w:rsidRPr="00306EB3" w:rsidR="009E0002">
        <w:t>’</w:t>
      </w:r>
      <w:r w:rsidRPr="00306EB3" w:rsidR="00AB17A2">
        <w:t>s</w:t>
      </w:r>
      <w:proofErr w:type="spellEnd"/>
      <w:r w:rsidRPr="00306EB3" w:rsidR="00AB17A2">
        <w:t xml:space="preserve"> naast eventuele ad-hoc overleggen blijven plaatsvinden. </w:t>
      </w:r>
    </w:p>
    <w:p w:rsidRPr="00306EB3" w:rsidR="00371F2E" w:rsidP="00AB17A2" w:rsidRDefault="00371F2E" w14:paraId="4FD58D0F" w14:textId="77777777"/>
    <w:p w:rsidRPr="00306EB3" w:rsidR="00AB17A2" w:rsidP="00AB17A2" w:rsidRDefault="00AB17A2" w14:paraId="329535EE" w14:textId="3F4D4E2E">
      <w:r w:rsidRPr="00306EB3">
        <w:t>Aanbeveling</w:t>
      </w:r>
      <w:r w:rsidRPr="00306EB3" w:rsidR="009E0EF8">
        <w:t>en</w:t>
      </w:r>
      <w:r w:rsidRPr="00306EB3">
        <w:t xml:space="preserve"> aan Reclassering Nederland, </w:t>
      </w:r>
      <w:proofErr w:type="spellStart"/>
      <w:r w:rsidRPr="00306EB3">
        <w:t>Kwintes</w:t>
      </w:r>
      <w:proofErr w:type="spellEnd"/>
      <w:r w:rsidRPr="00306EB3">
        <w:t xml:space="preserve"> en de Waag: </w:t>
      </w:r>
    </w:p>
    <w:p w:rsidRPr="00306EB3" w:rsidR="00AB17A2" w:rsidP="00AB17A2" w:rsidRDefault="00AB17A2" w14:paraId="2E8860C0" w14:textId="38A9E9CB">
      <w:pPr>
        <w:pStyle w:val="Lijstalinea"/>
        <w:numPr>
          <w:ilvl w:val="0"/>
          <w:numId w:val="13"/>
        </w:numPr>
      </w:pPr>
      <w:r w:rsidRPr="00306EB3">
        <w:t xml:space="preserve">Maak bij de start van </w:t>
      </w:r>
      <w:r w:rsidRPr="00306EB3" w:rsidR="00904C3D">
        <w:t>het</w:t>
      </w:r>
      <w:r w:rsidRPr="00306EB3">
        <w:t xml:space="preserve"> traject expliciete en gezamenlijke afspraken over informatie-uitwisseling tussen de betrokken ketenpartners. Leg deze afspraken zo nodig vast in een </w:t>
      </w:r>
      <w:proofErr w:type="spellStart"/>
      <w:r w:rsidRPr="00306EB3" w:rsidR="00371F2E">
        <w:t>d</w:t>
      </w:r>
      <w:r w:rsidRPr="00306EB3">
        <w:t>riepartijenovereenkomst</w:t>
      </w:r>
      <w:proofErr w:type="spellEnd"/>
      <w:r w:rsidRPr="00306EB3">
        <w:t xml:space="preserve"> en herijk ze gedurende het traject wanneer omstandigheden daartoe aanleiding geven.</w:t>
      </w:r>
    </w:p>
    <w:p w:rsidRPr="00306EB3" w:rsidR="00AB17A2" w:rsidP="00AB17A2" w:rsidRDefault="00AB17A2" w14:paraId="5DE47338" w14:textId="2A44DABD">
      <w:pPr>
        <w:pStyle w:val="Lijstalinea"/>
        <w:numPr>
          <w:ilvl w:val="0"/>
          <w:numId w:val="13"/>
        </w:numPr>
      </w:pPr>
      <w:r w:rsidRPr="00306EB3">
        <w:t>Bespreek risico’s en signaleringsplannen in multidisciplinair verband en voorkom dat deze per organisatie afzonderlijk worden opgesteld. Streef naar één integraal signaleringsplan per cliënt. Betrek alle relevante partijen bij het opstellen en periodiek evalueren van het signaleringsplan, zodat verantwoordelijkheden helder zijn en risicosignalering eenduidig plaatsvindt.</w:t>
      </w:r>
    </w:p>
    <w:p w:rsidRPr="00306EB3" w:rsidR="00F4787F" w:rsidP="00AB17A2" w:rsidRDefault="00F4787F" w14:paraId="1C56E291" w14:textId="77777777">
      <w:pPr>
        <w:rPr>
          <w:b/>
          <w:bCs/>
        </w:rPr>
      </w:pPr>
    </w:p>
    <w:p w:rsidRPr="00306EB3" w:rsidR="00AB17A2" w:rsidP="00D97828" w:rsidRDefault="00AB17A2" w14:paraId="3DD4E9AF" w14:textId="1CB6E7C5">
      <w:pPr>
        <w:pStyle w:val="Lijstalinea"/>
        <w:numPr>
          <w:ilvl w:val="1"/>
          <w:numId w:val="19"/>
        </w:numPr>
        <w:ind w:left="567" w:hanging="567"/>
        <w:rPr>
          <w:b/>
          <w:bCs/>
        </w:rPr>
      </w:pPr>
      <w:r w:rsidRPr="00306EB3">
        <w:rPr>
          <w:b/>
          <w:bCs/>
        </w:rPr>
        <w:t>Reactie</w:t>
      </w:r>
      <w:r w:rsidRPr="00306EB3" w:rsidR="002C1C25">
        <w:rPr>
          <w:b/>
          <w:bCs/>
        </w:rPr>
        <w:t xml:space="preserve"> op</w:t>
      </w:r>
      <w:r w:rsidRPr="00306EB3">
        <w:rPr>
          <w:b/>
          <w:bCs/>
        </w:rPr>
        <w:t xml:space="preserve"> rapport ‘Incidentenonderzoek </w:t>
      </w:r>
      <w:r w:rsidRPr="00306EB3" w:rsidR="00EB446F">
        <w:rPr>
          <w:b/>
          <w:bCs/>
        </w:rPr>
        <w:t>dodelijk steekincident Erasmusbrug</w:t>
      </w:r>
      <w:r w:rsidRPr="00306EB3">
        <w:rPr>
          <w:b/>
          <w:bCs/>
        </w:rPr>
        <w:t>’</w:t>
      </w:r>
    </w:p>
    <w:p w:rsidRPr="00306EB3" w:rsidR="00C83663" w:rsidP="00AB17A2" w:rsidRDefault="002C1744" w14:paraId="2CCA630A" w14:textId="46427FBC">
      <w:r w:rsidRPr="00306EB3">
        <w:t xml:space="preserve">Het dodelijk steekincident bij de Erasmusbrug heeft </w:t>
      </w:r>
      <w:r w:rsidRPr="00306EB3" w:rsidR="008E4706">
        <w:t>zowel</w:t>
      </w:r>
      <w:r w:rsidRPr="00306EB3" w:rsidR="00C0066F">
        <w:t xml:space="preserve"> de </w:t>
      </w:r>
      <w:r w:rsidRPr="00306EB3" w:rsidR="00F351E9">
        <w:t>maatschappij</w:t>
      </w:r>
      <w:r w:rsidRPr="00306EB3" w:rsidR="009E0002">
        <w:t xml:space="preserve"> als mijzelf</w:t>
      </w:r>
      <w:r w:rsidRPr="00306EB3" w:rsidR="00C0066F">
        <w:t xml:space="preserve"> </w:t>
      </w:r>
      <w:r w:rsidRPr="00306EB3" w:rsidR="00CD18FF">
        <w:t>die</w:t>
      </w:r>
      <w:r w:rsidRPr="00306EB3" w:rsidR="00A005E8">
        <w:t>p</w:t>
      </w:r>
      <w:r w:rsidRPr="00306EB3" w:rsidR="00CD18FF">
        <w:t xml:space="preserve"> geraakt. Mijn medeleven gaat </w:t>
      </w:r>
      <w:r w:rsidRPr="00306EB3" w:rsidR="009E0002">
        <w:t>dan ook</w:t>
      </w:r>
      <w:r w:rsidRPr="00306EB3" w:rsidR="004C3C2E">
        <w:t xml:space="preserve"> </w:t>
      </w:r>
      <w:r w:rsidRPr="00306EB3" w:rsidR="00CD18FF">
        <w:t>uit naar de</w:t>
      </w:r>
      <w:r w:rsidRPr="00306EB3" w:rsidR="00362571">
        <w:t xml:space="preserve"> slachtoffers,</w:t>
      </w:r>
      <w:r w:rsidRPr="00306EB3" w:rsidR="00CD18FF">
        <w:t xml:space="preserve"> nabestaanden</w:t>
      </w:r>
      <w:r w:rsidRPr="00306EB3" w:rsidR="00007A92">
        <w:t xml:space="preserve"> </w:t>
      </w:r>
      <w:r w:rsidRPr="00306EB3" w:rsidR="00362571">
        <w:t>en omstanders.</w:t>
      </w:r>
      <w:r w:rsidRPr="00306EB3" w:rsidR="00CD18FF">
        <w:t xml:space="preserve"> </w:t>
      </w:r>
      <w:r w:rsidRPr="00306EB3" w:rsidR="00362571">
        <w:t>Ook denk ik aan de</w:t>
      </w:r>
      <w:r w:rsidRPr="00306EB3" w:rsidR="00C83663">
        <w:t xml:space="preserve"> medewerkers van de betrokken organisaties die in </w:t>
      </w:r>
      <w:r w:rsidRPr="00306EB3" w:rsidR="003A678D">
        <w:t xml:space="preserve">het onderzoek </w:t>
      </w:r>
      <w:r w:rsidRPr="00306EB3" w:rsidR="00C83663">
        <w:t xml:space="preserve">centraal staan. Zij zetten </w:t>
      </w:r>
      <w:r w:rsidRPr="00306EB3" w:rsidR="0064383F">
        <w:t>zich</w:t>
      </w:r>
      <w:r w:rsidRPr="00306EB3" w:rsidR="00C83663">
        <w:t xml:space="preserve"> iedere dag in voor een zeer complexe doelgroep, juist om recidive te voorkomen en Nederland veiliger te maken. </w:t>
      </w:r>
      <w:bookmarkStart w:name="_Hlk214887407" w:id="1"/>
      <w:r w:rsidRPr="00306EB3" w:rsidR="009E0002">
        <w:rPr>
          <w:rStyle w:val="cf01"/>
          <w:rFonts w:ascii="Verdana" w:hAnsi="Verdana"/>
        </w:rPr>
        <w:t xml:space="preserve">Ik ben de inspecties dankbaar voor hun grondige onderzoek. Dat helpt ons te leren en risico’s in de toekomst zo klein mogelijk te maken, desondanks kun je nooit voorkomen dat er incidenten plaatsvinden. </w:t>
      </w:r>
      <w:bookmarkEnd w:id="1"/>
      <w:r w:rsidRPr="00306EB3" w:rsidR="00F351E9">
        <w:t xml:space="preserve">Ik vind het van groot belang om lering te trekken uit de bevindingen van de inspecties, en aan de slag te gaan met de aanbevelingen.  </w:t>
      </w:r>
      <w:r w:rsidRPr="00306EB3" w:rsidR="00C83663">
        <w:t xml:space="preserve"> </w:t>
      </w:r>
    </w:p>
    <w:p w:rsidRPr="00306EB3" w:rsidR="00C83663" w:rsidP="00AB17A2" w:rsidRDefault="00C83663" w14:paraId="0E169DE8" w14:textId="164007D4"/>
    <w:p w:rsidRPr="00306EB3" w:rsidR="00362571" w:rsidP="00AB17A2" w:rsidRDefault="0099731C" w14:paraId="40B3E155" w14:textId="4B5B72AB">
      <w:r w:rsidRPr="00306EB3">
        <w:t xml:space="preserve">Net als de inspecties zie ik de noodzaak om de </w:t>
      </w:r>
      <w:r w:rsidRPr="00306EB3" w:rsidR="00BA79D4">
        <w:t xml:space="preserve">praktische </w:t>
      </w:r>
      <w:r w:rsidRPr="00306EB3" w:rsidR="003A678D">
        <w:t>samenwerking tussen de verschillende betrokken partijen</w:t>
      </w:r>
      <w:r w:rsidRPr="00306EB3" w:rsidR="004B013C">
        <w:t xml:space="preserve"> bij een forensische </w:t>
      </w:r>
      <w:r w:rsidRPr="00306EB3" w:rsidR="006A22B3">
        <w:t>reclasserings</w:t>
      </w:r>
      <w:r w:rsidRPr="00306EB3" w:rsidR="004B013C">
        <w:t>cliënt</w:t>
      </w:r>
      <w:r w:rsidRPr="00306EB3" w:rsidR="00CD18FF">
        <w:t xml:space="preserve"> </w:t>
      </w:r>
      <w:r w:rsidRPr="00306EB3">
        <w:t xml:space="preserve">te </w:t>
      </w:r>
      <w:r w:rsidRPr="00306EB3" w:rsidR="00522582">
        <w:t>verbeteren</w:t>
      </w:r>
      <w:r w:rsidRPr="00306EB3" w:rsidR="003A678D">
        <w:t xml:space="preserve">. Hierbij benadruk </w:t>
      </w:r>
      <w:r w:rsidRPr="00306EB3">
        <w:t>ik het belang</w:t>
      </w:r>
      <w:r w:rsidRPr="00306EB3" w:rsidR="003A678D">
        <w:t xml:space="preserve"> van </w:t>
      </w:r>
      <w:r w:rsidRPr="00306EB3" w:rsidR="00E54C6D">
        <w:t xml:space="preserve">gezamenlijk optreden van de betrokken partijen </w:t>
      </w:r>
      <w:r w:rsidRPr="00306EB3" w:rsidR="003A678D">
        <w:t xml:space="preserve">gedurende het gehele traject: </w:t>
      </w:r>
      <w:r w:rsidRPr="00306EB3" w:rsidR="0064383F">
        <w:t xml:space="preserve">niet alleen als </w:t>
      </w:r>
      <w:r w:rsidRPr="00306EB3" w:rsidR="00A047A4">
        <w:t>er problemen zijn</w:t>
      </w:r>
      <w:r w:rsidRPr="00306EB3" w:rsidR="0064383F">
        <w:t xml:space="preserve">, maar juist ook wanneer het goed lijkt te gaan. </w:t>
      </w:r>
      <w:r w:rsidRPr="00306EB3" w:rsidR="00362571">
        <w:t>Hieronder geef ik per aanbeveling van de inspecties mijn reactie</w:t>
      </w:r>
      <w:r w:rsidRPr="00306EB3" w:rsidR="00D97828">
        <w:t>.</w:t>
      </w:r>
    </w:p>
    <w:p w:rsidRPr="00306EB3" w:rsidR="00362571" w:rsidP="00AB17A2" w:rsidRDefault="00362571" w14:paraId="5C90F7CE" w14:textId="77777777"/>
    <w:p w:rsidRPr="00306EB3" w:rsidR="00522582" w:rsidP="00522582" w:rsidRDefault="00362571" w14:paraId="21F4CC8F" w14:textId="4E915A88">
      <w:pPr>
        <w:rPr>
          <w:i/>
          <w:iCs/>
        </w:rPr>
      </w:pPr>
      <w:r w:rsidRPr="00306EB3">
        <w:rPr>
          <w:i/>
          <w:iCs/>
        </w:rPr>
        <w:t>Aanbeveling 1 - Borging van multidisciplinaire overleggen</w:t>
      </w:r>
    </w:p>
    <w:p w:rsidRPr="00306EB3" w:rsidR="00601EB5" w:rsidP="00601EB5" w:rsidRDefault="00601EB5" w14:paraId="39C43827" w14:textId="62FA11F2">
      <w:bookmarkStart w:name="_Hlk214352860" w:id="2"/>
      <w:r w:rsidRPr="00306EB3">
        <w:t xml:space="preserve">De inspecties richten deze aanbeveling specifiek aan Reclassering Nederland. </w:t>
      </w:r>
      <w:r w:rsidRPr="00306EB3" w:rsidR="00180513">
        <w:t xml:space="preserve">Reclassering Nederland gaat </w:t>
      </w:r>
      <w:r w:rsidRPr="00306EB3" w:rsidR="002801E3">
        <w:t>hiermee aan de slag</w:t>
      </w:r>
      <w:r w:rsidRPr="00306EB3" w:rsidR="00180513">
        <w:t xml:space="preserve">. </w:t>
      </w:r>
      <w:r w:rsidRPr="00306EB3">
        <w:t xml:space="preserve">Bekeken wordt op welke manier dit </w:t>
      </w:r>
      <w:r w:rsidRPr="00306EB3" w:rsidR="00DA763B">
        <w:t xml:space="preserve">aanpassing </w:t>
      </w:r>
      <w:r w:rsidRPr="00306EB3">
        <w:t xml:space="preserve">van intern beleid vergt. Ook de andere betrokken partijen, de Waag en </w:t>
      </w:r>
      <w:proofErr w:type="spellStart"/>
      <w:r w:rsidRPr="00306EB3">
        <w:t>Kwintes</w:t>
      </w:r>
      <w:proofErr w:type="spellEnd"/>
      <w:r w:rsidRPr="00306EB3">
        <w:t xml:space="preserve">, voeren op dit punt verbeteringen in intern beleid door of hebben dit reeds gedaan. </w:t>
      </w:r>
    </w:p>
    <w:p w:rsidRPr="00306EB3" w:rsidR="00371F2E" w:rsidP="00AB17A2" w:rsidRDefault="00371F2E" w14:paraId="0CE92D93" w14:textId="77777777"/>
    <w:bookmarkEnd w:id="2"/>
    <w:p w:rsidRPr="00306EB3" w:rsidR="00362571" w:rsidP="00AB17A2" w:rsidRDefault="00362571" w14:paraId="23887CD2" w14:textId="6D1BAF23">
      <w:pPr>
        <w:rPr>
          <w:i/>
          <w:iCs/>
        </w:rPr>
      </w:pPr>
      <w:r w:rsidRPr="00306EB3">
        <w:rPr>
          <w:i/>
          <w:iCs/>
        </w:rPr>
        <w:t>Aanbeveling 2 – Expliciete afspraken over informatiedeling</w:t>
      </w:r>
    </w:p>
    <w:p w:rsidRPr="00306EB3" w:rsidR="004A6ABD" w:rsidP="0064383F" w:rsidRDefault="0097545C" w14:paraId="0A41AC26" w14:textId="617597E6">
      <w:r w:rsidRPr="00306EB3">
        <w:t>Op dit moment wordt het kwaliteitskader forensische zorg geïmplementeerd.</w:t>
      </w:r>
      <w:r w:rsidRPr="00306EB3">
        <w:rPr>
          <w:rStyle w:val="Voetnootmarkering"/>
        </w:rPr>
        <w:footnoteReference w:id="2"/>
      </w:r>
      <w:r w:rsidRPr="00306EB3">
        <w:t xml:space="preserve"> </w:t>
      </w:r>
      <w:r w:rsidRPr="00306EB3" w:rsidR="00E96E45">
        <w:t xml:space="preserve">Een van de pijlers van </w:t>
      </w:r>
      <w:r w:rsidRPr="00306EB3" w:rsidR="00923A60">
        <w:t xml:space="preserve">het kwaliteitskader forensische zorg is samenwerken. De kwaliteitsaspecten onder deze pijler schrijven niet specifiek voor op welke manier moet worden samengewerkt. In de praktijk bestaan hier wel hulpmiddelen voor, die kunnen worden ingezet. </w:t>
      </w:r>
      <w:r w:rsidRPr="00306EB3" w:rsidR="004F756F">
        <w:t>Er zijn</w:t>
      </w:r>
      <w:r w:rsidRPr="00306EB3" w:rsidR="00AB17A2">
        <w:t xml:space="preserve"> twee </w:t>
      </w:r>
      <w:r w:rsidRPr="00306EB3" w:rsidR="00923A60">
        <w:t>hulpmiddelen</w:t>
      </w:r>
      <w:r w:rsidRPr="00306EB3" w:rsidR="00484B4E">
        <w:t xml:space="preserve"> voor samenwerkingsafspraken</w:t>
      </w:r>
      <w:r w:rsidRPr="00306EB3" w:rsidR="004F756F">
        <w:t xml:space="preserve"> in gebruik</w:t>
      </w:r>
      <w:r w:rsidRPr="00306EB3" w:rsidR="00AB17A2">
        <w:t>:</w:t>
      </w:r>
    </w:p>
    <w:p w:rsidRPr="00306EB3" w:rsidR="004A6ABD" w:rsidP="004A6ABD" w:rsidRDefault="00D97828" w14:paraId="61C6622E" w14:textId="7EF5B93C">
      <w:pPr>
        <w:pStyle w:val="Lijstalinea"/>
        <w:numPr>
          <w:ilvl w:val="0"/>
          <w:numId w:val="16"/>
        </w:numPr>
      </w:pPr>
      <w:r w:rsidRPr="00306EB3">
        <w:t>d</w:t>
      </w:r>
      <w:r w:rsidRPr="00306EB3" w:rsidR="00AB17A2">
        <w:t xml:space="preserve">e </w:t>
      </w:r>
      <w:proofErr w:type="spellStart"/>
      <w:r w:rsidRPr="00306EB3" w:rsidR="00371F2E">
        <w:t>d</w:t>
      </w:r>
      <w:r w:rsidRPr="00306EB3" w:rsidR="00AB17A2">
        <w:t>riepartijenovereenkomst</w:t>
      </w:r>
      <w:proofErr w:type="spellEnd"/>
      <w:r w:rsidRPr="00306EB3" w:rsidR="00AB17A2">
        <w:t xml:space="preserve">: </w:t>
      </w:r>
      <w:r w:rsidRPr="00306EB3" w:rsidR="00C8696F">
        <w:t xml:space="preserve">voor </w:t>
      </w:r>
      <w:r w:rsidRPr="00306EB3" w:rsidR="00AB17A2">
        <w:t xml:space="preserve">afspraken tussen ggz/behandelaar, reclassering en de cliënt, en </w:t>
      </w:r>
    </w:p>
    <w:p w:rsidRPr="00306EB3" w:rsidR="00AB17A2" w:rsidP="004A6ABD" w:rsidRDefault="00D97828" w14:paraId="3D49A6E8" w14:textId="335BBD6A">
      <w:pPr>
        <w:pStyle w:val="Lijstalinea"/>
        <w:numPr>
          <w:ilvl w:val="0"/>
          <w:numId w:val="16"/>
        </w:numPr>
      </w:pPr>
      <w:r w:rsidRPr="00306EB3">
        <w:t>d</w:t>
      </w:r>
      <w:r w:rsidRPr="00306EB3" w:rsidR="00AB17A2">
        <w:t xml:space="preserve">e </w:t>
      </w:r>
      <w:r w:rsidRPr="00306EB3" w:rsidR="00C8696F">
        <w:t>T</w:t>
      </w:r>
      <w:r w:rsidRPr="00306EB3" w:rsidR="00AB17A2">
        <w:t xml:space="preserve">ool </w:t>
      </w:r>
      <w:r w:rsidRPr="00306EB3" w:rsidR="00C8696F">
        <w:t>S</w:t>
      </w:r>
      <w:r w:rsidRPr="00306EB3" w:rsidR="00AB17A2">
        <w:t>amenwerkingsafspraken</w:t>
      </w:r>
      <w:r w:rsidRPr="00306EB3" w:rsidR="00C8696F">
        <w:t>: voor afspraken</w:t>
      </w:r>
      <w:r w:rsidRPr="00306EB3" w:rsidR="00AB17A2">
        <w:t xml:space="preserve"> tussen </w:t>
      </w:r>
      <w:r w:rsidRPr="00306EB3" w:rsidR="002D257B">
        <w:t>begeleider</w:t>
      </w:r>
      <w:r w:rsidRPr="00306EB3" w:rsidR="00AB17A2">
        <w:t xml:space="preserve"> (</w:t>
      </w:r>
      <w:r w:rsidRPr="00306EB3" w:rsidR="00C8696F">
        <w:t xml:space="preserve">zoals </w:t>
      </w:r>
      <w:r w:rsidRPr="00306EB3" w:rsidR="00AB17A2">
        <w:t xml:space="preserve">beschermd wonen), reclassering en de cliënt. </w:t>
      </w:r>
    </w:p>
    <w:p w:rsidRPr="00306EB3" w:rsidR="0020343F" w:rsidP="00AB17A2" w:rsidRDefault="0020343F" w14:paraId="6D40C320" w14:textId="77777777"/>
    <w:p w:rsidRPr="00306EB3" w:rsidR="0033400C" w:rsidP="00AB17A2" w:rsidRDefault="0020343F" w14:paraId="18A79B7A" w14:textId="3681C3AD">
      <w:r w:rsidRPr="00306EB3">
        <w:t>De</w:t>
      </w:r>
      <w:r w:rsidRPr="00306EB3" w:rsidR="00C83D5D">
        <w:t xml:space="preserve"> genoemde</w:t>
      </w:r>
      <w:r w:rsidRPr="00306EB3">
        <w:t xml:space="preserve"> </w:t>
      </w:r>
      <w:r w:rsidRPr="00306EB3" w:rsidR="0019045E">
        <w:t>hulpmiddelen</w:t>
      </w:r>
      <w:r w:rsidRPr="00306EB3">
        <w:t xml:space="preserve"> kennen </w:t>
      </w:r>
      <w:r w:rsidRPr="00306EB3" w:rsidR="00E96E45">
        <w:t xml:space="preserve">een aantal </w:t>
      </w:r>
      <w:r w:rsidRPr="00306EB3">
        <w:t>beperkingen en zijn op onderdelen achterhaald. Zo leidt het</w:t>
      </w:r>
      <w:r w:rsidRPr="00306EB3" w:rsidR="003474B3">
        <w:t xml:space="preserve"> ene </w:t>
      </w:r>
      <w:r w:rsidRPr="00306EB3" w:rsidR="0019045E">
        <w:t>hulpmiddel</w:t>
      </w:r>
      <w:r w:rsidRPr="00306EB3" w:rsidR="003474B3">
        <w:t xml:space="preserve"> </w:t>
      </w:r>
      <w:r w:rsidRPr="00306EB3" w:rsidR="00C8696F">
        <w:t xml:space="preserve">tot afspraken </w:t>
      </w:r>
      <w:r w:rsidRPr="00306EB3" w:rsidR="004B013C">
        <w:t>tussen de behandelaar, reclassering en cliënt</w:t>
      </w:r>
      <w:r w:rsidRPr="00306EB3" w:rsidR="004F756F">
        <w:t>;</w:t>
      </w:r>
      <w:r w:rsidRPr="00306EB3" w:rsidR="004B013C">
        <w:t xml:space="preserve"> </w:t>
      </w:r>
      <w:r w:rsidRPr="00306EB3" w:rsidR="002D257B">
        <w:t xml:space="preserve">en </w:t>
      </w:r>
      <w:r w:rsidRPr="00306EB3" w:rsidR="003474B3">
        <w:t xml:space="preserve">het andere </w:t>
      </w:r>
      <w:r w:rsidRPr="00306EB3" w:rsidR="0019045E">
        <w:t>hulpmiddel</w:t>
      </w:r>
      <w:r w:rsidRPr="00306EB3" w:rsidR="002D257B">
        <w:t xml:space="preserve"> tot afspraken</w:t>
      </w:r>
      <w:r w:rsidRPr="00306EB3" w:rsidR="00C8696F">
        <w:t xml:space="preserve"> </w:t>
      </w:r>
      <w:r w:rsidRPr="00306EB3" w:rsidR="004B013C">
        <w:t>tussen de begeleider, reclassering en cliënt</w:t>
      </w:r>
      <w:r w:rsidRPr="00306EB3" w:rsidR="004F756F">
        <w:t>. M</w:t>
      </w:r>
      <w:r w:rsidRPr="00306EB3" w:rsidR="004B013C">
        <w:t xml:space="preserve">aar </w:t>
      </w:r>
      <w:r w:rsidRPr="00306EB3">
        <w:t xml:space="preserve">beide </w:t>
      </w:r>
      <w:r w:rsidRPr="00306EB3" w:rsidR="0019045E">
        <w:t>hulpmiddelen</w:t>
      </w:r>
      <w:r w:rsidRPr="00306EB3" w:rsidR="002D257B">
        <w:t xml:space="preserve"> </w:t>
      </w:r>
      <w:r w:rsidRPr="00306EB3" w:rsidR="0093023A">
        <w:t xml:space="preserve">leiden </w:t>
      </w:r>
      <w:r w:rsidRPr="00306EB3" w:rsidR="004B013C">
        <w:t>niet</w:t>
      </w:r>
      <w:r w:rsidRPr="00306EB3" w:rsidR="0033400C">
        <w:t xml:space="preserve"> vanzelfsprekend</w:t>
      </w:r>
      <w:r w:rsidRPr="00306EB3" w:rsidR="00484B4E">
        <w:t xml:space="preserve"> tot afspraken</w:t>
      </w:r>
      <w:r w:rsidRPr="00306EB3" w:rsidR="004B013C">
        <w:t xml:space="preserve"> tussen alle organisaties gezamenlijk. </w:t>
      </w:r>
      <w:r w:rsidRPr="00306EB3" w:rsidR="00484B4E">
        <w:t>Hoewel</w:t>
      </w:r>
      <w:r w:rsidRPr="00306EB3">
        <w:t xml:space="preserve"> deze afspraken in de praktijk </w:t>
      </w:r>
      <w:r w:rsidRPr="00306EB3" w:rsidR="00860E64">
        <w:t>wel</w:t>
      </w:r>
      <w:r w:rsidRPr="00306EB3">
        <w:t xml:space="preserve"> kunnen worden gemaakt</w:t>
      </w:r>
      <w:r w:rsidRPr="00306EB3" w:rsidR="00854996">
        <w:t xml:space="preserve">, sturen de aangereikte </w:t>
      </w:r>
      <w:r w:rsidRPr="00306EB3" w:rsidR="0019045E">
        <w:t>hulpmiddelen</w:t>
      </w:r>
      <w:r w:rsidRPr="00306EB3" w:rsidR="00854996">
        <w:t xml:space="preserve"> daar niet op aan. </w:t>
      </w:r>
      <w:r w:rsidRPr="00306EB3" w:rsidR="004B013C">
        <w:t xml:space="preserve">Daarnaast </w:t>
      </w:r>
      <w:r w:rsidRPr="00306EB3" w:rsidR="00935ED2">
        <w:t xml:space="preserve">zijn de </w:t>
      </w:r>
      <w:r w:rsidRPr="00306EB3" w:rsidR="0019045E">
        <w:t>hulpmiddelen</w:t>
      </w:r>
      <w:r w:rsidRPr="00306EB3" w:rsidR="00341C2E">
        <w:t xml:space="preserve"> deels achterhaald</w:t>
      </w:r>
      <w:r w:rsidRPr="00306EB3" w:rsidR="00007CDF">
        <w:t xml:space="preserve">, </w:t>
      </w:r>
      <w:r w:rsidRPr="00306EB3" w:rsidR="004F756F">
        <w:t>zo voorziet de Wet forensische zorg inmiddels in een grondslag voor informatiedeling</w:t>
      </w:r>
      <w:r w:rsidRPr="00306EB3" w:rsidR="002D257B">
        <w:t>,</w:t>
      </w:r>
      <w:r w:rsidRPr="00306EB3" w:rsidR="00007CDF">
        <w:t xml:space="preserve"> wat oorspronkelijk het doel van de </w:t>
      </w:r>
      <w:proofErr w:type="spellStart"/>
      <w:r w:rsidRPr="00306EB3" w:rsidR="00007CDF">
        <w:t>driepartijenovereenkomst</w:t>
      </w:r>
      <w:proofErr w:type="spellEnd"/>
      <w:r w:rsidRPr="00306EB3" w:rsidR="00007CDF">
        <w:t xml:space="preserve"> was</w:t>
      </w:r>
      <w:r w:rsidRPr="00306EB3" w:rsidR="004B013C">
        <w:t xml:space="preserve">. </w:t>
      </w:r>
    </w:p>
    <w:p w:rsidRPr="00306EB3" w:rsidR="0033400C" w:rsidP="00AB17A2" w:rsidRDefault="0033400C" w14:paraId="513F9188" w14:textId="77777777"/>
    <w:p w:rsidRPr="00306EB3" w:rsidR="00923A60" w:rsidP="008D4044" w:rsidRDefault="00E96E45" w14:paraId="5C67DBDA" w14:textId="6914DD17">
      <w:bookmarkStart w:name="_Hlk214354732" w:id="3"/>
      <w:r w:rsidRPr="00306EB3">
        <w:t>Daarom</w:t>
      </w:r>
      <w:r w:rsidRPr="00306EB3" w:rsidR="009130B1">
        <w:t xml:space="preserve"> </w:t>
      </w:r>
      <w:r w:rsidRPr="00306EB3" w:rsidR="0026053E">
        <w:t>vind ik het noodzakelijk om</w:t>
      </w:r>
      <w:r w:rsidRPr="00306EB3" w:rsidR="009130B1">
        <w:t xml:space="preserve"> het huidige kader </w:t>
      </w:r>
      <w:r w:rsidRPr="00306EB3" w:rsidR="0026053E">
        <w:t xml:space="preserve">over </w:t>
      </w:r>
      <w:r w:rsidRPr="00306EB3" w:rsidR="009130B1">
        <w:t xml:space="preserve">samenwerkingsafspraken en de bijbehorende hulpmiddelen </w:t>
      </w:r>
      <w:r w:rsidRPr="00306EB3" w:rsidR="00180513">
        <w:t>aan te passen</w:t>
      </w:r>
      <w:r w:rsidRPr="00306EB3" w:rsidR="009130B1">
        <w:t xml:space="preserve">. </w:t>
      </w:r>
      <w:bookmarkStart w:name="_Hlk214354748" w:id="4"/>
      <w:r w:rsidRPr="00306EB3" w:rsidR="00371F2E">
        <w:t xml:space="preserve">De manier waarop </w:t>
      </w:r>
      <w:r w:rsidRPr="00306EB3" w:rsidR="00180513">
        <w:t>dit wordt aangepast</w:t>
      </w:r>
      <w:r w:rsidRPr="00306EB3" w:rsidR="00371F2E">
        <w:t xml:space="preserve">, moet bruikbaar zijn in de praktijk. Om die reden heb ik </w:t>
      </w:r>
      <w:r w:rsidRPr="00306EB3" w:rsidR="00F351E9">
        <w:t xml:space="preserve">de ketenpartners gevraagd </w:t>
      </w:r>
      <w:r w:rsidRPr="00306EB3" w:rsidR="00462017">
        <w:t>dit</w:t>
      </w:r>
      <w:r w:rsidRPr="00306EB3" w:rsidR="00AB34EB">
        <w:t xml:space="preserve"> vorm te geven</w:t>
      </w:r>
      <w:r w:rsidRPr="00306EB3" w:rsidR="00F351E9">
        <w:t>.</w:t>
      </w:r>
      <w:r w:rsidRPr="00306EB3" w:rsidR="00923A60">
        <w:t xml:space="preserve"> </w:t>
      </w:r>
      <w:r w:rsidRPr="00306EB3" w:rsidR="00601EB5">
        <w:t>Uitgangspunt hierbij is dat de uiteindelijke</w:t>
      </w:r>
      <w:r w:rsidRPr="00306EB3" w:rsidR="00462017">
        <w:t xml:space="preserve"> verbeterde</w:t>
      </w:r>
      <w:r w:rsidRPr="00306EB3" w:rsidR="00601EB5">
        <w:t xml:space="preserve"> samenwerkingsvorm een minder vrijblijvend karakter krijgt.</w:t>
      </w:r>
    </w:p>
    <w:bookmarkEnd w:id="3"/>
    <w:bookmarkEnd w:id="4"/>
    <w:p w:rsidRPr="00306EB3" w:rsidR="009130B1" w:rsidP="008D4044" w:rsidRDefault="009130B1" w14:paraId="0E5D62AA" w14:textId="77777777"/>
    <w:p w:rsidRPr="00306EB3" w:rsidR="009130B1" w:rsidP="008D4044" w:rsidRDefault="008E63BF" w14:paraId="78B5C152" w14:textId="68E76E0B">
      <w:pPr>
        <w:rPr>
          <w:b/>
          <w:bCs/>
        </w:rPr>
      </w:pPr>
      <w:r w:rsidRPr="00306EB3">
        <w:t>Aanbeveling 2 heeft veel raakvlak met aanbeveling 1 en 3</w:t>
      </w:r>
      <w:r w:rsidRPr="00306EB3" w:rsidR="009130B1">
        <w:t xml:space="preserve">. Het is van groot belang dat bij aanvang van ieder forensisch reclasseringstraject eenduidige afspraken worden gemaakt over informatie-uitwisseling (aanbeveling </w:t>
      </w:r>
      <w:r w:rsidRPr="00306EB3">
        <w:t>2</w:t>
      </w:r>
      <w:r w:rsidRPr="00306EB3" w:rsidR="009130B1">
        <w:t xml:space="preserve">), maar ook over </w:t>
      </w:r>
      <w:r w:rsidRPr="00306EB3" w:rsidR="00240D1D">
        <w:t>de borging</w:t>
      </w:r>
      <w:r w:rsidRPr="00306EB3" w:rsidR="0026053E">
        <w:t xml:space="preserve"> van</w:t>
      </w:r>
      <w:r w:rsidRPr="00306EB3" w:rsidR="009130B1">
        <w:t xml:space="preserve"> structurele </w:t>
      </w:r>
      <w:proofErr w:type="spellStart"/>
      <w:r w:rsidRPr="00306EB3" w:rsidR="009130B1">
        <w:t>MDO’s</w:t>
      </w:r>
      <w:proofErr w:type="spellEnd"/>
      <w:r w:rsidRPr="00306EB3" w:rsidR="009130B1">
        <w:t xml:space="preserve"> (aanbeveling </w:t>
      </w:r>
      <w:r w:rsidRPr="00306EB3">
        <w:t>1</w:t>
      </w:r>
      <w:r w:rsidRPr="00306EB3" w:rsidR="009130B1">
        <w:t xml:space="preserve">) en risico’s en signaleringsplannen (aanbeveling 3). Ik </w:t>
      </w:r>
      <w:r w:rsidRPr="00306EB3" w:rsidR="004F756F">
        <w:t>zal de implementatie</w:t>
      </w:r>
      <w:r w:rsidRPr="00306EB3" w:rsidR="00601EB5">
        <w:t xml:space="preserve"> </w:t>
      </w:r>
      <w:r w:rsidRPr="00306EB3" w:rsidR="004F756F">
        <w:t>monitoren</w:t>
      </w:r>
      <w:r w:rsidRPr="00306EB3" w:rsidR="009130B1">
        <w:t>,</w:t>
      </w:r>
      <w:r w:rsidRPr="00306EB3" w:rsidR="0099731C">
        <w:t xml:space="preserve"> in samenhang met de implementatie van het kwaliteitskader forensische zorg,</w:t>
      </w:r>
      <w:r w:rsidRPr="00306EB3" w:rsidR="009130B1">
        <w:t xml:space="preserve"> en uw Kamer hiervan op de hoogte houden </w:t>
      </w:r>
      <w:r w:rsidRPr="00306EB3" w:rsidR="00416928">
        <w:t>in de eerstvolgende voortgangsbrief forensische zorg</w:t>
      </w:r>
      <w:r w:rsidRPr="00306EB3" w:rsidR="009130B1">
        <w:t>.</w:t>
      </w:r>
      <w:r w:rsidRPr="00306EB3" w:rsidR="00416928">
        <w:t xml:space="preserve"> Deze brief zal in het eerste kwartaal van 2026 met uw Kamer worden gedeeld.</w:t>
      </w:r>
    </w:p>
    <w:p w:rsidRPr="00306EB3" w:rsidR="002C506F" w:rsidP="008D4044" w:rsidRDefault="002C506F" w14:paraId="286AF025" w14:textId="36D9CBAF"/>
    <w:p w:rsidRPr="00306EB3" w:rsidR="00923A60" w:rsidP="008D4044" w:rsidRDefault="00923A60" w14:paraId="064A19B5" w14:textId="51649AD2">
      <w:r w:rsidRPr="00306EB3">
        <w:rPr>
          <w:i/>
          <w:iCs/>
        </w:rPr>
        <w:t>Aanbeveling 3 – Risico’s en signaleringsplannen</w:t>
      </w:r>
      <w:r w:rsidRPr="00306EB3" w:rsidR="009130B1">
        <w:rPr>
          <w:i/>
          <w:iCs/>
        </w:rPr>
        <w:t xml:space="preserve"> bespreken</w:t>
      </w:r>
      <w:r w:rsidRPr="00306EB3">
        <w:rPr>
          <w:i/>
          <w:iCs/>
        </w:rPr>
        <w:t xml:space="preserve"> in multidisciplinair verband. Streven naar één integraal signaleringsplan per cliënt. </w:t>
      </w:r>
    </w:p>
    <w:p w:rsidRPr="00306EB3" w:rsidR="004F756F" w:rsidP="00094308" w:rsidRDefault="003C1274" w14:paraId="63723B3F" w14:textId="746901C9">
      <w:r w:rsidRPr="00306EB3">
        <w:t>Ik heb over deze aanbeveling gesproken met all</w:t>
      </w:r>
      <w:r w:rsidRPr="00306EB3" w:rsidR="00AB34EB">
        <w:t>e</w:t>
      </w:r>
      <w:r w:rsidRPr="00306EB3">
        <w:t xml:space="preserve"> betrokken veldpartijen</w:t>
      </w:r>
      <w:r w:rsidRPr="00306EB3" w:rsidR="00AB34EB">
        <w:t>:</w:t>
      </w:r>
      <w:r w:rsidRPr="00306EB3">
        <w:t xml:space="preserve"> zowel de direct betrokken </w:t>
      </w:r>
      <w:r w:rsidRPr="00306EB3" w:rsidR="00D3281A">
        <w:t>partijen</w:t>
      </w:r>
      <w:r w:rsidRPr="00306EB3">
        <w:t xml:space="preserve"> als </w:t>
      </w:r>
      <w:r w:rsidRPr="00306EB3" w:rsidR="00387018">
        <w:t xml:space="preserve">het brede forensische veld. </w:t>
      </w:r>
      <w:r w:rsidRPr="00306EB3">
        <w:t>Partijen geven aan dat</w:t>
      </w:r>
      <w:r w:rsidRPr="00306EB3" w:rsidR="008D4044">
        <w:t xml:space="preserve"> het streven naar één integraal signaleringsplan niet realistisch</w:t>
      </w:r>
      <w:r w:rsidRPr="00306EB3">
        <w:t xml:space="preserve"> is</w:t>
      </w:r>
      <w:r w:rsidRPr="00306EB3" w:rsidR="008D4044">
        <w:t xml:space="preserve">. Signaleringsplannen worden opgesteld vanuit de opdracht en expertise van de specifieke organisatie. Dit maakt dat er een verschil zit tussen een signaleringsplan voor begeleid wonen en het signaleringsplan voor de behandelaar. Eén integraal signaleringsplan kan ertoe leiden dat de specifieke focus van een organisatie naar de achtergrond verdwijnt. Hetzelfde geldt voor de </w:t>
      </w:r>
      <w:r w:rsidRPr="00306EB3" w:rsidR="0026053E">
        <w:t xml:space="preserve">zogenoemde </w:t>
      </w:r>
      <w:r w:rsidRPr="00306EB3" w:rsidR="008D4044">
        <w:t xml:space="preserve">risicotaxatie-instrumenten. Het integreren van signaleringsplannen en risicotaxatie-instrumenten is om die reden niet </w:t>
      </w:r>
      <w:r w:rsidRPr="00306EB3" w:rsidR="00CD18FF">
        <w:t>wenselijk</w:t>
      </w:r>
      <w:r w:rsidRPr="00306EB3" w:rsidR="008D4044">
        <w:t>.</w:t>
      </w:r>
      <w:r w:rsidRPr="00306EB3" w:rsidR="00923A60">
        <w:t xml:space="preserve"> </w:t>
      </w:r>
      <w:r w:rsidRPr="00306EB3" w:rsidR="005E60E3">
        <w:t>De verschillende signaleringsplannen en risicotaxaties moeten</w:t>
      </w:r>
      <w:r w:rsidRPr="00306EB3">
        <w:t xml:space="preserve"> wel</w:t>
      </w:r>
      <w:r w:rsidRPr="00306EB3" w:rsidR="005E60E3">
        <w:t xml:space="preserve"> </w:t>
      </w:r>
      <w:r w:rsidRPr="00306EB3" w:rsidR="008E63BF">
        <w:t>in gezamenlijkheid worden besproken</w:t>
      </w:r>
      <w:r w:rsidRPr="00306EB3" w:rsidR="005E60E3">
        <w:t xml:space="preserve"> </w:t>
      </w:r>
      <w:r w:rsidRPr="00306EB3" w:rsidR="008D4044">
        <w:t xml:space="preserve">in </w:t>
      </w:r>
      <w:proofErr w:type="spellStart"/>
      <w:r w:rsidRPr="00306EB3" w:rsidR="008D4044">
        <w:t>MDO’s</w:t>
      </w:r>
      <w:proofErr w:type="spellEnd"/>
      <w:r w:rsidRPr="00306EB3" w:rsidR="008D4044">
        <w:t xml:space="preserve"> </w:t>
      </w:r>
      <w:r w:rsidRPr="00306EB3" w:rsidR="005E60E3">
        <w:t xml:space="preserve">en </w:t>
      </w:r>
      <w:r w:rsidRPr="00306EB3" w:rsidR="00387018">
        <w:t>vervolgens</w:t>
      </w:r>
      <w:r w:rsidRPr="00306EB3" w:rsidR="00AB34EB">
        <w:t xml:space="preserve"> </w:t>
      </w:r>
      <w:r w:rsidRPr="00306EB3" w:rsidR="005E60E3">
        <w:t xml:space="preserve">leiden </w:t>
      </w:r>
      <w:r w:rsidRPr="00306EB3" w:rsidR="00C8696F">
        <w:t>tot één gemeenschappelijk</w:t>
      </w:r>
      <w:r w:rsidRPr="00306EB3" w:rsidR="008D4044">
        <w:t xml:space="preserve"> gedragen</w:t>
      </w:r>
      <w:r w:rsidRPr="00306EB3" w:rsidR="00C8696F">
        <w:t xml:space="preserve"> beeld van de cliënt</w:t>
      </w:r>
      <w:r w:rsidRPr="00306EB3" w:rsidR="007F35F1">
        <w:t>,</w:t>
      </w:r>
      <w:r w:rsidRPr="00306EB3" w:rsidR="00C8696F">
        <w:t xml:space="preserve"> en één afgestemd plan van aanpak. </w:t>
      </w:r>
      <w:r w:rsidRPr="00306EB3" w:rsidR="0097545C">
        <w:t xml:space="preserve">Het </w:t>
      </w:r>
      <w:r w:rsidRPr="00306EB3" w:rsidR="00240D1D">
        <w:t>borgen</w:t>
      </w:r>
      <w:r w:rsidRPr="00306EB3" w:rsidR="0097545C">
        <w:t xml:space="preserve"> van deze bespreking in multidisciplinair verband en het formuleren van een gezamenlijke aanpak </w:t>
      </w:r>
      <w:r w:rsidRPr="00306EB3" w:rsidR="00F743EF">
        <w:t xml:space="preserve">vind ik van </w:t>
      </w:r>
      <w:r w:rsidRPr="00306EB3" w:rsidR="00387018">
        <w:t xml:space="preserve">groot </w:t>
      </w:r>
      <w:r w:rsidRPr="00306EB3" w:rsidR="00F743EF">
        <w:t>belang</w:t>
      </w:r>
      <w:r w:rsidRPr="00306EB3" w:rsidR="00180513">
        <w:t>, waarvoor de noodzakelijke aanpassingen zullen worden doorgevoerd</w:t>
      </w:r>
      <w:r w:rsidRPr="00306EB3" w:rsidR="00F743EF">
        <w:t xml:space="preserve">. In de reactie op </w:t>
      </w:r>
      <w:r w:rsidRPr="00306EB3" w:rsidR="0097545C">
        <w:t>aanbeveling 2</w:t>
      </w:r>
      <w:r w:rsidRPr="00306EB3" w:rsidR="00F743EF">
        <w:t xml:space="preserve"> heb ik</w:t>
      </w:r>
      <w:r w:rsidRPr="00306EB3" w:rsidR="008E63BF">
        <w:t xml:space="preserve"> toegelicht </w:t>
      </w:r>
      <w:r w:rsidRPr="00306EB3" w:rsidR="00387018">
        <w:t>dat samenwerkingsafspraken word</w:t>
      </w:r>
      <w:r w:rsidRPr="00306EB3" w:rsidR="00735555">
        <w:t>en</w:t>
      </w:r>
      <w:r w:rsidRPr="00306EB3" w:rsidR="00387018">
        <w:t xml:space="preserve"> verbeterd. </w:t>
      </w:r>
    </w:p>
    <w:p w:rsidRPr="00306EB3" w:rsidR="004F756F" w:rsidP="00D97828" w:rsidRDefault="004F756F" w14:paraId="35FD66E0" w14:textId="4881C5D3">
      <w:pPr>
        <w:pStyle w:val="Lijstalinea"/>
        <w:numPr>
          <w:ilvl w:val="0"/>
          <w:numId w:val="20"/>
        </w:numPr>
        <w:ind w:left="567" w:hanging="567"/>
        <w:rPr>
          <w:b/>
          <w:bCs/>
        </w:rPr>
      </w:pPr>
      <w:r w:rsidRPr="00306EB3">
        <w:rPr>
          <w:b/>
          <w:bCs/>
        </w:rPr>
        <w:t>Incidentenonderzoeken onder de loep</w:t>
      </w:r>
    </w:p>
    <w:p w:rsidRPr="00306EB3" w:rsidR="00D97828" w:rsidP="00D97828" w:rsidRDefault="00D97828" w14:paraId="081CDE79" w14:textId="77777777">
      <w:pPr>
        <w:rPr>
          <w:b/>
          <w:bCs/>
        </w:rPr>
      </w:pPr>
    </w:p>
    <w:p w:rsidRPr="00306EB3" w:rsidR="00C00448" w:rsidP="00D97828" w:rsidRDefault="00C00448" w14:paraId="58BF7BC9" w14:textId="2E4C1DCE">
      <w:pPr>
        <w:pStyle w:val="Lijstalinea"/>
        <w:numPr>
          <w:ilvl w:val="1"/>
          <w:numId w:val="20"/>
        </w:numPr>
        <w:ind w:left="567" w:hanging="567"/>
        <w:rPr>
          <w:b/>
          <w:bCs/>
        </w:rPr>
      </w:pPr>
      <w:r w:rsidRPr="00306EB3">
        <w:rPr>
          <w:b/>
          <w:bCs/>
        </w:rPr>
        <w:t>Samenvatting rapport ‘Incidentenonderzoeken onder de loep’</w:t>
      </w:r>
    </w:p>
    <w:p w:rsidRPr="00306EB3" w:rsidR="009E6479" w:rsidP="00C00448" w:rsidRDefault="00C00448" w14:paraId="09278B56" w14:textId="77777777">
      <w:r w:rsidRPr="00306EB3">
        <w:t xml:space="preserve">In </w:t>
      </w:r>
      <w:r w:rsidRPr="00306EB3" w:rsidR="00683E42">
        <w:t>dit</w:t>
      </w:r>
      <w:r w:rsidRPr="00306EB3">
        <w:t xml:space="preserve"> rapport staat de vraag centraal, welke lessen te trekken zijn uit de incidentonderzoeken</w:t>
      </w:r>
      <w:r w:rsidRPr="00306EB3" w:rsidR="008D4044">
        <w:t xml:space="preserve"> van de </w:t>
      </w:r>
      <w:proofErr w:type="spellStart"/>
      <w:r w:rsidRPr="00306EB3" w:rsidR="008D4044">
        <w:t>IJenV</w:t>
      </w:r>
      <w:proofErr w:type="spellEnd"/>
      <w:r w:rsidRPr="00306EB3">
        <w:t xml:space="preserve"> in de periode 2012 tot en met 2024 binnen het domein van de sanctietoepassing.</w:t>
      </w:r>
      <w:r w:rsidRPr="00306EB3" w:rsidR="009E6479">
        <w:t xml:space="preserve"> Hierbij merkt de </w:t>
      </w:r>
      <w:proofErr w:type="spellStart"/>
      <w:r w:rsidRPr="00306EB3" w:rsidR="009E6479">
        <w:t>IJenV</w:t>
      </w:r>
      <w:proofErr w:type="spellEnd"/>
      <w:r w:rsidRPr="00306EB3" w:rsidR="009E6479">
        <w:t xml:space="preserve"> op dat incidenten nooit helemaal zijn uit te sluiten.</w:t>
      </w:r>
      <w:r w:rsidRPr="00306EB3" w:rsidR="009E6479">
        <w:rPr>
          <w:rStyle w:val="Voetnootmarkering"/>
        </w:rPr>
        <w:footnoteReference w:id="3"/>
      </w:r>
      <w:r w:rsidRPr="00306EB3">
        <w:t xml:space="preserve"> </w:t>
      </w:r>
    </w:p>
    <w:p w:rsidRPr="00306EB3" w:rsidR="009E6479" w:rsidP="00C00448" w:rsidRDefault="009E6479" w14:paraId="548B9AB9" w14:textId="77777777"/>
    <w:p w:rsidRPr="00306EB3" w:rsidR="008D4044" w:rsidP="00C00448" w:rsidRDefault="00C00448" w14:paraId="6C0AC9E0" w14:textId="62ED8C6B">
      <w:r w:rsidRPr="00306EB3">
        <w:t xml:space="preserve">De </w:t>
      </w:r>
      <w:proofErr w:type="spellStart"/>
      <w:r w:rsidRPr="00306EB3" w:rsidR="008D4044">
        <w:t>IJenV</w:t>
      </w:r>
      <w:proofErr w:type="spellEnd"/>
      <w:r w:rsidRPr="00306EB3">
        <w:t xml:space="preserve"> </w:t>
      </w:r>
      <w:r w:rsidRPr="00306EB3" w:rsidR="0033400C">
        <w:t>signaleert</w:t>
      </w:r>
      <w:r w:rsidRPr="00306EB3" w:rsidR="005C4669">
        <w:t xml:space="preserve"> </w:t>
      </w:r>
      <w:r w:rsidRPr="00306EB3">
        <w:t xml:space="preserve">terugkerende thema’s en knelpunten </w:t>
      </w:r>
      <w:r w:rsidRPr="00306EB3" w:rsidR="0033400C">
        <w:t xml:space="preserve">die </w:t>
      </w:r>
      <w:r w:rsidRPr="00306EB3">
        <w:t>voornamelijk zien op de (keten)samenwerking</w:t>
      </w:r>
      <w:r w:rsidRPr="00306EB3" w:rsidR="0033400C">
        <w:t>,</w:t>
      </w:r>
      <w:r w:rsidRPr="00306EB3" w:rsidR="00C0066F">
        <w:t xml:space="preserve"> </w:t>
      </w:r>
      <w:r w:rsidRPr="00306EB3">
        <w:t>het risicomanagement en het menselijk handelen.</w:t>
      </w:r>
      <w:r w:rsidRPr="00306EB3" w:rsidR="00C0066F">
        <w:t xml:space="preserve"> Dit betreft </w:t>
      </w:r>
      <w:r w:rsidRPr="00306EB3" w:rsidR="0033400C">
        <w:t xml:space="preserve">onder andere </w:t>
      </w:r>
      <w:r w:rsidRPr="00306EB3" w:rsidR="00C0066F">
        <w:t xml:space="preserve">het delen van informatie, het herkennen van signalen en/of risico’s en het </w:t>
      </w:r>
      <w:r w:rsidRPr="00306EB3" w:rsidR="00180513">
        <w:t xml:space="preserve">daarop </w:t>
      </w:r>
      <w:r w:rsidRPr="00306EB3" w:rsidR="00C0066F">
        <w:t>adequaat handelen van medewerkers.</w:t>
      </w:r>
      <w:r w:rsidRPr="00306EB3">
        <w:t xml:space="preserve"> Daarnaast blijkt uit dit onderzoek dat bepaalde knelpunten samenhangen met specifieke typen incidenten, zoals dodelijke incidenten door een justitiabele of het overlijden van justitiabelen. </w:t>
      </w:r>
      <w:r w:rsidRPr="00306EB3" w:rsidR="0033400C">
        <w:t>Ook toont</w:t>
      </w:r>
      <w:r w:rsidRPr="00306EB3">
        <w:t xml:space="preserve"> dit onderzoek aan dat de knelpunten een cumulatief of </w:t>
      </w:r>
      <w:r w:rsidRPr="00306EB3" w:rsidR="00180513">
        <w:t xml:space="preserve">onderling </w:t>
      </w:r>
      <w:r w:rsidRPr="00306EB3">
        <w:t xml:space="preserve">versterkend effect kunnen hebben op het risico op incidenten. </w:t>
      </w:r>
      <w:r w:rsidRPr="00306EB3" w:rsidR="0033400C">
        <w:t xml:space="preserve">Tot slot concludeert de </w:t>
      </w:r>
      <w:proofErr w:type="spellStart"/>
      <w:r w:rsidRPr="00306EB3" w:rsidR="0033400C">
        <w:t>IJenV</w:t>
      </w:r>
      <w:proofErr w:type="spellEnd"/>
      <w:r w:rsidRPr="00306EB3" w:rsidR="0061635F">
        <w:t xml:space="preserve"> dat</w:t>
      </w:r>
      <w:r w:rsidRPr="00306EB3" w:rsidR="00796C6A">
        <w:t xml:space="preserve"> het</w:t>
      </w:r>
      <w:r w:rsidRPr="00306EB3" w:rsidR="007C2A24">
        <w:t xml:space="preserve"> </w:t>
      </w:r>
      <w:r w:rsidRPr="00306EB3" w:rsidR="00796C6A">
        <w:t xml:space="preserve">– </w:t>
      </w:r>
      <w:r w:rsidRPr="00306EB3" w:rsidR="007C2A24">
        <w:t>om het risico op incidenten te verkleinen</w:t>
      </w:r>
      <w:r w:rsidRPr="00306EB3" w:rsidR="00796C6A">
        <w:t xml:space="preserve"> – </w:t>
      </w:r>
      <w:r w:rsidRPr="00306EB3" w:rsidR="007C2A24">
        <w:t xml:space="preserve">van belang is dat organisaties een volledig beeld van justitiabelen hebben en houden om passende interventies of vervolgacties in te zetten. </w:t>
      </w:r>
      <w:r w:rsidRPr="00306EB3" w:rsidR="00860E64">
        <w:t>Het rapport bevat geen aanbevelingen.</w:t>
      </w:r>
    </w:p>
    <w:p w:rsidRPr="00306EB3" w:rsidR="0033400C" w:rsidP="00C543BD" w:rsidRDefault="0033400C" w14:paraId="5292C894" w14:textId="77777777"/>
    <w:p w:rsidRPr="00306EB3" w:rsidR="00BD101C" w:rsidP="00796C6A" w:rsidRDefault="003A6D5A" w14:paraId="6F249CFD" w14:textId="22E950E9">
      <w:pPr>
        <w:pStyle w:val="Lijstalinea"/>
        <w:numPr>
          <w:ilvl w:val="1"/>
          <w:numId w:val="20"/>
        </w:numPr>
        <w:ind w:left="567" w:hanging="567"/>
        <w:rPr>
          <w:b/>
          <w:bCs/>
        </w:rPr>
      </w:pPr>
      <w:r w:rsidRPr="00306EB3">
        <w:rPr>
          <w:b/>
          <w:bCs/>
        </w:rPr>
        <w:t xml:space="preserve">Reactie </w:t>
      </w:r>
      <w:r w:rsidRPr="00306EB3" w:rsidR="0020343F">
        <w:rPr>
          <w:b/>
          <w:bCs/>
        </w:rPr>
        <w:t xml:space="preserve">op </w:t>
      </w:r>
      <w:r w:rsidRPr="00306EB3" w:rsidR="00BD101C">
        <w:rPr>
          <w:b/>
          <w:bCs/>
        </w:rPr>
        <w:t>rapport</w:t>
      </w:r>
      <w:r w:rsidRPr="00306EB3">
        <w:rPr>
          <w:b/>
          <w:bCs/>
        </w:rPr>
        <w:t xml:space="preserve"> ‘Incidentenonderzoeken onder de loep’</w:t>
      </w:r>
    </w:p>
    <w:p w:rsidRPr="00306EB3" w:rsidR="00763927" w:rsidRDefault="00801AC9" w14:paraId="1DF5DC6B" w14:textId="618A20CF">
      <w:r w:rsidRPr="00306EB3">
        <w:t>H</w:t>
      </w:r>
      <w:r w:rsidRPr="00306EB3" w:rsidR="00F00732">
        <w:t xml:space="preserve">et onderzoek van de </w:t>
      </w:r>
      <w:proofErr w:type="spellStart"/>
      <w:r w:rsidRPr="00306EB3" w:rsidR="008D4044">
        <w:t>IJenV</w:t>
      </w:r>
      <w:proofErr w:type="spellEnd"/>
      <w:r w:rsidRPr="00306EB3" w:rsidR="00C00448">
        <w:t xml:space="preserve"> </w:t>
      </w:r>
      <w:r w:rsidRPr="00306EB3">
        <w:t>biedt</w:t>
      </w:r>
      <w:r w:rsidRPr="00306EB3" w:rsidR="00C00448">
        <w:t xml:space="preserve"> inzicht in patronen van knelpunten. </w:t>
      </w:r>
      <w:r w:rsidRPr="00306EB3" w:rsidR="008D4044">
        <w:t>Om die reden is het onderzoek</w:t>
      </w:r>
      <w:r w:rsidRPr="00306EB3" w:rsidR="00D06188">
        <w:t xml:space="preserve"> ook besproken in bestuurlijke overleggen met de betrokken ketenpartners, het Bestuurlijk Executie Overleg</w:t>
      </w:r>
      <w:r w:rsidRPr="00306EB3" w:rsidR="001033C2">
        <w:t xml:space="preserve"> en</w:t>
      </w:r>
      <w:r w:rsidRPr="00306EB3" w:rsidR="00D06188">
        <w:t xml:space="preserve"> het Bestuurlijk Overleg Forensische Zorg</w:t>
      </w:r>
      <w:r w:rsidRPr="00306EB3" w:rsidR="00D42954">
        <w:t>.</w:t>
      </w:r>
      <w:r w:rsidRPr="00306EB3" w:rsidR="00183B39">
        <w:rPr>
          <w:rStyle w:val="Voetnootmarkering"/>
        </w:rPr>
        <w:footnoteReference w:id="4"/>
      </w:r>
      <w:r w:rsidRPr="00306EB3" w:rsidR="009809A6">
        <w:t xml:space="preserve"> </w:t>
      </w:r>
    </w:p>
    <w:p w:rsidRPr="00306EB3" w:rsidR="00A7145C" w:rsidRDefault="00A7145C" w14:paraId="2132DE2B" w14:textId="77777777"/>
    <w:p w:rsidRPr="00306EB3" w:rsidR="0033400C" w:rsidP="0033400C" w:rsidRDefault="00763927" w14:paraId="148A392B" w14:textId="5E024C53">
      <w:pPr>
        <w:rPr>
          <w:strike/>
        </w:rPr>
      </w:pPr>
      <w:r w:rsidRPr="00306EB3">
        <w:t xml:space="preserve">In beide overleggen benadrukten de ketenpartners dat het van belang is </w:t>
      </w:r>
      <w:r w:rsidRPr="00306EB3" w:rsidR="0033400C">
        <w:t xml:space="preserve">om, </w:t>
      </w:r>
      <w:r w:rsidRPr="00306EB3">
        <w:t>waar mogelijk</w:t>
      </w:r>
      <w:r w:rsidRPr="00306EB3" w:rsidR="0033400C">
        <w:t>,</w:t>
      </w:r>
      <w:r w:rsidRPr="00306EB3">
        <w:t xml:space="preserve"> lering te trekken uit incidenten</w:t>
      </w:r>
      <w:r w:rsidRPr="00306EB3" w:rsidR="009E6479">
        <w:t xml:space="preserve"> om het risico op incidenten zoveel mogelijk te verkleinen</w:t>
      </w:r>
      <w:r w:rsidRPr="00306EB3" w:rsidR="008E63BF">
        <w:t xml:space="preserve">. </w:t>
      </w:r>
      <w:r w:rsidRPr="00306EB3" w:rsidR="002801E3">
        <w:t>Dit leerproces is een continu proces, dat voortdurend om (zelf)reflectie vraagt</w:t>
      </w:r>
      <w:r w:rsidRPr="00306EB3" w:rsidR="00516260">
        <w:t xml:space="preserve"> van de gehele justitiële keten</w:t>
      </w:r>
      <w:r w:rsidRPr="00306EB3" w:rsidR="002801E3">
        <w:t xml:space="preserve">. </w:t>
      </w:r>
      <w:r w:rsidRPr="00306EB3" w:rsidR="0033400C">
        <w:t xml:space="preserve">Volgens ketenpartners is het van belang te bezien of </w:t>
      </w:r>
      <w:r w:rsidRPr="00306EB3" w:rsidR="00EA051C">
        <w:t>partijen</w:t>
      </w:r>
      <w:r w:rsidRPr="00306EB3" w:rsidR="00834225">
        <w:t xml:space="preserve"> navolgbaar hebben gehandeld</w:t>
      </w:r>
      <w:r w:rsidRPr="00306EB3" w:rsidR="008E63BF">
        <w:t xml:space="preserve">, waarbij tegelijkertijd oog moet zijn voor mogelijke fouten of tekortkomingen in </w:t>
      </w:r>
      <w:r w:rsidRPr="00306EB3" w:rsidR="00AB34EB">
        <w:t>het systeem</w:t>
      </w:r>
      <w:r w:rsidRPr="00306EB3" w:rsidR="008E63BF">
        <w:t xml:space="preserve">. </w:t>
      </w:r>
      <w:r w:rsidRPr="00306EB3" w:rsidR="0033400C">
        <w:t xml:space="preserve">In het Bestuurlijk Executie Overleg is </w:t>
      </w:r>
      <w:r w:rsidRPr="00306EB3" w:rsidR="009E6479">
        <w:t xml:space="preserve">daarnaast </w:t>
      </w:r>
      <w:r w:rsidRPr="00306EB3" w:rsidR="0033400C">
        <w:t xml:space="preserve">onder meer besproken dat het vraagstuk omtrent personen met </w:t>
      </w:r>
      <w:r w:rsidRPr="00306EB3" w:rsidR="00EA051C">
        <w:t xml:space="preserve">verward of </w:t>
      </w:r>
      <w:r w:rsidRPr="00306EB3" w:rsidR="0033400C">
        <w:t>onbegrepen gedrag en een complexe zorgbehoefte een rode draad vormt in veel incidenten. Hierom benadruk ik het belang de Werkagenda aansluiting forensische zorg en reguliere zorg,</w:t>
      </w:r>
      <w:r w:rsidRPr="00306EB3" w:rsidR="0033400C">
        <w:rPr>
          <w:rStyle w:val="Voetnootmarkering"/>
        </w:rPr>
        <w:footnoteReference w:id="5"/>
      </w:r>
      <w:r w:rsidRPr="00306EB3" w:rsidR="0033400C">
        <w:t xml:space="preserve"> en verwijs ik in dat kader ook naar de denkrichtingen zoals geschetst in het Interdepartementaal Beleidsonderzoek ‘Mentale gezondheid en ggz’.  </w:t>
      </w:r>
    </w:p>
    <w:p w:rsidRPr="00306EB3" w:rsidR="00D55378" w:rsidRDefault="00D55378" w14:paraId="4FC7A92B" w14:textId="77777777"/>
    <w:p w:rsidRPr="00306EB3" w:rsidR="009E6479" w:rsidP="00C00448" w:rsidRDefault="00B547FB" w14:paraId="4D7D7848" w14:textId="24949DDB">
      <w:r w:rsidRPr="00306EB3">
        <w:t>D</w:t>
      </w:r>
      <w:r w:rsidRPr="00306EB3" w:rsidR="00C0066F">
        <w:t>e</w:t>
      </w:r>
      <w:r w:rsidRPr="00306EB3" w:rsidR="00D55378">
        <w:t xml:space="preserve"> </w:t>
      </w:r>
      <w:r w:rsidRPr="00306EB3" w:rsidR="00C441B3">
        <w:t xml:space="preserve">analyse van de </w:t>
      </w:r>
      <w:proofErr w:type="spellStart"/>
      <w:r w:rsidRPr="00306EB3" w:rsidR="00E91540">
        <w:t>IJenV</w:t>
      </w:r>
      <w:proofErr w:type="spellEnd"/>
      <w:r w:rsidRPr="00306EB3" w:rsidR="00C441B3">
        <w:t xml:space="preserve"> en </w:t>
      </w:r>
      <w:r w:rsidRPr="00306EB3" w:rsidR="00D55378">
        <w:t>de</w:t>
      </w:r>
      <w:r w:rsidRPr="00306EB3" w:rsidR="006D7492">
        <w:t xml:space="preserve"> bespreking in de</w:t>
      </w:r>
      <w:r w:rsidRPr="00306EB3" w:rsidR="00D55378">
        <w:t xml:space="preserve"> genoemde overleggen</w:t>
      </w:r>
      <w:r w:rsidRPr="00306EB3" w:rsidR="00C00448">
        <w:t xml:space="preserve"> </w:t>
      </w:r>
      <w:r w:rsidRPr="00306EB3">
        <w:t xml:space="preserve">laten zien dat </w:t>
      </w:r>
      <w:r w:rsidRPr="00306EB3" w:rsidR="0081527C">
        <w:t xml:space="preserve">het nodig </w:t>
      </w:r>
      <w:r w:rsidRPr="00306EB3">
        <w:t xml:space="preserve">is </w:t>
      </w:r>
      <w:r w:rsidRPr="00306EB3" w:rsidR="0081527C">
        <w:t>om</w:t>
      </w:r>
      <w:r w:rsidRPr="00306EB3" w:rsidR="009E6479">
        <w:t xml:space="preserve"> de knelpunten rond</w:t>
      </w:r>
      <w:r w:rsidRPr="00306EB3" w:rsidR="001033C2">
        <w:t xml:space="preserve"> informatie-uitwisselin</w:t>
      </w:r>
      <w:r w:rsidRPr="00306EB3" w:rsidR="005B259D">
        <w:t>g</w:t>
      </w:r>
      <w:r w:rsidRPr="00306EB3" w:rsidR="009E6479">
        <w:t xml:space="preserve"> weg</w:t>
      </w:r>
      <w:r w:rsidRPr="00306EB3" w:rsidR="0081527C">
        <w:t xml:space="preserve"> te </w:t>
      </w:r>
      <w:r w:rsidRPr="00306EB3" w:rsidR="009E6479">
        <w:t>nemen</w:t>
      </w:r>
      <w:r w:rsidRPr="00306EB3" w:rsidR="001033C2">
        <w:t>.</w:t>
      </w:r>
      <w:r w:rsidRPr="00306EB3" w:rsidR="005B259D">
        <w:t xml:space="preserve"> </w:t>
      </w:r>
      <w:r w:rsidRPr="00306EB3" w:rsidR="002801E3">
        <w:t>Adequate</w:t>
      </w:r>
      <w:r w:rsidRPr="00306EB3" w:rsidR="009E6479">
        <w:t xml:space="preserve"> informatie-uitwisseling </w:t>
      </w:r>
      <w:r w:rsidRPr="00306EB3">
        <w:t>is</w:t>
      </w:r>
      <w:r w:rsidRPr="00306EB3" w:rsidR="009E6479">
        <w:t xml:space="preserve"> immers </w:t>
      </w:r>
      <w:r w:rsidRPr="00306EB3">
        <w:t xml:space="preserve">een </w:t>
      </w:r>
      <w:r w:rsidRPr="00306EB3" w:rsidR="009E6479">
        <w:t xml:space="preserve">randvoorwaarde voor een goed functionerende sanctietoepassing, en daarmee </w:t>
      </w:r>
      <w:r w:rsidRPr="00306EB3">
        <w:t>het voorkomen van</w:t>
      </w:r>
      <w:r w:rsidRPr="00306EB3" w:rsidR="009E6479">
        <w:t xml:space="preserve"> incidenten. Informatie-uitwisseling betreft</w:t>
      </w:r>
      <w:r w:rsidRPr="00306EB3" w:rsidR="006D7492">
        <w:t xml:space="preserve"> een vraagstuk</w:t>
      </w:r>
      <w:r w:rsidRPr="00306EB3" w:rsidR="001033C2">
        <w:t xml:space="preserve"> met meerdere dimensies: juridisch, technologisch, organisatorisch, </w:t>
      </w:r>
      <w:r w:rsidRPr="00306EB3" w:rsidR="00C441B3">
        <w:t xml:space="preserve">en </w:t>
      </w:r>
      <w:r w:rsidRPr="00306EB3" w:rsidR="001033C2">
        <w:t xml:space="preserve">psychologisch (‘koudwatervrees’). </w:t>
      </w:r>
      <w:r w:rsidRPr="00306EB3" w:rsidR="005C5DAC">
        <w:t>Hoewel</w:t>
      </w:r>
      <w:r w:rsidRPr="00306EB3" w:rsidR="001033C2">
        <w:t xml:space="preserve"> de afgelopen jaren al vele juridische barrières voor informatie-uitwisseling zijn weggenomen</w:t>
      </w:r>
      <w:r w:rsidRPr="00306EB3" w:rsidR="005C5DAC">
        <w:t xml:space="preserve">, </w:t>
      </w:r>
      <w:r w:rsidRPr="00306EB3" w:rsidR="00614C39">
        <w:t xml:space="preserve">zal </w:t>
      </w:r>
      <w:r w:rsidRPr="00306EB3" w:rsidR="00C0066F">
        <w:t xml:space="preserve">ik samen met de ketenpartners </w:t>
      </w:r>
      <w:r w:rsidRPr="00306EB3" w:rsidR="009E6479">
        <w:t xml:space="preserve">nagaan </w:t>
      </w:r>
      <w:r w:rsidRPr="00306EB3" w:rsidR="001033C2">
        <w:t xml:space="preserve">welke </w:t>
      </w:r>
      <w:r w:rsidRPr="00306EB3" w:rsidR="00C00448">
        <w:t>onduidelijkheden</w:t>
      </w:r>
      <w:r w:rsidRPr="00306EB3" w:rsidR="00D06188">
        <w:t xml:space="preserve"> of </w:t>
      </w:r>
      <w:r w:rsidRPr="00306EB3" w:rsidR="008D4044">
        <w:t>hiaten</w:t>
      </w:r>
      <w:r w:rsidRPr="00306EB3" w:rsidR="001033C2">
        <w:t xml:space="preserve"> resteren</w:t>
      </w:r>
      <w:r w:rsidRPr="00306EB3" w:rsidR="00C00448">
        <w:t xml:space="preserve"> </w:t>
      </w:r>
      <w:r w:rsidRPr="00306EB3" w:rsidR="005C5DAC">
        <w:t>binnen het</w:t>
      </w:r>
      <w:r w:rsidRPr="00306EB3" w:rsidR="00C00448">
        <w:t xml:space="preserve"> stelsel</w:t>
      </w:r>
      <w:r w:rsidRPr="00306EB3" w:rsidR="00D06188">
        <w:t xml:space="preserve"> van de sanctietoepassing</w:t>
      </w:r>
      <w:r w:rsidRPr="00306EB3" w:rsidR="00C00448">
        <w:t>.</w:t>
      </w:r>
      <w:r w:rsidRPr="00306EB3" w:rsidR="00F105BA">
        <w:t xml:space="preserve"> </w:t>
      </w:r>
      <w:r w:rsidRPr="00306EB3" w:rsidR="00516260">
        <w:t xml:space="preserve">Tegelijkertijd gaat informatie-uitwisseling altijd gepaard met een (bestuurlijke) afweging gericht op de vraag of er een gerechtvaardigd doel of vitaal belang mee wordt gediend. Informatie-uitwisseling zal zodoende altijd met waarborgen zijn omkleed. </w:t>
      </w:r>
      <w:r w:rsidRPr="00306EB3" w:rsidR="00554E75">
        <w:t>Ik zal uw Kamer op de hoogte houden o</w:t>
      </w:r>
      <w:r w:rsidRPr="00306EB3" w:rsidR="001033C2">
        <w:t xml:space="preserve">ver de </w:t>
      </w:r>
      <w:r w:rsidRPr="00306EB3" w:rsidR="000D764A">
        <w:t xml:space="preserve">voortgang en </w:t>
      </w:r>
      <w:r w:rsidRPr="00306EB3" w:rsidR="001033C2">
        <w:t xml:space="preserve">uitkomsten van </w:t>
      </w:r>
      <w:r w:rsidRPr="00306EB3" w:rsidR="0097545C">
        <w:t>deze</w:t>
      </w:r>
      <w:r w:rsidRPr="00306EB3" w:rsidR="001033C2">
        <w:t xml:space="preserve"> </w:t>
      </w:r>
      <w:r w:rsidRPr="00306EB3" w:rsidR="009E6479">
        <w:t xml:space="preserve">analyse. </w:t>
      </w:r>
      <w:r w:rsidRPr="00306EB3" w:rsidR="001033C2">
        <w:t xml:space="preserve"> </w:t>
      </w:r>
    </w:p>
    <w:p w:rsidRPr="00306EB3" w:rsidR="0097545C" w:rsidP="00C00448" w:rsidRDefault="0097545C" w14:paraId="51232903" w14:textId="77777777">
      <w:pPr>
        <w:rPr>
          <w:rStyle w:val="Verwijzingopmerking"/>
          <w:sz w:val="18"/>
          <w:szCs w:val="18"/>
        </w:rPr>
      </w:pPr>
    </w:p>
    <w:p w:rsidRPr="00306EB3" w:rsidR="00D06188" w:rsidP="004F6F19" w:rsidRDefault="00D06188" w14:paraId="0B3CE725" w14:textId="3D215C63">
      <w:pPr>
        <w:pStyle w:val="Lijstalinea"/>
        <w:numPr>
          <w:ilvl w:val="0"/>
          <w:numId w:val="20"/>
        </w:numPr>
        <w:ind w:left="567" w:hanging="567"/>
        <w:rPr>
          <w:b/>
          <w:bCs/>
        </w:rPr>
      </w:pPr>
      <w:r w:rsidRPr="00306EB3">
        <w:rPr>
          <w:b/>
          <w:bCs/>
        </w:rPr>
        <w:t>To</w:t>
      </w:r>
      <w:r w:rsidRPr="00306EB3" w:rsidR="00510375">
        <w:rPr>
          <w:b/>
          <w:bCs/>
        </w:rPr>
        <w:t>t</w:t>
      </w:r>
      <w:r w:rsidRPr="00306EB3">
        <w:rPr>
          <w:b/>
          <w:bCs/>
        </w:rPr>
        <w:t xml:space="preserve"> slot</w:t>
      </w:r>
    </w:p>
    <w:p w:rsidRPr="00306EB3" w:rsidR="00C00448" w:rsidP="00C00448" w:rsidRDefault="00510375" w14:paraId="6A4F402D" w14:textId="182BD6D7">
      <w:r w:rsidRPr="00306EB3">
        <w:t xml:space="preserve">Ik ben mij ervan bewust dat de incidenten die </w:t>
      </w:r>
      <w:r w:rsidRPr="00306EB3" w:rsidR="008D4044">
        <w:t>in bovengenoemde rapporten</w:t>
      </w:r>
      <w:r w:rsidRPr="00306EB3">
        <w:t xml:space="preserve"> zijn onderzocht een grote maatschappelijke impact hebben met zeer ingrijpende gevolgen voor de slachtoffers, nabestaanden en </w:t>
      </w:r>
      <w:bookmarkStart w:name="_Hlk214890002" w:id="5"/>
      <w:r w:rsidRPr="00306EB3">
        <w:t xml:space="preserve">de professionals </w:t>
      </w:r>
      <w:bookmarkEnd w:id="5"/>
      <w:r w:rsidRPr="00306EB3">
        <w:t>die hiermee zijn geconfronteerd. Tegelijkertijd kunnen incidenten nooit volledig worden uitgesloten</w:t>
      </w:r>
      <w:r w:rsidRPr="00306EB3" w:rsidR="00F31280">
        <w:t xml:space="preserve">, hoe graag </w:t>
      </w:r>
      <w:r w:rsidRPr="00306EB3" w:rsidR="00BC4DA2">
        <w:t xml:space="preserve">ik </w:t>
      </w:r>
      <w:r w:rsidRPr="00306EB3" w:rsidR="00F31280">
        <w:t>dat ook zou willen</w:t>
      </w:r>
      <w:r w:rsidRPr="00306EB3">
        <w:t>. Daarom is het des te meer van belang dat er van incidenten wordt geleerd om risico’s, en daarmee de kans op toekomstige incidenten, zo klein mogelijk te maken. Dit leerproces is een continu proces</w:t>
      </w:r>
      <w:r w:rsidRPr="00306EB3" w:rsidR="00796C6A">
        <w:t xml:space="preserve"> en vraagt </w:t>
      </w:r>
      <w:r w:rsidRPr="00306EB3" w:rsidR="00F31280">
        <w:t>voortdurend</w:t>
      </w:r>
      <w:r w:rsidRPr="00306EB3">
        <w:t xml:space="preserve"> de aandacht van mijn ministerie en alle organisaties </w:t>
      </w:r>
      <w:r w:rsidRPr="00306EB3" w:rsidR="00F31280">
        <w:t>binnen</w:t>
      </w:r>
      <w:r w:rsidRPr="00306EB3">
        <w:t xml:space="preserve"> de (justitiële) keten. Hiervoor is zelfreflectie én een open houding </w:t>
      </w:r>
      <w:r w:rsidRPr="00306EB3" w:rsidR="00F31280">
        <w:t>ten opzichte van</w:t>
      </w:r>
      <w:r w:rsidRPr="00306EB3">
        <w:t xml:space="preserve"> </w:t>
      </w:r>
      <w:r w:rsidRPr="00306EB3" w:rsidR="008E63BF">
        <w:t xml:space="preserve">analyses </w:t>
      </w:r>
      <w:r w:rsidRPr="00306EB3">
        <w:t xml:space="preserve">van buitenaf, zoals van de </w:t>
      </w:r>
      <w:proofErr w:type="spellStart"/>
      <w:r w:rsidRPr="00306EB3" w:rsidR="008D4044">
        <w:t>IJenV</w:t>
      </w:r>
      <w:proofErr w:type="spellEnd"/>
      <w:r w:rsidRPr="00306EB3">
        <w:t>, cruciaal.</w:t>
      </w:r>
      <w:r w:rsidRPr="00306EB3" w:rsidR="00F31280">
        <w:t xml:space="preserve"> </w:t>
      </w:r>
      <w:r w:rsidRPr="00306EB3" w:rsidR="00C00448">
        <w:t xml:space="preserve">Daarmee </w:t>
      </w:r>
      <w:r w:rsidRPr="00306EB3" w:rsidR="00C0066F">
        <w:t xml:space="preserve">wil ik </w:t>
      </w:r>
      <w:r w:rsidRPr="00306EB3" w:rsidR="00AB34EB">
        <w:t xml:space="preserve">samen </w:t>
      </w:r>
      <w:r w:rsidRPr="00306EB3" w:rsidR="00C0066F">
        <w:t>met de ketenpartners</w:t>
      </w:r>
      <w:r w:rsidRPr="00306EB3" w:rsidR="00C00448">
        <w:t xml:space="preserve"> het risico op incidenten zoveel mogelijk verkleinen, slachtoffers voorkomen en voortbouwen aan een veilige samenleving.</w:t>
      </w:r>
    </w:p>
    <w:p w:rsidRPr="00306EB3" w:rsidR="00C00448" w:rsidP="00C00448" w:rsidRDefault="00C00448" w14:paraId="7D5DE3B9" w14:textId="77777777"/>
    <w:p w:rsidR="00306EB3" w:rsidP="00306EB3" w:rsidRDefault="00306EB3" w14:paraId="029B6847" w14:textId="77777777"/>
    <w:p w:rsidR="00306EB3" w:rsidP="00306EB3" w:rsidRDefault="00306EB3" w14:paraId="1EFC2C3C" w14:textId="77777777">
      <w:r>
        <w:t>De Staatssecretaris van Justitie en Veiligheid,</w:t>
      </w:r>
    </w:p>
    <w:p w:rsidR="00306EB3" w:rsidP="00306EB3" w:rsidRDefault="00306EB3" w14:paraId="4B39B55E" w14:textId="77777777"/>
    <w:p w:rsidR="00306EB3" w:rsidP="00306EB3" w:rsidRDefault="00306EB3" w14:paraId="7FEFB122" w14:textId="77777777"/>
    <w:p w:rsidR="00306EB3" w:rsidP="00306EB3" w:rsidRDefault="00306EB3" w14:paraId="296B6B53" w14:textId="77777777"/>
    <w:p w:rsidR="00306EB3" w:rsidP="00306EB3" w:rsidRDefault="00306EB3" w14:paraId="1901204D" w14:textId="77777777"/>
    <w:p w:rsidR="00CB760C" w:rsidP="00306EB3" w:rsidRDefault="00306EB3" w14:paraId="0F08F54C" w14:textId="5B40F8F2">
      <w:r>
        <w:t>mr. A.C.L. Rutte</w:t>
      </w:r>
    </w:p>
    <w:p w:rsidR="00CB760C" w:rsidRDefault="00CB760C" w14:paraId="65B7171C" w14:textId="77777777"/>
    <w:p w:rsidR="00CB760C" w:rsidRDefault="00CB760C" w14:paraId="3BFE7759" w14:textId="77777777"/>
    <w:p w:rsidR="00CB760C" w:rsidRDefault="00CB760C" w14:paraId="2C355392" w14:textId="77777777"/>
    <w:sectPr w:rsidR="00CB760C">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03A7F" w14:textId="77777777" w:rsidR="008B5C0E" w:rsidRDefault="008B5C0E">
      <w:pPr>
        <w:spacing w:line="240" w:lineRule="auto"/>
      </w:pPr>
      <w:r>
        <w:separator/>
      </w:r>
    </w:p>
  </w:endnote>
  <w:endnote w:type="continuationSeparator" w:id="0">
    <w:p w14:paraId="46966A14" w14:textId="77777777" w:rsidR="008B5C0E" w:rsidRDefault="008B5C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FF18C" w14:textId="77777777" w:rsidR="008B5C0E" w:rsidRDefault="008B5C0E">
      <w:pPr>
        <w:spacing w:line="240" w:lineRule="auto"/>
      </w:pPr>
      <w:r>
        <w:separator/>
      </w:r>
    </w:p>
  </w:footnote>
  <w:footnote w:type="continuationSeparator" w:id="0">
    <w:p w14:paraId="7B76F884" w14:textId="77777777" w:rsidR="008B5C0E" w:rsidRDefault="008B5C0E">
      <w:pPr>
        <w:spacing w:line="240" w:lineRule="auto"/>
      </w:pPr>
      <w:r>
        <w:continuationSeparator/>
      </w:r>
    </w:p>
  </w:footnote>
  <w:footnote w:id="1">
    <w:p w14:paraId="6ECD2CA1" w14:textId="2CE4E442" w:rsidR="002D257B" w:rsidRDefault="002D257B" w:rsidP="002D257B">
      <w:pPr>
        <w:pStyle w:val="Voetnoottekst"/>
      </w:pPr>
      <w:r>
        <w:rPr>
          <w:rStyle w:val="Voetnootmarkering"/>
        </w:rPr>
        <w:footnoteRef/>
      </w:r>
      <w:r>
        <w:t xml:space="preserve"> </w:t>
      </w:r>
      <w:hyperlink r:id="rId1" w:history="1">
        <w:r w:rsidR="004C5283" w:rsidRPr="004C5283">
          <w:rPr>
            <w:rStyle w:val="Hyperlink"/>
            <w:sz w:val="16"/>
            <w:szCs w:val="16"/>
          </w:rPr>
          <w:t>Kamerbrief bij rapport over incidentenonderzoeken onder de loep | Kamerstuk | Rijksoverheid.nl</w:t>
        </w:r>
      </w:hyperlink>
    </w:p>
  </w:footnote>
  <w:footnote w:id="2">
    <w:p w14:paraId="25C3393F" w14:textId="77777777" w:rsidR="0097545C" w:rsidRDefault="0097545C" w:rsidP="0097545C">
      <w:pPr>
        <w:pStyle w:val="Voetnoottekst"/>
      </w:pPr>
      <w:r>
        <w:rPr>
          <w:rStyle w:val="Voetnootmarkering"/>
        </w:rPr>
        <w:footnoteRef/>
      </w:r>
      <w:r>
        <w:t xml:space="preserve"> </w:t>
      </w:r>
      <w:hyperlink r:id="rId2" w:history="1">
        <w:r w:rsidRPr="0019045E">
          <w:rPr>
            <w:rStyle w:val="Hyperlink"/>
            <w:sz w:val="16"/>
            <w:szCs w:val="16"/>
          </w:rPr>
          <w:t>www.kwaliteitskaderfz.nl</w:t>
        </w:r>
      </w:hyperlink>
      <w:r>
        <w:t xml:space="preserve"> </w:t>
      </w:r>
    </w:p>
  </w:footnote>
  <w:footnote w:id="3">
    <w:p w14:paraId="6AE71195" w14:textId="77777777" w:rsidR="009E6479" w:rsidRPr="00484B4E" w:rsidRDefault="009E6479" w:rsidP="009E6479">
      <w:pPr>
        <w:pStyle w:val="Voetnoottekst"/>
        <w:rPr>
          <w:i/>
          <w:iCs/>
          <w:sz w:val="16"/>
          <w:szCs w:val="16"/>
        </w:rPr>
      </w:pPr>
      <w:r w:rsidRPr="00484B4E">
        <w:rPr>
          <w:rStyle w:val="Voetnootmarkering"/>
          <w:i/>
          <w:iCs/>
          <w:sz w:val="16"/>
          <w:szCs w:val="16"/>
        </w:rPr>
        <w:footnoteRef/>
      </w:r>
      <w:r w:rsidRPr="00484B4E">
        <w:rPr>
          <w:i/>
          <w:iCs/>
          <w:sz w:val="16"/>
          <w:szCs w:val="16"/>
        </w:rPr>
        <w:t xml:space="preserve"> </w:t>
      </w:r>
      <w:proofErr w:type="spellStart"/>
      <w:r w:rsidRPr="00484B4E">
        <w:rPr>
          <w:sz w:val="16"/>
          <w:szCs w:val="16"/>
        </w:rPr>
        <w:t>IJenV</w:t>
      </w:r>
      <w:proofErr w:type="spellEnd"/>
      <w:r w:rsidRPr="00484B4E">
        <w:rPr>
          <w:sz w:val="16"/>
          <w:szCs w:val="16"/>
        </w:rPr>
        <w:t>,</w:t>
      </w:r>
      <w:r w:rsidRPr="00484B4E">
        <w:rPr>
          <w:i/>
          <w:iCs/>
          <w:sz w:val="16"/>
          <w:szCs w:val="16"/>
        </w:rPr>
        <w:t xml:space="preserve"> Incidentenonderzoeken onder de loep. Analyse incidentenonderzoeken binnen de sanctietoepassing door de Inspectie Justitie en Veiligheid – verslag over de periode 2012-2024, </w:t>
      </w:r>
      <w:r w:rsidRPr="00484B4E">
        <w:rPr>
          <w:sz w:val="16"/>
          <w:szCs w:val="16"/>
        </w:rPr>
        <w:t>2025, p. 34-35.</w:t>
      </w:r>
    </w:p>
  </w:footnote>
  <w:footnote w:id="4">
    <w:p w14:paraId="38487A24" w14:textId="366FB2EE" w:rsidR="00183B39" w:rsidRPr="00C0066F" w:rsidRDefault="00183B39" w:rsidP="008E4706">
      <w:pPr>
        <w:autoSpaceDN/>
        <w:spacing w:line="240" w:lineRule="auto"/>
        <w:textAlignment w:val="auto"/>
        <w:rPr>
          <w:rFonts w:eastAsia="Times New Roman"/>
          <w:color w:val="auto"/>
          <w:sz w:val="16"/>
          <w:szCs w:val="16"/>
        </w:rPr>
      </w:pPr>
      <w:r w:rsidRPr="008E4706">
        <w:rPr>
          <w:rStyle w:val="Voetnootmarkering"/>
          <w:color w:val="auto"/>
          <w:sz w:val="16"/>
          <w:szCs w:val="16"/>
        </w:rPr>
        <w:footnoteRef/>
      </w:r>
      <w:r w:rsidRPr="008E4706">
        <w:rPr>
          <w:color w:val="auto"/>
          <w:sz w:val="16"/>
          <w:szCs w:val="16"/>
        </w:rPr>
        <w:t xml:space="preserve"> </w:t>
      </w:r>
      <w:r w:rsidR="0061635F">
        <w:rPr>
          <w:rFonts w:eastAsia="Times New Roman"/>
          <w:color w:val="auto"/>
          <w:sz w:val="16"/>
          <w:szCs w:val="16"/>
        </w:rPr>
        <w:t>Deelnemende partijen</w:t>
      </w:r>
      <w:r w:rsidRPr="008E4706">
        <w:rPr>
          <w:rFonts w:eastAsia="Times New Roman"/>
          <w:color w:val="auto"/>
          <w:sz w:val="16"/>
          <w:szCs w:val="16"/>
        </w:rPr>
        <w:t xml:space="preserve"> </w:t>
      </w:r>
      <w:r w:rsidR="0061635F">
        <w:rPr>
          <w:rFonts w:eastAsia="Times New Roman"/>
          <w:color w:val="auto"/>
          <w:sz w:val="16"/>
          <w:szCs w:val="16"/>
        </w:rPr>
        <w:t>Bestuurlijk Executie Overleg, naast het bestuursdepartement van het ministerie van Justitie en Veiligheid</w:t>
      </w:r>
      <w:r w:rsidRPr="008E4706">
        <w:rPr>
          <w:rFonts w:eastAsia="Times New Roman"/>
          <w:color w:val="auto"/>
          <w:sz w:val="16"/>
          <w:szCs w:val="16"/>
        </w:rPr>
        <w:t xml:space="preserve">: </w:t>
      </w:r>
      <w:r w:rsidRPr="008E4706">
        <w:rPr>
          <w:color w:val="auto"/>
          <w:sz w:val="16"/>
          <w:szCs w:val="16"/>
        </w:rPr>
        <w:t>Het Openbaar Ministerie; Raad voor de rechtspraak; Politie; Dienst Justitiële Inrichtingen; Centraal Justitieel Incassobureau; Reclassering</w:t>
      </w:r>
      <w:r w:rsidR="0061635F">
        <w:rPr>
          <w:color w:val="auto"/>
          <w:sz w:val="16"/>
          <w:szCs w:val="16"/>
        </w:rPr>
        <w:t xml:space="preserve">. Deelnemende partijen Bestuurlijk Overleg Forensische Zorg, naast het bestuursdepartement van het ministerie van Justitie en Veiligheid: Dienst Justitiële Inrichtingen, Forensisch Netwerk en de Reclassering. Daarnaast neemt het Expertisecentrum Forensische Psychiatrie deel als agenda lid en de patiëntenvereniging MIND in een adviserende rol. </w:t>
      </w:r>
    </w:p>
  </w:footnote>
  <w:footnote w:id="5">
    <w:p w14:paraId="7BB74768" w14:textId="77777777" w:rsidR="0033400C" w:rsidRPr="00535CB2" w:rsidRDefault="0033400C" w:rsidP="0033400C">
      <w:pPr>
        <w:pStyle w:val="Voetnoottekst"/>
        <w:rPr>
          <w:sz w:val="16"/>
          <w:szCs w:val="16"/>
        </w:rPr>
      </w:pPr>
      <w:r w:rsidRPr="00535CB2">
        <w:rPr>
          <w:rStyle w:val="Voetnootmarkering"/>
          <w:sz w:val="16"/>
          <w:szCs w:val="16"/>
        </w:rPr>
        <w:footnoteRef/>
      </w:r>
      <w:r w:rsidRPr="00535CB2">
        <w:rPr>
          <w:sz w:val="16"/>
          <w:szCs w:val="16"/>
        </w:rPr>
        <w:t xml:space="preserve"> </w:t>
      </w:r>
      <w:r w:rsidRPr="00535CB2">
        <w:rPr>
          <w:i/>
          <w:iCs/>
          <w:sz w:val="16"/>
          <w:szCs w:val="16"/>
        </w:rPr>
        <w:t>Kamerstukken II 2024-2025</w:t>
      </w:r>
      <w:r w:rsidRPr="00535CB2">
        <w:rPr>
          <w:sz w:val="16"/>
          <w:szCs w:val="16"/>
        </w:rPr>
        <w:t>, 33628/25424, nr. 106. Voor eind 2025 volgt een voortgangsbrief over de Werkagenda aansluiting forensische zorg en reguliere zorg.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1F5B" w14:textId="77777777" w:rsidR="00CB760C" w:rsidRDefault="008719D8">
    <w:r>
      <w:rPr>
        <w:noProof/>
      </w:rPr>
      <mc:AlternateContent>
        <mc:Choice Requires="wps">
          <w:drawing>
            <wp:anchor distT="0" distB="0" distL="0" distR="0" simplePos="0" relativeHeight="251651584" behindDoc="0" locked="1" layoutInCell="1" allowOverlap="1" wp14:anchorId="12C2E280" wp14:editId="5978031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AB01FFA" w14:textId="77777777" w:rsidR="008719D8" w:rsidRDefault="008719D8"/>
                      </w:txbxContent>
                    </wps:txbx>
                    <wps:bodyPr vert="horz" wrap="square" lIns="0" tIns="0" rIns="0" bIns="0" anchor="t" anchorCtr="0"/>
                  </wps:wsp>
                </a:graphicData>
              </a:graphic>
            </wp:anchor>
          </w:drawing>
        </mc:Choice>
        <mc:Fallback>
          <w:pict>
            <v:shapetype w14:anchorId="12C2E28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AB01FFA" w14:textId="77777777" w:rsidR="008719D8" w:rsidRDefault="008719D8"/>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6C1B8B34" wp14:editId="77B841C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A632FA" w14:textId="77777777" w:rsidR="00CB760C" w:rsidRDefault="008719D8">
                          <w:pPr>
                            <w:pStyle w:val="Referentiegegevensbold"/>
                          </w:pPr>
                          <w:r>
                            <w:t>Datum</w:t>
                          </w:r>
                        </w:p>
                        <w:p w14:paraId="7CFE805A" w14:textId="0A6A84CE" w:rsidR="00CB760C" w:rsidRDefault="008B5C0E">
                          <w:pPr>
                            <w:pStyle w:val="Referentiegegevens"/>
                          </w:pPr>
                          <w:sdt>
                            <w:sdtPr>
                              <w:id w:val="-1640187342"/>
                              <w:date w:fullDate="2025-11-27T00:00:00Z">
                                <w:dateFormat w:val="d MMMM yyyy"/>
                                <w:lid w:val="nl"/>
                                <w:storeMappedDataAs w:val="dateTime"/>
                                <w:calendar w:val="gregorian"/>
                              </w:date>
                            </w:sdtPr>
                            <w:sdtEndPr/>
                            <w:sdtContent>
                              <w:r w:rsidR="00306EB3">
                                <w:rPr>
                                  <w:lang w:val="nl"/>
                                </w:rPr>
                                <w:t>27 november 2025</w:t>
                              </w:r>
                            </w:sdtContent>
                          </w:sdt>
                        </w:p>
                        <w:p w14:paraId="4A8EED3D" w14:textId="77777777" w:rsidR="00CB760C" w:rsidRDefault="00CB760C">
                          <w:pPr>
                            <w:pStyle w:val="WitregelW1"/>
                          </w:pPr>
                        </w:p>
                        <w:p w14:paraId="68301067" w14:textId="77777777" w:rsidR="00CB760C" w:rsidRDefault="008719D8">
                          <w:pPr>
                            <w:pStyle w:val="Referentiegegevensbold"/>
                          </w:pPr>
                          <w:r>
                            <w:t>Onze referentie</w:t>
                          </w:r>
                        </w:p>
                        <w:p w14:paraId="16F2380E" w14:textId="0ABEB8C5" w:rsidR="00CB760C" w:rsidRPr="009A0099" w:rsidRDefault="009A0099">
                          <w:pPr>
                            <w:pStyle w:val="Referentiegegevens"/>
                          </w:pPr>
                          <w:r w:rsidRPr="009A0099">
                            <w:t>6890087</w:t>
                          </w:r>
                        </w:p>
                      </w:txbxContent>
                    </wps:txbx>
                    <wps:bodyPr vert="horz" wrap="square" lIns="0" tIns="0" rIns="0" bIns="0" anchor="t" anchorCtr="0"/>
                  </wps:wsp>
                </a:graphicData>
              </a:graphic>
            </wp:anchor>
          </w:drawing>
        </mc:Choice>
        <mc:Fallback>
          <w:pict>
            <v:shape w14:anchorId="6C1B8B34" id="46fef022-aa3c-11ea-a756-beb5f67e67be" o:spid="_x0000_s1027"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2A632FA" w14:textId="77777777" w:rsidR="00CB760C" w:rsidRDefault="008719D8">
                    <w:pPr>
                      <w:pStyle w:val="Referentiegegevensbold"/>
                    </w:pPr>
                    <w:r>
                      <w:t>Datum</w:t>
                    </w:r>
                  </w:p>
                  <w:p w14:paraId="7CFE805A" w14:textId="0A6A84CE" w:rsidR="00CB760C" w:rsidRDefault="008B5C0E">
                    <w:pPr>
                      <w:pStyle w:val="Referentiegegevens"/>
                    </w:pPr>
                    <w:sdt>
                      <w:sdtPr>
                        <w:id w:val="-1640187342"/>
                        <w:date w:fullDate="2025-11-27T00:00:00Z">
                          <w:dateFormat w:val="d MMMM yyyy"/>
                          <w:lid w:val="nl"/>
                          <w:storeMappedDataAs w:val="dateTime"/>
                          <w:calendar w:val="gregorian"/>
                        </w:date>
                      </w:sdtPr>
                      <w:sdtEndPr/>
                      <w:sdtContent>
                        <w:r w:rsidR="00306EB3">
                          <w:rPr>
                            <w:lang w:val="nl"/>
                          </w:rPr>
                          <w:t>27 november 2025</w:t>
                        </w:r>
                      </w:sdtContent>
                    </w:sdt>
                  </w:p>
                  <w:p w14:paraId="4A8EED3D" w14:textId="77777777" w:rsidR="00CB760C" w:rsidRDefault="00CB760C">
                    <w:pPr>
                      <w:pStyle w:val="WitregelW1"/>
                    </w:pPr>
                  </w:p>
                  <w:p w14:paraId="68301067" w14:textId="77777777" w:rsidR="00CB760C" w:rsidRDefault="008719D8">
                    <w:pPr>
                      <w:pStyle w:val="Referentiegegevensbold"/>
                    </w:pPr>
                    <w:r>
                      <w:t>Onze referentie</w:t>
                    </w:r>
                  </w:p>
                  <w:p w14:paraId="16F2380E" w14:textId="0ABEB8C5" w:rsidR="00CB760C" w:rsidRPr="009A0099" w:rsidRDefault="009A0099">
                    <w:pPr>
                      <w:pStyle w:val="Referentiegegevens"/>
                    </w:pPr>
                    <w:r w:rsidRPr="009A0099">
                      <w:t>6890087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2C03ABE" wp14:editId="539A87E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DA1CC2" w14:textId="77777777" w:rsidR="008719D8" w:rsidRDefault="008719D8"/>
                      </w:txbxContent>
                    </wps:txbx>
                    <wps:bodyPr vert="horz" wrap="square" lIns="0" tIns="0" rIns="0" bIns="0" anchor="t" anchorCtr="0"/>
                  </wps:wsp>
                </a:graphicData>
              </a:graphic>
            </wp:anchor>
          </w:drawing>
        </mc:Choice>
        <mc:Fallback>
          <w:pict>
            <v:shape w14:anchorId="72C03ABE" id="46fef0b8-aa3c-11ea-a756-beb5f67e67be" o:spid="_x0000_s1028" type="#_x0000_t202" style="position:absolute;margin-left:79.35pt;margin-top:802.75pt;width:377pt;height:12.7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3DA1CC2" w14:textId="77777777" w:rsidR="008719D8" w:rsidRDefault="008719D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A5D8781" wp14:editId="21245C1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19E403C" w14:textId="4BA424AF" w:rsidR="00CB760C" w:rsidRDefault="008719D8">
                          <w:pPr>
                            <w:pStyle w:val="Referentiegegevens"/>
                          </w:pPr>
                          <w:r>
                            <w:t xml:space="preserve">Pagina </w:t>
                          </w:r>
                          <w:r>
                            <w:fldChar w:fldCharType="begin"/>
                          </w:r>
                          <w:r>
                            <w:instrText>PAGE</w:instrText>
                          </w:r>
                          <w:r>
                            <w:fldChar w:fldCharType="separate"/>
                          </w:r>
                          <w:r w:rsidR="00C543BD">
                            <w:rPr>
                              <w:noProof/>
                            </w:rPr>
                            <w:t>2</w:t>
                          </w:r>
                          <w:r>
                            <w:fldChar w:fldCharType="end"/>
                          </w:r>
                          <w:r>
                            <w:t xml:space="preserve"> van </w:t>
                          </w:r>
                          <w:r>
                            <w:fldChar w:fldCharType="begin"/>
                          </w:r>
                          <w:r>
                            <w:instrText>NUMPAGES</w:instrText>
                          </w:r>
                          <w:r>
                            <w:fldChar w:fldCharType="separate"/>
                          </w:r>
                          <w:r w:rsidR="00DB0954">
                            <w:rPr>
                              <w:noProof/>
                            </w:rPr>
                            <w:t>1</w:t>
                          </w:r>
                          <w:r>
                            <w:fldChar w:fldCharType="end"/>
                          </w:r>
                        </w:p>
                      </w:txbxContent>
                    </wps:txbx>
                    <wps:bodyPr vert="horz" wrap="square" lIns="0" tIns="0" rIns="0" bIns="0" anchor="t" anchorCtr="0"/>
                  </wps:wsp>
                </a:graphicData>
              </a:graphic>
            </wp:anchor>
          </w:drawing>
        </mc:Choice>
        <mc:Fallback>
          <w:pict>
            <v:shape w14:anchorId="6A5D8781" id="46fef06f-aa3c-11ea-a756-beb5f67e67be" o:spid="_x0000_s1029"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19E403C" w14:textId="4BA424AF" w:rsidR="00CB760C" w:rsidRDefault="008719D8">
                    <w:pPr>
                      <w:pStyle w:val="Referentiegegevens"/>
                    </w:pPr>
                    <w:r>
                      <w:t xml:space="preserve">Pagina </w:t>
                    </w:r>
                    <w:r>
                      <w:fldChar w:fldCharType="begin"/>
                    </w:r>
                    <w:r>
                      <w:instrText>PAGE</w:instrText>
                    </w:r>
                    <w:r>
                      <w:fldChar w:fldCharType="separate"/>
                    </w:r>
                    <w:r w:rsidR="00C543BD">
                      <w:rPr>
                        <w:noProof/>
                      </w:rPr>
                      <w:t>2</w:t>
                    </w:r>
                    <w:r>
                      <w:fldChar w:fldCharType="end"/>
                    </w:r>
                    <w:r>
                      <w:t xml:space="preserve"> van </w:t>
                    </w:r>
                    <w:r>
                      <w:fldChar w:fldCharType="begin"/>
                    </w:r>
                    <w:r>
                      <w:instrText>NUMPAGES</w:instrText>
                    </w:r>
                    <w:r>
                      <w:fldChar w:fldCharType="separate"/>
                    </w:r>
                    <w:r w:rsidR="00DB095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1A8E" w14:textId="59D3E852" w:rsidR="00CB760C" w:rsidRDefault="008719D8">
    <w:pPr>
      <w:spacing w:after="6377" w:line="14" w:lineRule="exact"/>
    </w:pPr>
    <w:r>
      <w:rPr>
        <w:noProof/>
      </w:rPr>
      <mc:AlternateContent>
        <mc:Choice Requires="wps">
          <w:drawing>
            <wp:anchor distT="0" distB="0" distL="0" distR="0" simplePos="0" relativeHeight="251655680" behindDoc="0" locked="1" layoutInCell="1" allowOverlap="1" wp14:anchorId="0AEDE4B5" wp14:editId="636B9B0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F979F2C" w14:textId="77777777" w:rsidR="00CB760C" w:rsidRDefault="008719D8">
                          <w:pPr>
                            <w:spacing w:line="240" w:lineRule="auto"/>
                          </w:pPr>
                          <w:r>
                            <w:rPr>
                              <w:noProof/>
                            </w:rPr>
                            <w:drawing>
                              <wp:inline distT="0" distB="0" distL="0" distR="0" wp14:anchorId="0D51575A" wp14:editId="0490D18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AEDE4B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F979F2C" w14:textId="77777777" w:rsidR="00CB760C" w:rsidRDefault="008719D8">
                    <w:pPr>
                      <w:spacing w:line="240" w:lineRule="auto"/>
                    </w:pPr>
                    <w:r>
                      <w:rPr>
                        <w:noProof/>
                      </w:rPr>
                      <w:drawing>
                        <wp:inline distT="0" distB="0" distL="0" distR="0" wp14:anchorId="0D51575A" wp14:editId="0490D18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226C930" wp14:editId="1500FD0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4B345EB" w14:textId="77777777" w:rsidR="00CB760C" w:rsidRDefault="008719D8">
                          <w:pPr>
                            <w:spacing w:line="240" w:lineRule="auto"/>
                          </w:pPr>
                          <w:r>
                            <w:rPr>
                              <w:noProof/>
                            </w:rPr>
                            <w:drawing>
                              <wp:inline distT="0" distB="0" distL="0" distR="0" wp14:anchorId="42C37DAA" wp14:editId="60B8B72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26C930" id="583cb846-a587-474e-9efc-17a024d629a0" o:spid="_x0000_s1031" type="#_x0000_t202" style="position:absolute;margin-left:314.6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4B345EB" w14:textId="77777777" w:rsidR="00CB760C" w:rsidRDefault="008719D8">
                    <w:pPr>
                      <w:spacing w:line="240" w:lineRule="auto"/>
                    </w:pPr>
                    <w:r>
                      <w:rPr>
                        <w:noProof/>
                      </w:rPr>
                      <w:drawing>
                        <wp:inline distT="0" distB="0" distL="0" distR="0" wp14:anchorId="42C37DAA" wp14:editId="60B8B72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1F786B3" wp14:editId="6FF771B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ECF9C53" w14:textId="64C7F18E" w:rsidR="00CB760C" w:rsidRDefault="008719D8">
                          <w:pPr>
                            <w:pStyle w:val="Referentiegegevens"/>
                          </w:pPr>
                          <w:r>
                            <w:t xml:space="preserve">&gt; Retouradres   </w:t>
                          </w:r>
                          <w:r w:rsidR="00306EB3" w:rsidRPr="00306EB3">
                            <w:t>Postbus 20301 2500 EH Den Haag</w:t>
                          </w:r>
                        </w:p>
                      </w:txbxContent>
                    </wps:txbx>
                    <wps:bodyPr vert="horz" wrap="square" lIns="0" tIns="0" rIns="0" bIns="0" anchor="t" anchorCtr="0"/>
                  </wps:wsp>
                </a:graphicData>
              </a:graphic>
            </wp:anchor>
          </w:drawing>
        </mc:Choice>
        <mc:Fallback>
          <w:pict>
            <v:shape w14:anchorId="61F786B3" id="f053fe88-db2b-430b-bcc5-fbb915a19314" o:spid="_x0000_s1032" type="#_x0000_t202" style="position:absolute;margin-left:79.6pt;margin-top:135.45pt;width:377pt;height:12.7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ECF9C53" w14:textId="64C7F18E" w:rsidR="00CB760C" w:rsidRDefault="008719D8">
                    <w:pPr>
                      <w:pStyle w:val="Referentiegegevens"/>
                    </w:pPr>
                    <w:r>
                      <w:t xml:space="preserve">&gt; Retouradres   </w:t>
                    </w:r>
                    <w:r w:rsidR="00306EB3" w:rsidRPr="00306EB3">
                      <w:t>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2D280E1" wp14:editId="60A6F3E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989F12A" w14:textId="51106EAD" w:rsidR="00306EB3" w:rsidRDefault="00306EB3" w:rsidP="00306EB3">
                          <w:r>
                            <w:t>Aan de Voorzitter van de Tweede Kamer</w:t>
                          </w:r>
                        </w:p>
                        <w:p w14:paraId="1BF5AC68" w14:textId="77777777" w:rsidR="00306EB3" w:rsidRDefault="00306EB3" w:rsidP="00306EB3">
                          <w:r>
                            <w:t>der Staten-Generaal</w:t>
                          </w:r>
                        </w:p>
                        <w:p w14:paraId="3AE3C495" w14:textId="77777777" w:rsidR="00306EB3" w:rsidRDefault="00306EB3" w:rsidP="00306EB3">
                          <w:r>
                            <w:t>Postbus 20018</w:t>
                          </w:r>
                        </w:p>
                        <w:p w14:paraId="7FE85775" w14:textId="4EF967D0" w:rsidR="00CB760C" w:rsidRDefault="00306EB3" w:rsidP="00306EB3">
                          <w:r>
                            <w:t>2500 EA  DEN HAAG</w:t>
                          </w:r>
                        </w:p>
                      </w:txbxContent>
                    </wps:txbx>
                    <wps:bodyPr vert="horz" wrap="square" lIns="0" tIns="0" rIns="0" bIns="0" anchor="t" anchorCtr="0"/>
                  </wps:wsp>
                </a:graphicData>
              </a:graphic>
            </wp:anchor>
          </w:drawing>
        </mc:Choice>
        <mc:Fallback>
          <w:pict>
            <v:shape w14:anchorId="02D280E1" id="d302f2a1-bb28-4417-9701-e3b1450e5fb6" o:spid="_x0000_s1033" type="#_x0000_t202" style="position:absolute;margin-left:79.35pt;margin-top:153.9pt;width:377pt;height:87.8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989F12A" w14:textId="51106EAD" w:rsidR="00306EB3" w:rsidRDefault="00306EB3" w:rsidP="00306EB3">
                    <w:r>
                      <w:t>Aan de Voorzitter van de Tweede Kamer</w:t>
                    </w:r>
                  </w:p>
                  <w:p w14:paraId="1BF5AC68" w14:textId="77777777" w:rsidR="00306EB3" w:rsidRDefault="00306EB3" w:rsidP="00306EB3">
                    <w:r>
                      <w:t>der Staten-Generaal</w:t>
                    </w:r>
                  </w:p>
                  <w:p w14:paraId="3AE3C495" w14:textId="77777777" w:rsidR="00306EB3" w:rsidRDefault="00306EB3" w:rsidP="00306EB3">
                    <w:r>
                      <w:t>Postbus 20018</w:t>
                    </w:r>
                  </w:p>
                  <w:p w14:paraId="7FE85775" w14:textId="4EF967D0" w:rsidR="00CB760C" w:rsidRDefault="00306EB3" w:rsidP="00306EB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FE7DFA6" wp14:editId="7D7BE860">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B760C" w14:paraId="2E59F234" w14:textId="77777777">
                            <w:trPr>
                              <w:trHeight w:val="240"/>
                            </w:trPr>
                            <w:tc>
                              <w:tcPr>
                                <w:tcW w:w="1140" w:type="dxa"/>
                              </w:tcPr>
                              <w:p w14:paraId="598D05BA" w14:textId="77777777" w:rsidR="00CB760C" w:rsidRDefault="008719D8">
                                <w:r>
                                  <w:t>Datum</w:t>
                                </w:r>
                              </w:p>
                            </w:tc>
                            <w:tc>
                              <w:tcPr>
                                <w:tcW w:w="5918" w:type="dxa"/>
                              </w:tcPr>
                              <w:p w14:paraId="12219B92" w14:textId="0E790436" w:rsidR="00CB760C" w:rsidRDefault="008B5C0E">
                                <w:sdt>
                                  <w:sdtPr>
                                    <w:id w:val="-1376841738"/>
                                    <w:date w:fullDate="2025-11-27T00:00:00Z">
                                      <w:dateFormat w:val="d MMMM yyyy"/>
                                      <w:lid w:val="nl"/>
                                      <w:storeMappedDataAs w:val="dateTime"/>
                                      <w:calendar w:val="gregorian"/>
                                    </w:date>
                                  </w:sdtPr>
                                  <w:sdtEndPr/>
                                  <w:sdtContent>
                                    <w:r w:rsidR="00306EB3" w:rsidRPr="00306EB3">
                                      <w:rPr>
                                        <w:lang w:val="nl"/>
                                      </w:rPr>
                                      <w:t>27 november 2025</w:t>
                                    </w:r>
                                  </w:sdtContent>
                                </w:sdt>
                              </w:p>
                            </w:tc>
                          </w:tr>
                          <w:tr w:rsidR="00CB760C" w14:paraId="33E734EC" w14:textId="77777777">
                            <w:trPr>
                              <w:trHeight w:val="240"/>
                            </w:trPr>
                            <w:tc>
                              <w:tcPr>
                                <w:tcW w:w="1140" w:type="dxa"/>
                              </w:tcPr>
                              <w:p w14:paraId="4BAD7747" w14:textId="77777777" w:rsidR="00CB760C" w:rsidRDefault="008719D8">
                                <w:r>
                                  <w:t>Betreft</w:t>
                                </w:r>
                              </w:p>
                            </w:tc>
                            <w:tc>
                              <w:tcPr>
                                <w:tcW w:w="5918" w:type="dxa"/>
                              </w:tcPr>
                              <w:p w14:paraId="58C5B615" w14:textId="05943772" w:rsidR="00CB760C" w:rsidRDefault="00C50DCC">
                                <w:r>
                                  <w:t>Beleidsreactie Inspectierapporten Dodelijk steekincident Erasmusbrug en Incidentenonderzoeken onder de loep</w:t>
                                </w:r>
                              </w:p>
                            </w:tc>
                          </w:tr>
                        </w:tbl>
                        <w:p w14:paraId="47E60DC9" w14:textId="77777777" w:rsidR="008719D8" w:rsidRDefault="008719D8"/>
                      </w:txbxContent>
                    </wps:txbx>
                    <wps:bodyPr vert="horz" wrap="square" lIns="0" tIns="0" rIns="0" bIns="0" anchor="t" anchorCtr="0"/>
                  </wps:wsp>
                </a:graphicData>
              </a:graphic>
            </wp:anchor>
          </w:drawing>
        </mc:Choice>
        <mc:Fallback>
          <w:pict>
            <v:shape w14:anchorId="7FE7DFA6" id="1670fa0c-13cb-45ec-92be-ef1f34d237c5" o:spid="_x0000_s1034" type="#_x0000_t202" style="position:absolute;margin-left:79.45pt;margin-top:264.15pt;width:377pt;height:50.4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B760C" w14:paraId="2E59F234" w14:textId="77777777">
                      <w:trPr>
                        <w:trHeight w:val="240"/>
                      </w:trPr>
                      <w:tc>
                        <w:tcPr>
                          <w:tcW w:w="1140" w:type="dxa"/>
                        </w:tcPr>
                        <w:p w14:paraId="598D05BA" w14:textId="77777777" w:rsidR="00CB760C" w:rsidRDefault="008719D8">
                          <w:r>
                            <w:t>Datum</w:t>
                          </w:r>
                        </w:p>
                      </w:tc>
                      <w:tc>
                        <w:tcPr>
                          <w:tcW w:w="5918" w:type="dxa"/>
                        </w:tcPr>
                        <w:p w14:paraId="12219B92" w14:textId="0E790436" w:rsidR="00CB760C" w:rsidRDefault="008B5C0E">
                          <w:sdt>
                            <w:sdtPr>
                              <w:id w:val="-1376841738"/>
                              <w:date w:fullDate="2025-11-27T00:00:00Z">
                                <w:dateFormat w:val="d MMMM yyyy"/>
                                <w:lid w:val="nl"/>
                                <w:storeMappedDataAs w:val="dateTime"/>
                                <w:calendar w:val="gregorian"/>
                              </w:date>
                            </w:sdtPr>
                            <w:sdtEndPr/>
                            <w:sdtContent>
                              <w:r w:rsidR="00306EB3" w:rsidRPr="00306EB3">
                                <w:rPr>
                                  <w:lang w:val="nl"/>
                                </w:rPr>
                                <w:t>27 november 2025</w:t>
                              </w:r>
                            </w:sdtContent>
                          </w:sdt>
                        </w:p>
                      </w:tc>
                    </w:tr>
                    <w:tr w:rsidR="00CB760C" w14:paraId="33E734EC" w14:textId="77777777">
                      <w:trPr>
                        <w:trHeight w:val="240"/>
                      </w:trPr>
                      <w:tc>
                        <w:tcPr>
                          <w:tcW w:w="1140" w:type="dxa"/>
                        </w:tcPr>
                        <w:p w14:paraId="4BAD7747" w14:textId="77777777" w:rsidR="00CB760C" w:rsidRDefault="008719D8">
                          <w:r>
                            <w:t>Betreft</w:t>
                          </w:r>
                        </w:p>
                      </w:tc>
                      <w:tc>
                        <w:tcPr>
                          <w:tcW w:w="5918" w:type="dxa"/>
                        </w:tcPr>
                        <w:p w14:paraId="58C5B615" w14:textId="05943772" w:rsidR="00CB760C" w:rsidRDefault="00C50DCC">
                          <w:r>
                            <w:t>Beleidsreactie Inspectierapporten Dodelijk steekincident Erasmusbrug en Incidentenonderzoeken onder de loep</w:t>
                          </w:r>
                        </w:p>
                      </w:tc>
                    </w:tr>
                  </w:tbl>
                  <w:p w14:paraId="47E60DC9" w14:textId="77777777" w:rsidR="008719D8" w:rsidRDefault="008719D8"/>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58E9B7F" wp14:editId="1AF00AE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AEC9E69" w14:textId="77777777" w:rsidR="00CB760C" w:rsidRDefault="008719D8">
                          <w:pPr>
                            <w:pStyle w:val="Referentiegegevens"/>
                          </w:pPr>
                          <w:r>
                            <w:t>www.rijksoverheid.nl/jenv</w:t>
                          </w:r>
                        </w:p>
                        <w:p w14:paraId="4285F82A" w14:textId="77777777" w:rsidR="00CB760C" w:rsidRDefault="00CB760C">
                          <w:pPr>
                            <w:pStyle w:val="WitregelW1"/>
                          </w:pPr>
                        </w:p>
                        <w:p w14:paraId="288E2AD1" w14:textId="77777777" w:rsidR="00CB760C" w:rsidRDefault="008719D8">
                          <w:pPr>
                            <w:pStyle w:val="Referentiegegevensbold"/>
                          </w:pPr>
                          <w:r>
                            <w:t>Onze referentie</w:t>
                          </w:r>
                        </w:p>
                        <w:p w14:paraId="710D594F" w14:textId="5BCB6786" w:rsidR="00CB760C" w:rsidRDefault="009A0099">
                          <w:pPr>
                            <w:pStyle w:val="Referentiegegevens"/>
                          </w:pPr>
                          <w:r w:rsidRPr="009A0099">
                            <w:t>6890087</w:t>
                          </w:r>
                        </w:p>
                        <w:p w14:paraId="28280D2F" w14:textId="77777777" w:rsidR="00CB760C" w:rsidRDefault="00CB760C">
                          <w:pPr>
                            <w:pStyle w:val="WitregelW1"/>
                          </w:pPr>
                        </w:p>
                        <w:p w14:paraId="238E83B1" w14:textId="77777777" w:rsidR="00CB760C" w:rsidRDefault="008719D8">
                          <w:pPr>
                            <w:pStyle w:val="Referentiegegevensbold"/>
                          </w:pPr>
                          <w:r>
                            <w:t>Bijlage(n)</w:t>
                          </w:r>
                        </w:p>
                        <w:p w14:paraId="2D5ED8F2" w14:textId="4FCF3633" w:rsidR="00CB760C" w:rsidRDefault="009A0099">
                          <w:pPr>
                            <w:pStyle w:val="Referentiegegevens"/>
                          </w:pPr>
                          <w:r>
                            <w:t>2</w:t>
                          </w:r>
                        </w:p>
                      </w:txbxContent>
                    </wps:txbx>
                    <wps:bodyPr vert="horz" wrap="square" lIns="0" tIns="0" rIns="0" bIns="0" anchor="t" anchorCtr="0"/>
                  </wps:wsp>
                </a:graphicData>
              </a:graphic>
            </wp:anchor>
          </w:drawing>
        </mc:Choice>
        <mc:Fallback>
          <w:pict>
            <v:shape w14:anchorId="158E9B7F" id="aa29ef58-fa5a-4ef1-bc47-43f659f7c670" o:spid="_x0000_s1035"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AEC9E69" w14:textId="77777777" w:rsidR="00CB760C" w:rsidRDefault="008719D8">
                    <w:pPr>
                      <w:pStyle w:val="Referentiegegevens"/>
                    </w:pPr>
                    <w:r>
                      <w:t>www.rijksoverheid.nl/jenv</w:t>
                    </w:r>
                  </w:p>
                  <w:p w14:paraId="4285F82A" w14:textId="77777777" w:rsidR="00CB760C" w:rsidRDefault="00CB760C">
                    <w:pPr>
                      <w:pStyle w:val="WitregelW1"/>
                    </w:pPr>
                  </w:p>
                  <w:p w14:paraId="288E2AD1" w14:textId="77777777" w:rsidR="00CB760C" w:rsidRDefault="008719D8">
                    <w:pPr>
                      <w:pStyle w:val="Referentiegegevensbold"/>
                    </w:pPr>
                    <w:r>
                      <w:t>Onze referentie</w:t>
                    </w:r>
                  </w:p>
                  <w:p w14:paraId="710D594F" w14:textId="5BCB6786" w:rsidR="00CB760C" w:rsidRDefault="009A0099">
                    <w:pPr>
                      <w:pStyle w:val="Referentiegegevens"/>
                    </w:pPr>
                    <w:r w:rsidRPr="009A0099">
                      <w:t>6890087</w:t>
                    </w:r>
                  </w:p>
                  <w:p w14:paraId="28280D2F" w14:textId="77777777" w:rsidR="00CB760C" w:rsidRDefault="00CB760C">
                    <w:pPr>
                      <w:pStyle w:val="WitregelW1"/>
                    </w:pPr>
                  </w:p>
                  <w:p w14:paraId="238E83B1" w14:textId="77777777" w:rsidR="00CB760C" w:rsidRDefault="008719D8">
                    <w:pPr>
                      <w:pStyle w:val="Referentiegegevensbold"/>
                    </w:pPr>
                    <w:r>
                      <w:t>Bijlage(n)</w:t>
                    </w:r>
                  </w:p>
                  <w:p w14:paraId="2D5ED8F2" w14:textId="4FCF3633" w:rsidR="00CB760C" w:rsidRDefault="009A0099">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5DF7A32" wp14:editId="695F72B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DD7A35" w14:textId="77777777" w:rsidR="00CB760C" w:rsidRDefault="008719D8">
                          <w:pPr>
                            <w:pStyle w:val="Referentiegegevens"/>
                          </w:pPr>
                          <w:r>
                            <w:t xml:space="preserve">Pagina </w:t>
                          </w:r>
                          <w:r>
                            <w:fldChar w:fldCharType="begin"/>
                          </w:r>
                          <w:r>
                            <w:instrText>PAGE</w:instrText>
                          </w:r>
                          <w:r>
                            <w:fldChar w:fldCharType="separate"/>
                          </w:r>
                          <w:r w:rsidR="00DB0954">
                            <w:rPr>
                              <w:noProof/>
                            </w:rPr>
                            <w:t>1</w:t>
                          </w:r>
                          <w:r>
                            <w:fldChar w:fldCharType="end"/>
                          </w:r>
                          <w:r>
                            <w:t xml:space="preserve"> van </w:t>
                          </w:r>
                          <w:r>
                            <w:fldChar w:fldCharType="begin"/>
                          </w:r>
                          <w:r>
                            <w:instrText>NUMPAGES</w:instrText>
                          </w:r>
                          <w:r>
                            <w:fldChar w:fldCharType="separate"/>
                          </w:r>
                          <w:r w:rsidR="00DB0954">
                            <w:rPr>
                              <w:noProof/>
                            </w:rPr>
                            <w:t>1</w:t>
                          </w:r>
                          <w:r>
                            <w:fldChar w:fldCharType="end"/>
                          </w:r>
                        </w:p>
                      </w:txbxContent>
                    </wps:txbx>
                    <wps:bodyPr vert="horz" wrap="square" lIns="0" tIns="0" rIns="0" bIns="0" anchor="t" anchorCtr="0"/>
                  </wps:wsp>
                </a:graphicData>
              </a:graphic>
            </wp:anchor>
          </w:drawing>
        </mc:Choice>
        <mc:Fallback>
          <w:pict>
            <v:shape w14:anchorId="05DF7A32" id="fc795519-edb4-40fa-b772-922592680a29" o:spid="_x0000_s1036"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0DD7A35" w14:textId="77777777" w:rsidR="00CB760C" w:rsidRDefault="008719D8">
                    <w:pPr>
                      <w:pStyle w:val="Referentiegegevens"/>
                    </w:pPr>
                    <w:r>
                      <w:t xml:space="preserve">Pagina </w:t>
                    </w:r>
                    <w:r>
                      <w:fldChar w:fldCharType="begin"/>
                    </w:r>
                    <w:r>
                      <w:instrText>PAGE</w:instrText>
                    </w:r>
                    <w:r>
                      <w:fldChar w:fldCharType="separate"/>
                    </w:r>
                    <w:r w:rsidR="00DB0954">
                      <w:rPr>
                        <w:noProof/>
                      </w:rPr>
                      <w:t>1</w:t>
                    </w:r>
                    <w:r>
                      <w:fldChar w:fldCharType="end"/>
                    </w:r>
                    <w:r>
                      <w:t xml:space="preserve"> van </w:t>
                    </w:r>
                    <w:r>
                      <w:fldChar w:fldCharType="begin"/>
                    </w:r>
                    <w:r>
                      <w:instrText>NUMPAGES</w:instrText>
                    </w:r>
                    <w:r>
                      <w:fldChar w:fldCharType="separate"/>
                    </w:r>
                    <w:r w:rsidR="00DB095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DC0597B" wp14:editId="2735815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988562" w14:textId="77777777" w:rsidR="008719D8" w:rsidRDefault="008719D8"/>
                      </w:txbxContent>
                    </wps:txbx>
                    <wps:bodyPr vert="horz" wrap="square" lIns="0" tIns="0" rIns="0" bIns="0" anchor="t" anchorCtr="0"/>
                  </wps:wsp>
                </a:graphicData>
              </a:graphic>
            </wp:anchor>
          </w:drawing>
        </mc:Choice>
        <mc:Fallback>
          <w:pict>
            <v:shape w14:anchorId="0DC0597B" id="ea113d41-b39a-4e3b-9a6a-dce66e72abe4" o:spid="_x0000_s1037" type="#_x0000_t202" style="position:absolute;margin-left:78.6pt;margin-top:802.9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7988562" w14:textId="77777777" w:rsidR="008719D8" w:rsidRDefault="008719D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564620"/>
    <w:multiLevelType w:val="multilevel"/>
    <w:tmpl w:val="3443370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67028FE"/>
    <w:multiLevelType w:val="multilevel"/>
    <w:tmpl w:val="6AAF689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99301D41"/>
    <w:multiLevelType w:val="multilevel"/>
    <w:tmpl w:val="4A366BB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02C0177"/>
    <w:multiLevelType w:val="multilevel"/>
    <w:tmpl w:val="366C546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D9DE73B7"/>
    <w:multiLevelType w:val="multilevel"/>
    <w:tmpl w:val="9958B7D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DB6447B"/>
    <w:multiLevelType w:val="hybridMultilevel"/>
    <w:tmpl w:val="CD4426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EF68EF"/>
    <w:multiLevelType w:val="hybridMultilevel"/>
    <w:tmpl w:val="B25015EE"/>
    <w:lvl w:ilvl="0" w:tplc="ACA483F4">
      <w:start w:val="1"/>
      <w:numFmt w:val="decimal"/>
      <w:lvlText w:val="%1."/>
      <w:lvlJc w:val="left"/>
      <w:pPr>
        <w:ind w:left="1020" w:hanging="360"/>
      </w:pPr>
    </w:lvl>
    <w:lvl w:ilvl="1" w:tplc="A686EAA0">
      <w:start w:val="1"/>
      <w:numFmt w:val="decimal"/>
      <w:lvlText w:val="%2."/>
      <w:lvlJc w:val="left"/>
      <w:pPr>
        <w:ind w:left="1020" w:hanging="360"/>
      </w:pPr>
    </w:lvl>
    <w:lvl w:ilvl="2" w:tplc="80CEE6E2">
      <w:start w:val="1"/>
      <w:numFmt w:val="decimal"/>
      <w:lvlText w:val="%3."/>
      <w:lvlJc w:val="left"/>
      <w:pPr>
        <w:ind w:left="1020" w:hanging="360"/>
      </w:pPr>
    </w:lvl>
    <w:lvl w:ilvl="3" w:tplc="F552E2F0">
      <w:start w:val="1"/>
      <w:numFmt w:val="decimal"/>
      <w:lvlText w:val="%4."/>
      <w:lvlJc w:val="left"/>
      <w:pPr>
        <w:ind w:left="1020" w:hanging="360"/>
      </w:pPr>
    </w:lvl>
    <w:lvl w:ilvl="4" w:tplc="C74A0A7A">
      <w:start w:val="1"/>
      <w:numFmt w:val="decimal"/>
      <w:lvlText w:val="%5."/>
      <w:lvlJc w:val="left"/>
      <w:pPr>
        <w:ind w:left="1020" w:hanging="360"/>
      </w:pPr>
    </w:lvl>
    <w:lvl w:ilvl="5" w:tplc="601ECC20">
      <w:start w:val="1"/>
      <w:numFmt w:val="decimal"/>
      <w:lvlText w:val="%6."/>
      <w:lvlJc w:val="left"/>
      <w:pPr>
        <w:ind w:left="1020" w:hanging="360"/>
      </w:pPr>
    </w:lvl>
    <w:lvl w:ilvl="6" w:tplc="67360C18">
      <w:start w:val="1"/>
      <w:numFmt w:val="decimal"/>
      <w:lvlText w:val="%7."/>
      <w:lvlJc w:val="left"/>
      <w:pPr>
        <w:ind w:left="1020" w:hanging="360"/>
      </w:pPr>
    </w:lvl>
    <w:lvl w:ilvl="7" w:tplc="49884A88">
      <w:start w:val="1"/>
      <w:numFmt w:val="decimal"/>
      <w:lvlText w:val="%8."/>
      <w:lvlJc w:val="left"/>
      <w:pPr>
        <w:ind w:left="1020" w:hanging="360"/>
      </w:pPr>
    </w:lvl>
    <w:lvl w:ilvl="8" w:tplc="B80423B2">
      <w:start w:val="1"/>
      <w:numFmt w:val="decimal"/>
      <w:lvlText w:val="%9."/>
      <w:lvlJc w:val="left"/>
      <w:pPr>
        <w:ind w:left="1020" w:hanging="360"/>
      </w:pPr>
    </w:lvl>
  </w:abstractNum>
  <w:abstractNum w:abstractNumId="7" w15:restartNumberingAfterBreak="0">
    <w:nsid w:val="15907510"/>
    <w:multiLevelType w:val="multilevel"/>
    <w:tmpl w:val="9A22AAA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8" w15:restartNumberingAfterBreak="0">
    <w:nsid w:val="18C44348"/>
    <w:multiLevelType w:val="multilevel"/>
    <w:tmpl w:val="473414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6C813A1"/>
    <w:multiLevelType w:val="hybridMultilevel"/>
    <w:tmpl w:val="0E06514A"/>
    <w:lvl w:ilvl="0" w:tplc="56AA39E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2C061F"/>
    <w:multiLevelType w:val="hybridMultilevel"/>
    <w:tmpl w:val="7D36DD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28B855CA"/>
    <w:multiLevelType w:val="multilevel"/>
    <w:tmpl w:val="F210D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F5044"/>
    <w:multiLevelType w:val="hybridMultilevel"/>
    <w:tmpl w:val="2248AB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CDE0672"/>
    <w:multiLevelType w:val="multilevel"/>
    <w:tmpl w:val="F64EBA7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CC42D2"/>
    <w:multiLevelType w:val="hybridMultilevel"/>
    <w:tmpl w:val="717AB5D4"/>
    <w:lvl w:ilvl="0" w:tplc="F5EABBB8">
      <w:start w:val="1"/>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636905DF"/>
    <w:multiLevelType w:val="hybridMultilevel"/>
    <w:tmpl w:val="3996B2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6D30BEA"/>
    <w:multiLevelType w:val="multilevel"/>
    <w:tmpl w:val="5F603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232319"/>
    <w:multiLevelType w:val="hybridMultilevel"/>
    <w:tmpl w:val="F56CF482"/>
    <w:lvl w:ilvl="0" w:tplc="E75A1488">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77444037"/>
    <w:multiLevelType w:val="hybridMultilevel"/>
    <w:tmpl w:val="9D983A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40165795">
    <w:abstractNumId w:val="13"/>
  </w:num>
  <w:num w:numId="2" w16cid:durableId="268781511">
    <w:abstractNumId w:val="1"/>
  </w:num>
  <w:num w:numId="3" w16cid:durableId="269624957">
    <w:abstractNumId w:val="3"/>
  </w:num>
  <w:num w:numId="4" w16cid:durableId="1904095410">
    <w:abstractNumId w:val="2"/>
  </w:num>
  <w:num w:numId="5" w16cid:durableId="1665889098">
    <w:abstractNumId w:val="4"/>
  </w:num>
  <w:num w:numId="6" w16cid:durableId="190535014">
    <w:abstractNumId w:val="0"/>
  </w:num>
  <w:num w:numId="7" w16cid:durableId="1026990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807514">
    <w:abstractNumId w:val="16"/>
  </w:num>
  <w:num w:numId="9" w16cid:durableId="626856930">
    <w:abstractNumId w:val="11"/>
  </w:num>
  <w:num w:numId="10" w16cid:durableId="1954748149">
    <w:abstractNumId w:val="17"/>
  </w:num>
  <w:num w:numId="11" w16cid:durableId="1445926718">
    <w:abstractNumId w:val="14"/>
  </w:num>
  <w:num w:numId="12" w16cid:durableId="1782610389">
    <w:abstractNumId w:val="9"/>
  </w:num>
  <w:num w:numId="13" w16cid:durableId="1638951546">
    <w:abstractNumId w:val="15"/>
  </w:num>
  <w:num w:numId="14" w16cid:durableId="1302226610">
    <w:abstractNumId w:val="5"/>
  </w:num>
  <w:num w:numId="15" w16cid:durableId="1384987617">
    <w:abstractNumId w:val="18"/>
  </w:num>
  <w:num w:numId="16" w16cid:durableId="399836081">
    <w:abstractNumId w:val="12"/>
  </w:num>
  <w:num w:numId="17" w16cid:durableId="1937639746">
    <w:abstractNumId w:val="6"/>
  </w:num>
  <w:num w:numId="18" w16cid:durableId="1722287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9669667">
    <w:abstractNumId w:val="8"/>
  </w:num>
  <w:num w:numId="20" w16cid:durableId="836001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54"/>
    <w:rsid w:val="00001162"/>
    <w:rsid w:val="000064BF"/>
    <w:rsid w:val="00007A92"/>
    <w:rsid w:val="00007CDF"/>
    <w:rsid w:val="00010A3E"/>
    <w:rsid w:val="00020F81"/>
    <w:rsid w:val="00025255"/>
    <w:rsid w:val="00032D6C"/>
    <w:rsid w:val="00036D85"/>
    <w:rsid w:val="00044715"/>
    <w:rsid w:val="00046974"/>
    <w:rsid w:val="00054474"/>
    <w:rsid w:val="00061480"/>
    <w:rsid w:val="00063D9D"/>
    <w:rsid w:val="00071876"/>
    <w:rsid w:val="00074C52"/>
    <w:rsid w:val="00087F72"/>
    <w:rsid w:val="000923A2"/>
    <w:rsid w:val="00094308"/>
    <w:rsid w:val="000944CD"/>
    <w:rsid w:val="00095FFD"/>
    <w:rsid w:val="0009676F"/>
    <w:rsid w:val="000B3B79"/>
    <w:rsid w:val="000B454A"/>
    <w:rsid w:val="000C2068"/>
    <w:rsid w:val="000D764A"/>
    <w:rsid w:val="000F4AC7"/>
    <w:rsid w:val="000F657A"/>
    <w:rsid w:val="001033C2"/>
    <w:rsid w:val="00105196"/>
    <w:rsid w:val="0011422D"/>
    <w:rsid w:val="00116886"/>
    <w:rsid w:val="00120B79"/>
    <w:rsid w:val="00136260"/>
    <w:rsid w:val="00141CC5"/>
    <w:rsid w:val="00153024"/>
    <w:rsid w:val="00153416"/>
    <w:rsid w:val="00161571"/>
    <w:rsid w:val="00172306"/>
    <w:rsid w:val="001723C1"/>
    <w:rsid w:val="00180513"/>
    <w:rsid w:val="00183B39"/>
    <w:rsid w:val="001874AB"/>
    <w:rsid w:val="0019045E"/>
    <w:rsid w:val="001932F4"/>
    <w:rsid w:val="001A0967"/>
    <w:rsid w:val="001A504C"/>
    <w:rsid w:val="001C71CF"/>
    <w:rsid w:val="001D03CD"/>
    <w:rsid w:val="001F1E3E"/>
    <w:rsid w:val="001F35E2"/>
    <w:rsid w:val="001F6F5D"/>
    <w:rsid w:val="0020343F"/>
    <w:rsid w:val="00212750"/>
    <w:rsid w:val="00217002"/>
    <w:rsid w:val="002232AF"/>
    <w:rsid w:val="00223518"/>
    <w:rsid w:val="00240D1D"/>
    <w:rsid w:val="00253233"/>
    <w:rsid w:val="0026053E"/>
    <w:rsid w:val="002613B0"/>
    <w:rsid w:val="0026428F"/>
    <w:rsid w:val="00273EE1"/>
    <w:rsid w:val="002801E3"/>
    <w:rsid w:val="00282094"/>
    <w:rsid w:val="00285386"/>
    <w:rsid w:val="002A08BC"/>
    <w:rsid w:val="002A693C"/>
    <w:rsid w:val="002B2AD2"/>
    <w:rsid w:val="002B4896"/>
    <w:rsid w:val="002C1744"/>
    <w:rsid w:val="002C1C25"/>
    <w:rsid w:val="002C2584"/>
    <w:rsid w:val="002C506F"/>
    <w:rsid w:val="002D257B"/>
    <w:rsid w:val="002D31A6"/>
    <w:rsid w:val="002D61BE"/>
    <w:rsid w:val="002F2CE0"/>
    <w:rsid w:val="002F5086"/>
    <w:rsid w:val="002F6143"/>
    <w:rsid w:val="00306EB3"/>
    <w:rsid w:val="003166A9"/>
    <w:rsid w:val="0033400C"/>
    <w:rsid w:val="00334F02"/>
    <w:rsid w:val="00341C2E"/>
    <w:rsid w:val="003474B3"/>
    <w:rsid w:val="00347949"/>
    <w:rsid w:val="00362571"/>
    <w:rsid w:val="0037079A"/>
    <w:rsid w:val="00371F2E"/>
    <w:rsid w:val="00387018"/>
    <w:rsid w:val="00390FFF"/>
    <w:rsid w:val="0039444F"/>
    <w:rsid w:val="00396EB5"/>
    <w:rsid w:val="003A44DC"/>
    <w:rsid w:val="003A678D"/>
    <w:rsid w:val="003A6D5A"/>
    <w:rsid w:val="003C1274"/>
    <w:rsid w:val="003D5B64"/>
    <w:rsid w:val="003E1AE1"/>
    <w:rsid w:val="003E5488"/>
    <w:rsid w:val="003F12BA"/>
    <w:rsid w:val="003F2AE5"/>
    <w:rsid w:val="003F4953"/>
    <w:rsid w:val="003F515A"/>
    <w:rsid w:val="0040014D"/>
    <w:rsid w:val="004054B9"/>
    <w:rsid w:val="0040566E"/>
    <w:rsid w:val="00413B3B"/>
    <w:rsid w:val="00416928"/>
    <w:rsid w:val="004265A9"/>
    <w:rsid w:val="004269C7"/>
    <w:rsid w:val="00427F59"/>
    <w:rsid w:val="0044489E"/>
    <w:rsid w:val="00444FAA"/>
    <w:rsid w:val="00453F31"/>
    <w:rsid w:val="00462017"/>
    <w:rsid w:val="0046486A"/>
    <w:rsid w:val="00473A77"/>
    <w:rsid w:val="00474095"/>
    <w:rsid w:val="00480DFB"/>
    <w:rsid w:val="00484B4E"/>
    <w:rsid w:val="004872D9"/>
    <w:rsid w:val="0048784F"/>
    <w:rsid w:val="0049047D"/>
    <w:rsid w:val="00496FB9"/>
    <w:rsid w:val="004A5FD2"/>
    <w:rsid w:val="004A6ABD"/>
    <w:rsid w:val="004B013C"/>
    <w:rsid w:val="004B1927"/>
    <w:rsid w:val="004B1C4B"/>
    <w:rsid w:val="004B3A84"/>
    <w:rsid w:val="004C245C"/>
    <w:rsid w:val="004C29D0"/>
    <w:rsid w:val="004C3C2E"/>
    <w:rsid w:val="004C5283"/>
    <w:rsid w:val="004D79E7"/>
    <w:rsid w:val="004D7C36"/>
    <w:rsid w:val="004E1E56"/>
    <w:rsid w:val="004E7CA8"/>
    <w:rsid w:val="004F486B"/>
    <w:rsid w:val="004F6F19"/>
    <w:rsid w:val="004F756F"/>
    <w:rsid w:val="00510375"/>
    <w:rsid w:val="00512025"/>
    <w:rsid w:val="00516260"/>
    <w:rsid w:val="00522582"/>
    <w:rsid w:val="0052424B"/>
    <w:rsid w:val="00526D8F"/>
    <w:rsid w:val="00535CB2"/>
    <w:rsid w:val="005464D6"/>
    <w:rsid w:val="00554E75"/>
    <w:rsid w:val="00571AA4"/>
    <w:rsid w:val="00575173"/>
    <w:rsid w:val="00576892"/>
    <w:rsid w:val="00577FF5"/>
    <w:rsid w:val="0058665C"/>
    <w:rsid w:val="005905D6"/>
    <w:rsid w:val="00590E8B"/>
    <w:rsid w:val="00591A54"/>
    <w:rsid w:val="00591F82"/>
    <w:rsid w:val="00592939"/>
    <w:rsid w:val="00596FEB"/>
    <w:rsid w:val="005A05D0"/>
    <w:rsid w:val="005A36DF"/>
    <w:rsid w:val="005A4570"/>
    <w:rsid w:val="005A780A"/>
    <w:rsid w:val="005B1549"/>
    <w:rsid w:val="005B259D"/>
    <w:rsid w:val="005B2A18"/>
    <w:rsid w:val="005B6DF7"/>
    <w:rsid w:val="005C237B"/>
    <w:rsid w:val="005C4669"/>
    <w:rsid w:val="005C4C35"/>
    <w:rsid w:val="005C5DAC"/>
    <w:rsid w:val="005D05D7"/>
    <w:rsid w:val="005D5DA6"/>
    <w:rsid w:val="005E1054"/>
    <w:rsid w:val="005E60E3"/>
    <w:rsid w:val="005F1DE9"/>
    <w:rsid w:val="00601505"/>
    <w:rsid w:val="00601EB5"/>
    <w:rsid w:val="00614C39"/>
    <w:rsid w:val="006162FD"/>
    <w:rsid w:val="0061635F"/>
    <w:rsid w:val="006220C8"/>
    <w:rsid w:val="00623CAE"/>
    <w:rsid w:val="006260D8"/>
    <w:rsid w:val="006274F4"/>
    <w:rsid w:val="00640813"/>
    <w:rsid w:val="00641F4F"/>
    <w:rsid w:val="0064383F"/>
    <w:rsid w:val="00656CA6"/>
    <w:rsid w:val="00661978"/>
    <w:rsid w:val="00683E42"/>
    <w:rsid w:val="00684590"/>
    <w:rsid w:val="00686A46"/>
    <w:rsid w:val="00690B65"/>
    <w:rsid w:val="00693AFA"/>
    <w:rsid w:val="00693DA4"/>
    <w:rsid w:val="006A22B3"/>
    <w:rsid w:val="006A3463"/>
    <w:rsid w:val="006A5551"/>
    <w:rsid w:val="006A684A"/>
    <w:rsid w:val="006A6FBC"/>
    <w:rsid w:val="006B0189"/>
    <w:rsid w:val="006B3962"/>
    <w:rsid w:val="006B57E9"/>
    <w:rsid w:val="006B5AAA"/>
    <w:rsid w:val="006B7D64"/>
    <w:rsid w:val="006D7492"/>
    <w:rsid w:val="007007F4"/>
    <w:rsid w:val="00700B27"/>
    <w:rsid w:val="007117CC"/>
    <w:rsid w:val="007321E3"/>
    <w:rsid w:val="00735555"/>
    <w:rsid w:val="00736E7B"/>
    <w:rsid w:val="0074029C"/>
    <w:rsid w:val="00743AD2"/>
    <w:rsid w:val="007478D6"/>
    <w:rsid w:val="00754AB2"/>
    <w:rsid w:val="00762716"/>
    <w:rsid w:val="00763927"/>
    <w:rsid w:val="007672AC"/>
    <w:rsid w:val="0076748B"/>
    <w:rsid w:val="00796C64"/>
    <w:rsid w:val="00796C6A"/>
    <w:rsid w:val="007A00E2"/>
    <w:rsid w:val="007B6AA6"/>
    <w:rsid w:val="007C1D52"/>
    <w:rsid w:val="007C2A24"/>
    <w:rsid w:val="007C5C77"/>
    <w:rsid w:val="007D0132"/>
    <w:rsid w:val="007D1302"/>
    <w:rsid w:val="007E77EB"/>
    <w:rsid w:val="007F35F1"/>
    <w:rsid w:val="007F661B"/>
    <w:rsid w:val="00801AC9"/>
    <w:rsid w:val="0081342B"/>
    <w:rsid w:val="0081527C"/>
    <w:rsid w:val="0082593E"/>
    <w:rsid w:val="00825FAB"/>
    <w:rsid w:val="00826238"/>
    <w:rsid w:val="00834225"/>
    <w:rsid w:val="008369DD"/>
    <w:rsid w:val="00854017"/>
    <w:rsid w:val="00854996"/>
    <w:rsid w:val="00860E64"/>
    <w:rsid w:val="008614BB"/>
    <w:rsid w:val="008618CA"/>
    <w:rsid w:val="008719D8"/>
    <w:rsid w:val="00873345"/>
    <w:rsid w:val="00877ED7"/>
    <w:rsid w:val="008858BF"/>
    <w:rsid w:val="008A6447"/>
    <w:rsid w:val="008B5C0E"/>
    <w:rsid w:val="008C5045"/>
    <w:rsid w:val="008D4044"/>
    <w:rsid w:val="008D5341"/>
    <w:rsid w:val="008E444C"/>
    <w:rsid w:val="008E4706"/>
    <w:rsid w:val="008E63BF"/>
    <w:rsid w:val="00904C3D"/>
    <w:rsid w:val="00911478"/>
    <w:rsid w:val="00912B5F"/>
    <w:rsid w:val="009130B1"/>
    <w:rsid w:val="00923A60"/>
    <w:rsid w:val="00925F3F"/>
    <w:rsid w:val="0093023A"/>
    <w:rsid w:val="00935ED2"/>
    <w:rsid w:val="00967947"/>
    <w:rsid w:val="0097545C"/>
    <w:rsid w:val="009809A6"/>
    <w:rsid w:val="00985BC1"/>
    <w:rsid w:val="009931CD"/>
    <w:rsid w:val="0099731C"/>
    <w:rsid w:val="0099731F"/>
    <w:rsid w:val="009A0099"/>
    <w:rsid w:val="009A03D7"/>
    <w:rsid w:val="009A5600"/>
    <w:rsid w:val="009C115A"/>
    <w:rsid w:val="009E0002"/>
    <w:rsid w:val="009E0EF8"/>
    <w:rsid w:val="009E103B"/>
    <w:rsid w:val="009E5A49"/>
    <w:rsid w:val="009E6479"/>
    <w:rsid w:val="009F05C6"/>
    <w:rsid w:val="00A005E8"/>
    <w:rsid w:val="00A047A4"/>
    <w:rsid w:val="00A34E1F"/>
    <w:rsid w:val="00A37669"/>
    <w:rsid w:val="00A4156F"/>
    <w:rsid w:val="00A5750D"/>
    <w:rsid w:val="00A7145C"/>
    <w:rsid w:val="00A842C9"/>
    <w:rsid w:val="00A908E4"/>
    <w:rsid w:val="00A91B3D"/>
    <w:rsid w:val="00A97336"/>
    <w:rsid w:val="00AA473E"/>
    <w:rsid w:val="00AA6331"/>
    <w:rsid w:val="00AA7CD6"/>
    <w:rsid w:val="00AB17A2"/>
    <w:rsid w:val="00AB34EB"/>
    <w:rsid w:val="00AB50CF"/>
    <w:rsid w:val="00AC2EB8"/>
    <w:rsid w:val="00AE1660"/>
    <w:rsid w:val="00B054B6"/>
    <w:rsid w:val="00B05EBF"/>
    <w:rsid w:val="00B258B9"/>
    <w:rsid w:val="00B27740"/>
    <w:rsid w:val="00B30F3D"/>
    <w:rsid w:val="00B32188"/>
    <w:rsid w:val="00B408A4"/>
    <w:rsid w:val="00B41211"/>
    <w:rsid w:val="00B43A8D"/>
    <w:rsid w:val="00B45EEE"/>
    <w:rsid w:val="00B51302"/>
    <w:rsid w:val="00B523FB"/>
    <w:rsid w:val="00B547FB"/>
    <w:rsid w:val="00B60761"/>
    <w:rsid w:val="00B711B2"/>
    <w:rsid w:val="00BA7847"/>
    <w:rsid w:val="00BA79D4"/>
    <w:rsid w:val="00BC4DA2"/>
    <w:rsid w:val="00BC7900"/>
    <w:rsid w:val="00BD101C"/>
    <w:rsid w:val="00BE6A72"/>
    <w:rsid w:val="00BE7F5A"/>
    <w:rsid w:val="00BF748D"/>
    <w:rsid w:val="00C00416"/>
    <w:rsid w:val="00C00448"/>
    <w:rsid w:val="00C0066F"/>
    <w:rsid w:val="00C1052F"/>
    <w:rsid w:val="00C12505"/>
    <w:rsid w:val="00C12B55"/>
    <w:rsid w:val="00C137CA"/>
    <w:rsid w:val="00C14428"/>
    <w:rsid w:val="00C26D46"/>
    <w:rsid w:val="00C2702C"/>
    <w:rsid w:val="00C441B3"/>
    <w:rsid w:val="00C50DCC"/>
    <w:rsid w:val="00C50F01"/>
    <w:rsid w:val="00C52A05"/>
    <w:rsid w:val="00C543BD"/>
    <w:rsid w:val="00C54E00"/>
    <w:rsid w:val="00C83663"/>
    <w:rsid w:val="00C83D5D"/>
    <w:rsid w:val="00C8696F"/>
    <w:rsid w:val="00C91477"/>
    <w:rsid w:val="00C97194"/>
    <w:rsid w:val="00CA4F5D"/>
    <w:rsid w:val="00CB4601"/>
    <w:rsid w:val="00CB554D"/>
    <w:rsid w:val="00CB5854"/>
    <w:rsid w:val="00CB760C"/>
    <w:rsid w:val="00CC115E"/>
    <w:rsid w:val="00CC794A"/>
    <w:rsid w:val="00CD18FF"/>
    <w:rsid w:val="00CD3D5D"/>
    <w:rsid w:val="00CD5C38"/>
    <w:rsid w:val="00CE0E46"/>
    <w:rsid w:val="00CE27E1"/>
    <w:rsid w:val="00CE2E95"/>
    <w:rsid w:val="00CE455E"/>
    <w:rsid w:val="00CF38F3"/>
    <w:rsid w:val="00D054A4"/>
    <w:rsid w:val="00D06188"/>
    <w:rsid w:val="00D07E5E"/>
    <w:rsid w:val="00D30356"/>
    <w:rsid w:val="00D3281A"/>
    <w:rsid w:val="00D34F4F"/>
    <w:rsid w:val="00D42954"/>
    <w:rsid w:val="00D50B99"/>
    <w:rsid w:val="00D55378"/>
    <w:rsid w:val="00D55925"/>
    <w:rsid w:val="00D5770C"/>
    <w:rsid w:val="00D64966"/>
    <w:rsid w:val="00D66DBA"/>
    <w:rsid w:val="00D76173"/>
    <w:rsid w:val="00D82698"/>
    <w:rsid w:val="00D84950"/>
    <w:rsid w:val="00D85945"/>
    <w:rsid w:val="00D86A2B"/>
    <w:rsid w:val="00D870E5"/>
    <w:rsid w:val="00D906C9"/>
    <w:rsid w:val="00D91A5E"/>
    <w:rsid w:val="00D97828"/>
    <w:rsid w:val="00DA6B5B"/>
    <w:rsid w:val="00DA763B"/>
    <w:rsid w:val="00DB0954"/>
    <w:rsid w:val="00DB1773"/>
    <w:rsid w:val="00DD5295"/>
    <w:rsid w:val="00DD5890"/>
    <w:rsid w:val="00DE0C73"/>
    <w:rsid w:val="00DE295A"/>
    <w:rsid w:val="00DE6BE1"/>
    <w:rsid w:val="00DE7974"/>
    <w:rsid w:val="00DF0217"/>
    <w:rsid w:val="00DF0FF0"/>
    <w:rsid w:val="00DF2DB1"/>
    <w:rsid w:val="00E011AD"/>
    <w:rsid w:val="00E01678"/>
    <w:rsid w:val="00E11461"/>
    <w:rsid w:val="00E120B3"/>
    <w:rsid w:val="00E125FF"/>
    <w:rsid w:val="00E1788C"/>
    <w:rsid w:val="00E22D14"/>
    <w:rsid w:val="00E41775"/>
    <w:rsid w:val="00E541E4"/>
    <w:rsid w:val="00E54C6D"/>
    <w:rsid w:val="00E550FB"/>
    <w:rsid w:val="00E66075"/>
    <w:rsid w:val="00E8673B"/>
    <w:rsid w:val="00E90D24"/>
    <w:rsid w:val="00E91540"/>
    <w:rsid w:val="00E96E45"/>
    <w:rsid w:val="00E97D70"/>
    <w:rsid w:val="00EA051C"/>
    <w:rsid w:val="00EB06DD"/>
    <w:rsid w:val="00EB446F"/>
    <w:rsid w:val="00EC5166"/>
    <w:rsid w:val="00ED1A54"/>
    <w:rsid w:val="00ED602C"/>
    <w:rsid w:val="00ED7854"/>
    <w:rsid w:val="00EE2502"/>
    <w:rsid w:val="00EF21E2"/>
    <w:rsid w:val="00EF225A"/>
    <w:rsid w:val="00EF6A62"/>
    <w:rsid w:val="00F00732"/>
    <w:rsid w:val="00F02E66"/>
    <w:rsid w:val="00F105BA"/>
    <w:rsid w:val="00F1266D"/>
    <w:rsid w:val="00F21538"/>
    <w:rsid w:val="00F21C11"/>
    <w:rsid w:val="00F23789"/>
    <w:rsid w:val="00F31280"/>
    <w:rsid w:val="00F351E9"/>
    <w:rsid w:val="00F46AD1"/>
    <w:rsid w:val="00F4787F"/>
    <w:rsid w:val="00F537CA"/>
    <w:rsid w:val="00F64BB6"/>
    <w:rsid w:val="00F743EF"/>
    <w:rsid w:val="00F82DC1"/>
    <w:rsid w:val="00F833E2"/>
    <w:rsid w:val="00F85B5B"/>
    <w:rsid w:val="00F900BD"/>
    <w:rsid w:val="00F92099"/>
    <w:rsid w:val="00FA1566"/>
    <w:rsid w:val="00FA65D2"/>
    <w:rsid w:val="00FB22FB"/>
    <w:rsid w:val="00FB5DF8"/>
    <w:rsid w:val="00FC31E7"/>
    <w:rsid w:val="00FD05F9"/>
    <w:rsid w:val="00FD44C9"/>
    <w:rsid w:val="00FE10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0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B095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B0954"/>
    <w:rPr>
      <w:rFonts w:ascii="Verdana" w:hAnsi="Verdana"/>
      <w:color w:val="000000"/>
      <w:sz w:val="18"/>
      <w:szCs w:val="18"/>
    </w:rPr>
  </w:style>
  <w:style w:type="paragraph" w:styleId="Lijstalinea">
    <w:name w:val="List Paragraph"/>
    <w:basedOn w:val="Standaard"/>
    <w:uiPriority w:val="34"/>
    <w:qFormat/>
    <w:rsid w:val="006274F4"/>
    <w:pPr>
      <w:ind w:left="720"/>
      <w:contextualSpacing/>
    </w:pPr>
  </w:style>
  <w:style w:type="paragraph" w:styleId="Revisie">
    <w:name w:val="Revision"/>
    <w:hidden/>
    <w:uiPriority w:val="99"/>
    <w:semiHidden/>
    <w:rsid w:val="00BD101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72306"/>
    <w:rPr>
      <w:sz w:val="16"/>
      <w:szCs w:val="16"/>
    </w:rPr>
  </w:style>
  <w:style w:type="paragraph" w:styleId="Tekstopmerking">
    <w:name w:val="annotation text"/>
    <w:basedOn w:val="Standaard"/>
    <w:link w:val="TekstopmerkingChar"/>
    <w:uiPriority w:val="99"/>
    <w:unhideWhenUsed/>
    <w:rsid w:val="00172306"/>
    <w:pPr>
      <w:spacing w:line="240" w:lineRule="auto"/>
    </w:pPr>
    <w:rPr>
      <w:sz w:val="20"/>
      <w:szCs w:val="20"/>
    </w:rPr>
  </w:style>
  <w:style w:type="character" w:customStyle="1" w:styleId="TekstopmerkingChar">
    <w:name w:val="Tekst opmerking Char"/>
    <w:basedOn w:val="Standaardalinea-lettertype"/>
    <w:link w:val="Tekstopmerking"/>
    <w:uiPriority w:val="99"/>
    <w:rsid w:val="0017230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72306"/>
    <w:rPr>
      <w:b/>
      <w:bCs/>
    </w:rPr>
  </w:style>
  <w:style w:type="character" w:customStyle="1" w:styleId="OnderwerpvanopmerkingChar">
    <w:name w:val="Onderwerp van opmerking Char"/>
    <w:basedOn w:val="TekstopmerkingChar"/>
    <w:link w:val="Onderwerpvanopmerking"/>
    <w:uiPriority w:val="99"/>
    <w:semiHidden/>
    <w:rsid w:val="00172306"/>
    <w:rPr>
      <w:rFonts w:ascii="Verdana" w:hAnsi="Verdana"/>
      <w:b/>
      <w:bCs/>
      <w:color w:val="000000"/>
    </w:rPr>
  </w:style>
  <w:style w:type="character" w:styleId="Onopgelostemelding">
    <w:name w:val="Unresolved Mention"/>
    <w:basedOn w:val="Standaardalinea-lettertype"/>
    <w:uiPriority w:val="99"/>
    <w:semiHidden/>
    <w:unhideWhenUsed/>
    <w:rsid w:val="00AB17A2"/>
    <w:rPr>
      <w:color w:val="605E5C"/>
      <w:shd w:val="clear" w:color="auto" w:fill="E1DFDD"/>
    </w:rPr>
  </w:style>
  <w:style w:type="paragraph" w:styleId="Voetnoottekst">
    <w:name w:val="footnote text"/>
    <w:basedOn w:val="Standaard"/>
    <w:link w:val="VoetnoottekstChar"/>
    <w:uiPriority w:val="99"/>
    <w:semiHidden/>
    <w:unhideWhenUsed/>
    <w:rsid w:val="004A5FD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A5FD2"/>
    <w:rPr>
      <w:rFonts w:ascii="Verdana" w:hAnsi="Verdana"/>
      <w:color w:val="000000"/>
    </w:rPr>
  </w:style>
  <w:style w:type="character" w:styleId="Voetnootmarkering">
    <w:name w:val="footnote reference"/>
    <w:basedOn w:val="Standaardalinea-lettertype"/>
    <w:uiPriority w:val="99"/>
    <w:semiHidden/>
    <w:unhideWhenUsed/>
    <w:rsid w:val="004A5FD2"/>
    <w:rPr>
      <w:vertAlign w:val="superscript"/>
    </w:rPr>
  </w:style>
  <w:style w:type="paragraph" w:styleId="Normaalweb">
    <w:name w:val="Normal (Web)"/>
    <w:basedOn w:val="Standaard"/>
    <w:uiPriority w:val="99"/>
    <w:semiHidden/>
    <w:unhideWhenUsed/>
    <w:rsid w:val="005F1DE9"/>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Zwaar">
    <w:name w:val="Strong"/>
    <w:basedOn w:val="Standaardalinea-lettertype"/>
    <w:uiPriority w:val="22"/>
    <w:qFormat/>
    <w:rsid w:val="005F1DE9"/>
    <w:rPr>
      <w:b/>
      <w:bCs/>
    </w:rPr>
  </w:style>
  <w:style w:type="character" w:customStyle="1" w:styleId="cf01">
    <w:name w:val="cf01"/>
    <w:basedOn w:val="Standaardalinea-lettertype"/>
    <w:rsid w:val="009E00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08900">
      <w:bodyDiv w:val="1"/>
      <w:marLeft w:val="0"/>
      <w:marRight w:val="0"/>
      <w:marTop w:val="0"/>
      <w:marBottom w:val="0"/>
      <w:divBdr>
        <w:top w:val="none" w:sz="0" w:space="0" w:color="auto"/>
        <w:left w:val="none" w:sz="0" w:space="0" w:color="auto"/>
        <w:bottom w:val="none" w:sz="0" w:space="0" w:color="auto"/>
        <w:right w:val="none" w:sz="0" w:space="0" w:color="auto"/>
      </w:divBdr>
    </w:div>
    <w:div w:id="488442402">
      <w:bodyDiv w:val="1"/>
      <w:marLeft w:val="0"/>
      <w:marRight w:val="0"/>
      <w:marTop w:val="0"/>
      <w:marBottom w:val="0"/>
      <w:divBdr>
        <w:top w:val="none" w:sz="0" w:space="0" w:color="auto"/>
        <w:left w:val="none" w:sz="0" w:space="0" w:color="auto"/>
        <w:bottom w:val="none" w:sz="0" w:space="0" w:color="auto"/>
        <w:right w:val="none" w:sz="0" w:space="0" w:color="auto"/>
      </w:divBdr>
    </w:div>
    <w:div w:id="544028344">
      <w:bodyDiv w:val="1"/>
      <w:marLeft w:val="0"/>
      <w:marRight w:val="0"/>
      <w:marTop w:val="0"/>
      <w:marBottom w:val="0"/>
      <w:divBdr>
        <w:top w:val="none" w:sz="0" w:space="0" w:color="auto"/>
        <w:left w:val="none" w:sz="0" w:space="0" w:color="auto"/>
        <w:bottom w:val="none" w:sz="0" w:space="0" w:color="auto"/>
        <w:right w:val="none" w:sz="0" w:space="0" w:color="auto"/>
      </w:divBdr>
    </w:div>
    <w:div w:id="578100526">
      <w:bodyDiv w:val="1"/>
      <w:marLeft w:val="0"/>
      <w:marRight w:val="0"/>
      <w:marTop w:val="0"/>
      <w:marBottom w:val="0"/>
      <w:divBdr>
        <w:top w:val="none" w:sz="0" w:space="0" w:color="auto"/>
        <w:left w:val="none" w:sz="0" w:space="0" w:color="auto"/>
        <w:bottom w:val="none" w:sz="0" w:space="0" w:color="auto"/>
        <w:right w:val="none" w:sz="0" w:space="0" w:color="auto"/>
      </w:divBdr>
    </w:div>
    <w:div w:id="598878490">
      <w:bodyDiv w:val="1"/>
      <w:marLeft w:val="0"/>
      <w:marRight w:val="0"/>
      <w:marTop w:val="0"/>
      <w:marBottom w:val="0"/>
      <w:divBdr>
        <w:top w:val="none" w:sz="0" w:space="0" w:color="auto"/>
        <w:left w:val="none" w:sz="0" w:space="0" w:color="auto"/>
        <w:bottom w:val="none" w:sz="0" w:space="0" w:color="auto"/>
        <w:right w:val="none" w:sz="0" w:space="0" w:color="auto"/>
      </w:divBdr>
    </w:div>
    <w:div w:id="651910919">
      <w:bodyDiv w:val="1"/>
      <w:marLeft w:val="0"/>
      <w:marRight w:val="0"/>
      <w:marTop w:val="0"/>
      <w:marBottom w:val="0"/>
      <w:divBdr>
        <w:top w:val="none" w:sz="0" w:space="0" w:color="auto"/>
        <w:left w:val="none" w:sz="0" w:space="0" w:color="auto"/>
        <w:bottom w:val="none" w:sz="0" w:space="0" w:color="auto"/>
        <w:right w:val="none" w:sz="0" w:space="0" w:color="auto"/>
      </w:divBdr>
    </w:div>
    <w:div w:id="986741085">
      <w:bodyDiv w:val="1"/>
      <w:marLeft w:val="0"/>
      <w:marRight w:val="0"/>
      <w:marTop w:val="0"/>
      <w:marBottom w:val="0"/>
      <w:divBdr>
        <w:top w:val="none" w:sz="0" w:space="0" w:color="auto"/>
        <w:left w:val="none" w:sz="0" w:space="0" w:color="auto"/>
        <w:bottom w:val="none" w:sz="0" w:space="0" w:color="auto"/>
        <w:right w:val="none" w:sz="0" w:space="0" w:color="auto"/>
      </w:divBdr>
    </w:div>
    <w:div w:id="1009065240">
      <w:bodyDiv w:val="1"/>
      <w:marLeft w:val="0"/>
      <w:marRight w:val="0"/>
      <w:marTop w:val="0"/>
      <w:marBottom w:val="0"/>
      <w:divBdr>
        <w:top w:val="none" w:sz="0" w:space="0" w:color="auto"/>
        <w:left w:val="none" w:sz="0" w:space="0" w:color="auto"/>
        <w:bottom w:val="none" w:sz="0" w:space="0" w:color="auto"/>
        <w:right w:val="none" w:sz="0" w:space="0" w:color="auto"/>
      </w:divBdr>
    </w:div>
    <w:div w:id="1151360702">
      <w:bodyDiv w:val="1"/>
      <w:marLeft w:val="0"/>
      <w:marRight w:val="0"/>
      <w:marTop w:val="0"/>
      <w:marBottom w:val="0"/>
      <w:divBdr>
        <w:top w:val="none" w:sz="0" w:space="0" w:color="auto"/>
        <w:left w:val="none" w:sz="0" w:space="0" w:color="auto"/>
        <w:bottom w:val="none" w:sz="0" w:space="0" w:color="auto"/>
        <w:right w:val="none" w:sz="0" w:space="0" w:color="auto"/>
      </w:divBdr>
    </w:div>
    <w:div w:id="1462066713">
      <w:bodyDiv w:val="1"/>
      <w:marLeft w:val="0"/>
      <w:marRight w:val="0"/>
      <w:marTop w:val="0"/>
      <w:marBottom w:val="0"/>
      <w:divBdr>
        <w:top w:val="none" w:sz="0" w:space="0" w:color="auto"/>
        <w:left w:val="none" w:sz="0" w:space="0" w:color="auto"/>
        <w:bottom w:val="none" w:sz="0" w:space="0" w:color="auto"/>
        <w:right w:val="none" w:sz="0" w:space="0" w:color="auto"/>
      </w:divBdr>
    </w:div>
    <w:div w:id="1631278535">
      <w:bodyDiv w:val="1"/>
      <w:marLeft w:val="0"/>
      <w:marRight w:val="0"/>
      <w:marTop w:val="0"/>
      <w:marBottom w:val="0"/>
      <w:divBdr>
        <w:top w:val="none" w:sz="0" w:space="0" w:color="auto"/>
        <w:left w:val="none" w:sz="0" w:space="0" w:color="auto"/>
        <w:bottom w:val="none" w:sz="0" w:space="0" w:color="auto"/>
        <w:right w:val="none" w:sz="0" w:space="0" w:color="auto"/>
      </w:divBdr>
    </w:div>
    <w:div w:id="1711760533">
      <w:bodyDiv w:val="1"/>
      <w:marLeft w:val="0"/>
      <w:marRight w:val="0"/>
      <w:marTop w:val="0"/>
      <w:marBottom w:val="0"/>
      <w:divBdr>
        <w:top w:val="none" w:sz="0" w:space="0" w:color="auto"/>
        <w:left w:val="none" w:sz="0" w:space="0" w:color="auto"/>
        <w:bottom w:val="none" w:sz="0" w:space="0" w:color="auto"/>
        <w:right w:val="none" w:sz="0" w:space="0" w:color="auto"/>
      </w:divBdr>
    </w:div>
    <w:div w:id="1892185130">
      <w:bodyDiv w:val="1"/>
      <w:marLeft w:val="0"/>
      <w:marRight w:val="0"/>
      <w:marTop w:val="0"/>
      <w:marBottom w:val="0"/>
      <w:divBdr>
        <w:top w:val="none" w:sz="0" w:space="0" w:color="auto"/>
        <w:left w:val="none" w:sz="0" w:space="0" w:color="auto"/>
        <w:bottom w:val="none" w:sz="0" w:space="0" w:color="auto"/>
        <w:right w:val="none" w:sz="0" w:space="0" w:color="auto"/>
      </w:divBdr>
    </w:div>
    <w:div w:id="1923827978">
      <w:bodyDiv w:val="1"/>
      <w:marLeft w:val="0"/>
      <w:marRight w:val="0"/>
      <w:marTop w:val="0"/>
      <w:marBottom w:val="0"/>
      <w:divBdr>
        <w:top w:val="none" w:sz="0" w:space="0" w:color="auto"/>
        <w:left w:val="none" w:sz="0" w:space="0" w:color="auto"/>
        <w:bottom w:val="none" w:sz="0" w:space="0" w:color="auto"/>
        <w:right w:val="none" w:sz="0" w:space="0" w:color="auto"/>
      </w:divBdr>
    </w:div>
    <w:div w:id="2020158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www.kwaliteitskaderfz.nl" TargetMode="External"/><Relationship Id="rId1" Type="http://schemas.openxmlformats.org/officeDocument/2006/relationships/hyperlink" Target="https://www.rijksoverheid.nl/documenten/kamerstukken/2025/11/06/tk-brief-incidentenonderzoeken-onder-de-loep"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2393</ap:Words>
  <ap:Characters>13166</ap:Characters>
  <ap:DocSecurity>0</ap:DocSecurity>
  <ap:Lines>109</ap:Lines>
  <ap:Paragraphs>31</ap:Paragraphs>
  <ap:ScaleCrop>false</ap:ScaleCrop>
  <ap:LinksUpToDate>false</ap:LinksUpToDate>
  <ap:CharactersWithSpaces>15528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2025-11-27T08:28:00.0000000Z</dcterms:created>
  <dcterms:modified xsi:type="dcterms:W3CDTF">2025-11-27T08:28:00.0000000Z</dcterms:modified>
  <dc:description>------------------------</dc:description>
  <version/>
  <category/>
</coreProperties>
</file>