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5DB" w:rsidP="003C15DB" w:rsidRDefault="003C15DB" w14:paraId="0506D2C9" w14:textId="3F85D360">
      <w:pPr>
        <w:autoSpaceDE w:val="0"/>
        <w:adjustRightInd w:val="0"/>
        <w:spacing w:line="240" w:lineRule="auto"/>
        <w:rPr>
          <w:rFonts w:eastAsia="DejaVuSerifCondensed" w:cs="DejaVuSerifCondensed"/>
          <w:b/>
          <w:bCs/>
        </w:rPr>
      </w:pPr>
      <w:r>
        <w:rPr>
          <w:rFonts w:eastAsia="DejaVuSerifCondensed" w:cs="DejaVuSerifCondensed"/>
          <w:b/>
          <w:bCs/>
        </w:rPr>
        <w:t>AH 491</w:t>
      </w:r>
    </w:p>
    <w:p w:rsidR="003C15DB" w:rsidP="003C15DB" w:rsidRDefault="003C15DB" w14:paraId="17814428" w14:textId="0F34C03D">
      <w:pPr>
        <w:autoSpaceDE w:val="0"/>
        <w:adjustRightInd w:val="0"/>
        <w:spacing w:line="240" w:lineRule="auto"/>
        <w:rPr>
          <w:rFonts w:eastAsia="DejaVuSerifCondensed" w:cs="DejaVuSerifCondensed"/>
          <w:b/>
          <w:bCs/>
        </w:rPr>
      </w:pPr>
      <w:r>
        <w:rPr>
          <w:rFonts w:eastAsia="DejaVuSerifCondensed" w:cs="DejaVuSerifCondensed"/>
          <w:b/>
          <w:bCs/>
        </w:rPr>
        <w:t>2025Z18959</w:t>
      </w:r>
    </w:p>
    <w:p w:rsidR="003C15DB" w:rsidP="003C15DB" w:rsidRDefault="003C15DB" w14:paraId="553136F8" w14:textId="766ADDB2">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27 november 2025)</w:t>
      </w:r>
    </w:p>
    <w:p w:rsidRPr="003C15DB" w:rsidR="003C15DB" w:rsidP="003C15DB" w:rsidRDefault="003C15DB" w14:paraId="1B13DB4C" w14:textId="77777777">
      <w:pPr>
        <w:rPr>
          <w:rFonts w:ascii="Times New Roman" w:hAnsi="Times New Roman"/>
          <w:bCs/>
          <w:sz w:val="24"/>
          <w:szCs w:val="24"/>
        </w:rPr>
      </w:pPr>
    </w:p>
    <w:p w:rsidRPr="003C15DB" w:rsidR="003C15DB" w:rsidP="003C15DB" w:rsidRDefault="003C15DB" w14:paraId="60A61599" w14:textId="49798CD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340</w:t>
      </w:r>
    </w:p>
    <w:p w:rsidRPr="00803DB0" w:rsidR="003C15DB" w:rsidP="003C15DB" w:rsidRDefault="003C15DB" w14:paraId="758A3AFE" w14:textId="77777777">
      <w:pPr>
        <w:autoSpaceDE w:val="0"/>
        <w:adjustRightInd w:val="0"/>
        <w:spacing w:line="240" w:lineRule="auto"/>
        <w:rPr>
          <w:rFonts w:eastAsia="DejaVuSerifCondensed" w:cs="DejaVuSerifCondensed"/>
          <w:b/>
          <w:bCs/>
        </w:rPr>
      </w:pPr>
    </w:p>
    <w:p w:rsidRPr="00803DB0" w:rsidR="003C15DB" w:rsidP="003C15DB" w:rsidRDefault="003C15DB" w14:paraId="71D115C0"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1</w:t>
      </w:r>
    </w:p>
    <w:p w:rsidRPr="00803DB0" w:rsidR="003C15DB" w:rsidP="003C15DB" w:rsidRDefault="003C15DB" w14:paraId="7D3C517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Hebt u kennisgenomen van het artikel ‘Illegale gokaanbieders paaien Nederlandse jongeren’? Hoe luidt uw reactie op de bevinding dat minderjarigen zich moeiteloos kunnen registreren bij verschillende illegale online casino’s?</w:t>
      </w:r>
    </w:p>
    <w:p w:rsidRPr="00803DB0" w:rsidR="003C15DB" w:rsidP="003C15DB" w:rsidRDefault="003C15DB" w14:paraId="0E0D756F" w14:textId="77777777">
      <w:pPr>
        <w:autoSpaceDE w:val="0"/>
        <w:adjustRightInd w:val="0"/>
        <w:spacing w:line="240" w:lineRule="auto"/>
        <w:rPr>
          <w:rFonts w:eastAsia="DejaVuSerifCondensed" w:cs="DejaVuSerifCondensed"/>
        </w:rPr>
      </w:pPr>
    </w:p>
    <w:p w:rsidRPr="00803DB0" w:rsidR="003C15DB" w:rsidP="003C15DB" w:rsidRDefault="003C15DB" w14:paraId="355ECFE8"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w:t>
      </w:r>
    </w:p>
    <w:p w:rsidRPr="00803DB0" w:rsidR="003C15DB" w:rsidP="003C15DB" w:rsidRDefault="003C15DB" w14:paraId="115AD40C"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Ja, ik heb kennisgenomen van genoemd artikel. Ik vind het heel zorgelijk dat minderjarigen zo makkelijk toegang hebben tot illegale online kansspelen. Illegale aanbieders voelen zich niet gebonden aan regels en bieden doorgaans geen waarborgen voor bescherming, zoals het beletten dat minderjarigen kunnen gokken. Daarom is een belangrijk doel van mijn beleidsinzet om dit aanbod en de toegang tot dit aanbod tegen te gaan. </w:t>
      </w:r>
    </w:p>
    <w:p w:rsidRPr="00803DB0" w:rsidR="003C15DB" w:rsidP="003C15DB" w:rsidRDefault="003C15DB" w14:paraId="64857EE3" w14:textId="77777777">
      <w:pPr>
        <w:autoSpaceDE w:val="0"/>
        <w:adjustRightInd w:val="0"/>
        <w:spacing w:line="240" w:lineRule="auto"/>
        <w:rPr>
          <w:rFonts w:eastAsia="DejaVuSerifCondensed" w:cs="DejaVuSerifCondensed"/>
        </w:rPr>
      </w:pPr>
    </w:p>
    <w:p w:rsidRPr="00803DB0" w:rsidR="003C15DB" w:rsidP="003C15DB" w:rsidRDefault="003C15DB" w14:paraId="7061C2F2" w14:textId="77777777">
      <w:pPr>
        <w:autoSpaceDE w:val="0"/>
        <w:adjustRightInd w:val="0"/>
        <w:spacing w:line="240" w:lineRule="auto"/>
        <w:rPr>
          <w:rFonts w:eastAsia="DejaVuSerifCondensed" w:cs="DejaVuSerifCondensed"/>
        </w:rPr>
      </w:pPr>
      <w:r w:rsidRPr="00803DB0">
        <w:rPr>
          <w:rFonts w:eastAsia="DejaVuSerifCondensed" w:cs="DejaVuSerifCondensed"/>
        </w:rPr>
        <w:t>De zorgelijke cijfers over minderjarigen en jongvolwassenen die deelnemen aan kansspelen, benadrukken hoe belangrijk het is om in te zetten op het voorkomen van gokschade, zoals ook is aangegeven in de brief over de visie op het kansspelbeleid, die op 14 februari 2025 aan uw Kamer is gestuurd.</w:t>
      </w:r>
      <w:r w:rsidRPr="00803DB0">
        <w:rPr>
          <w:rStyle w:val="Voetnootmarkering"/>
          <w:rFonts w:eastAsia="DejaVuSerifCondensed" w:cs="DejaVuSerifCondensed"/>
        </w:rPr>
        <w:footnoteReference w:id="1"/>
      </w:r>
      <w:r w:rsidRPr="00803DB0">
        <w:rPr>
          <w:rFonts w:eastAsia="DejaVuSerifCondensed" w:cs="DejaVuSerifCondensed"/>
        </w:rPr>
        <w:t xml:space="preserve"> In deze brief zijn ook maatregelen aangekondigd om de Wet kansspelen op afstand (Wet </w:t>
      </w:r>
      <w:proofErr w:type="spellStart"/>
      <w:r w:rsidRPr="00803DB0">
        <w:rPr>
          <w:rFonts w:eastAsia="DejaVuSerifCondensed" w:cs="DejaVuSerifCondensed"/>
        </w:rPr>
        <w:t>koa</w:t>
      </w:r>
      <w:proofErr w:type="spellEnd"/>
      <w:r w:rsidRPr="00803DB0">
        <w:rPr>
          <w:rFonts w:eastAsia="DejaVuSerifCondensed" w:cs="DejaVuSerifCondensed"/>
        </w:rPr>
        <w:t>) te herzien. De nieuwe visie kent als belangrijkste doelstelling het beschermen van burgers tegen schade door gokken, met specifieke aandacht voor jongvolwassenen en minderjarigen. Daarnaast wordt ingezet op intensievere bestrijding van het illegale aanbod en deelname daaraan. Dit doe ik door aanvullende instrumenten voor handhaving in wet- en regelgeving te creëren. De Kansspelautoriteit (</w:t>
      </w:r>
      <w:proofErr w:type="spellStart"/>
      <w:r w:rsidRPr="00803DB0">
        <w:rPr>
          <w:rFonts w:eastAsia="DejaVuSerifCondensed" w:cs="DejaVuSerifCondensed"/>
        </w:rPr>
        <w:t>Ksa</w:t>
      </w:r>
      <w:proofErr w:type="spellEnd"/>
      <w:r w:rsidRPr="00803DB0">
        <w:rPr>
          <w:rFonts w:eastAsia="DejaVuSerifCondensed" w:cs="DejaVuSerifCondensed"/>
        </w:rPr>
        <w:t xml:space="preserve">) zet ook specifiek in op het beschermen van minderjarigen en jongvolwassenen en heeft dit als prioriteit opgenomen in haar </w:t>
      </w:r>
      <w:proofErr w:type="spellStart"/>
      <w:r w:rsidRPr="00803DB0">
        <w:rPr>
          <w:rFonts w:eastAsia="DejaVuSerifCondensed" w:cs="DejaVuSerifCondensed"/>
        </w:rPr>
        <w:t>Toezichtsagenda</w:t>
      </w:r>
      <w:proofErr w:type="spellEnd"/>
      <w:r w:rsidRPr="00803DB0">
        <w:rPr>
          <w:rFonts w:eastAsia="DejaVuSerifCondensed" w:cs="DejaVuSerifCondensed"/>
        </w:rPr>
        <w:t xml:space="preserve"> 2025. </w:t>
      </w:r>
    </w:p>
    <w:p w:rsidRPr="00803DB0" w:rsidR="003C15DB" w:rsidP="003C15DB" w:rsidRDefault="003C15DB" w14:paraId="7180C11C" w14:textId="77777777">
      <w:pPr>
        <w:autoSpaceDE w:val="0"/>
        <w:adjustRightInd w:val="0"/>
        <w:spacing w:line="240" w:lineRule="auto"/>
        <w:rPr>
          <w:rFonts w:eastAsia="DejaVuSerifCondensed" w:cs="DejaVuSerifCondensed"/>
        </w:rPr>
      </w:pPr>
    </w:p>
    <w:p w:rsidRPr="00803DB0" w:rsidR="003C15DB" w:rsidP="003C15DB" w:rsidRDefault="003C15DB" w14:paraId="737D5178"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Naast wijziging van de wet- en regelgeving en handhaving door de </w:t>
      </w:r>
      <w:proofErr w:type="spellStart"/>
      <w:r w:rsidRPr="00803DB0">
        <w:rPr>
          <w:rFonts w:eastAsia="DejaVuSerifCondensed" w:cs="DejaVuSerifCondensed"/>
        </w:rPr>
        <w:t>Ksa</w:t>
      </w:r>
      <w:proofErr w:type="spellEnd"/>
      <w:r w:rsidRPr="00803DB0">
        <w:rPr>
          <w:rFonts w:eastAsia="DejaVuSerifCondensed" w:cs="DejaVuSerifCondensed"/>
        </w:rPr>
        <w:t xml:space="preserve"> wordt ingezet op preventieve maatregelen, zoals gerichte bewustwordingsactiviteiten om met name jongvolwassenen en hun omgeving bewust te maken van de risico’s van </w:t>
      </w:r>
      <w:r w:rsidRPr="00803DB0">
        <w:rPr>
          <w:rFonts w:eastAsia="DejaVuSerifCondensed" w:cs="DejaVuSerifCondensed"/>
        </w:rPr>
        <w:lastRenderedPageBreak/>
        <w:t xml:space="preserve">gokken. Daarbij worden ook vanuit het Verslavingspreventiefonds onverminderd initiatieven mogelijk gemaakt of ondersteund en wordt hierop verder geïntensiveerd. Zoals door mijn voorganger is aangegeven in zijn brief van 3 juli 2025 is Verslavingskunde Nederland (VKN) gevraagd om in hun programma ‘preventie en </w:t>
      </w:r>
      <w:proofErr w:type="spellStart"/>
      <w:r w:rsidRPr="00803DB0">
        <w:rPr>
          <w:rFonts w:eastAsia="DejaVuSerifCondensed" w:cs="DejaVuSerifCondensed"/>
        </w:rPr>
        <w:t>vroegsignalering</w:t>
      </w:r>
      <w:proofErr w:type="spellEnd"/>
      <w:r w:rsidRPr="00803DB0">
        <w:rPr>
          <w:rFonts w:eastAsia="DejaVuSerifCondensed" w:cs="DejaVuSerifCondensed"/>
        </w:rPr>
        <w:t xml:space="preserve"> van verslavingsproblematiek’ aandacht te hebben voor de groei van gokken onder minderjarigen. Daarbij werkt VKN onder meer nauw samen met gemeenten en wordt ook ingezet op het tegengaan van gokproblematiek. VKN gaat bekijken of en hoe zij in hun bestaande preventietrajecten meer aandacht kan hebben voor het voorkomen van gokken onder minderjarigen. </w:t>
      </w:r>
    </w:p>
    <w:p w:rsidRPr="00803DB0" w:rsidR="003C15DB" w:rsidP="003C15DB" w:rsidRDefault="003C15DB" w14:paraId="29AB6401" w14:textId="77777777">
      <w:pPr>
        <w:autoSpaceDE w:val="0"/>
        <w:adjustRightInd w:val="0"/>
        <w:spacing w:line="240" w:lineRule="auto"/>
        <w:rPr>
          <w:rFonts w:eastAsia="DejaVuSerifCondensed" w:cs="DejaVuSerifCondensed"/>
        </w:rPr>
      </w:pPr>
    </w:p>
    <w:p w:rsidRPr="00803DB0" w:rsidR="003C15DB" w:rsidP="003C15DB" w:rsidRDefault="003C15DB" w14:paraId="2F283422"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Er loopt voorts een aantal onderzoeken naar gokgedrag onder jongeren. Zo doet de </w:t>
      </w:r>
      <w:proofErr w:type="spellStart"/>
      <w:r w:rsidRPr="00803DB0">
        <w:rPr>
          <w:rFonts w:eastAsia="DejaVuSerifCondensed" w:cs="DejaVuSerifCondensed"/>
        </w:rPr>
        <w:t>Ksa</w:t>
      </w:r>
      <w:proofErr w:type="spellEnd"/>
      <w:r w:rsidRPr="00803DB0">
        <w:rPr>
          <w:rFonts w:eastAsia="DejaVuSerifCondensed" w:cs="DejaVuSerifCondensed"/>
        </w:rPr>
        <w:t xml:space="preserve"> verdiepend onderzoek naar deelname van minderjarigen aan online kansspelen bij legale aanbieders. De vraag hoe minderjarigen deelnemen aan online kansspelen zal tevens worden meegenomen in het onderzoek Perspectief van Nederlanders op kansspelen 2025 dat dit jaar wordt opgeleverd.</w:t>
      </w:r>
    </w:p>
    <w:p w:rsidRPr="00803DB0" w:rsidR="003C15DB" w:rsidP="003C15DB" w:rsidRDefault="003C15DB" w14:paraId="3464D7EA"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Daarnaast wordt vanuit het Verslavingspreventiefonds, in samenwerking met </w:t>
      </w:r>
      <w:proofErr w:type="spellStart"/>
      <w:r w:rsidRPr="00803DB0">
        <w:rPr>
          <w:rFonts w:eastAsia="DejaVuSerifCondensed" w:cs="DejaVuSerifCondensed"/>
        </w:rPr>
        <w:t>ZonMW</w:t>
      </w:r>
      <w:proofErr w:type="spellEnd"/>
      <w:r w:rsidRPr="00803DB0">
        <w:rPr>
          <w:rFonts w:eastAsia="DejaVuSerifCondensed" w:cs="DejaVuSerifCondensed"/>
        </w:rPr>
        <w:t xml:space="preserve">, het programma ‘Preventie voor kansspelverslaving’ gefinancierd, waarbinnen een programma zich specifiek richt op onderzoek naar kwetsbare spelers. </w:t>
      </w:r>
    </w:p>
    <w:p w:rsidRPr="00803DB0" w:rsidR="003C15DB" w:rsidP="003C15DB" w:rsidRDefault="003C15DB" w14:paraId="1BBC0480" w14:textId="77777777">
      <w:pPr>
        <w:autoSpaceDE w:val="0"/>
        <w:adjustRightInd w:val="0"/>
        <w:spacing w:line="240" w:lineRule="auto"/>
        <w:rPr>
          <w:rFonts w:eastAsia="DejaVuSerifCondensed" w:cs="DejaVuSerifCondensed"/>
        </w:rPr>
      </w:pPr>
    </w:p>
    <w:p w:rsidRPr="00803DB0" w:rsidR="003C15DB" w:rsidP="003C15DB" w:rsidRDefault="003C15DB" w14:paraId="170569D6"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Tot slot werk ik in het kader van de verbreding van verslavingspreventie naar het tegengaan van gokschade samen met het Ministerie van Volksgezondheid, Welzijn en Sport (VWS) en de </w:t>
      </w:r>
      <w:proofErr w:type="spellStart"/>
      <w:r w:rsidRPr="00803DB0">
        <w:rPr>
          <w:rFonts w:eastAsia="DejaVuSerifCondensed" w:cs="DejaVuSerifCondensed"/>
        </w:rPr>
        <w:t>Ksa</w:t>
      </w:r>
      <w:proofErr w:type="spellEnd"/>
      <w:r w:rsidRPr="00803DB0">
        <w:rPr>
          <w:rFonts w:eastAsia="DejaVuSerifCondensed" w:cs="DejaVuSerifCondensed"/>
        </w:rPr>
        <w:t xml:space="preserve"> aan een strategische </w:t>
      </w:r>
      <w:proofErr w:type="spellStart"/>
      <w:r w:rsidRPr="00803DB0">
        <w:rPr>
          <w:rFonts w:eastAsia="DejaVuSerifCondensed" w:cs="DejaVuSerifCondensed"/>
        </w:rPr>
        <w:t>meerjarenagenda</w:t>
      </w:r>
      <w:proofErr w:type="spellEnd"/>
      <w:r w:rsidRPr="00803DB0">
        <w:rPr>
          <w:rFonts w:eastAsia="DejaVuSerifCondensed" w:cs="DejaVuSerifCondensed"/>
        </w:rPr>
        <w:t xml:space="preserve"> bescherming tegen gokschade ter opvolging van de werkagenda verslavingspreventie kansspelen.</w:t>
      </w:r>
      <w:r w:rsidRPr="00803DB0">
        <w:rPr>
          <w:rStyle w:val="Voetnootmarkering"/>
          <w:rFonts w:eastAsia="DejaVuSerifCondensed" w:cs="DejaVuSerifCondensed"/>
        </w:rPr>
        <w:footnoteReference w:id="2"/>
      </w:r>
    </w:p>
    <w:p w:rsidRPr="00803DB0" w:rsidR="003C15DB" w:rsidP="003C15DB" w:rsidRDefault="003C15DB" w14:paraId="45B9E739" w14:textId="77777777">
      <w:pPr>
        <w:autoSpaceDE w:val="0"/>
        <w:adjustRightInd w:val="0"/>
        <w:spacing w:line="240" w:lineRule="auto"/>
        <w:rPr>
          <w:rFonts w:eastAsia="DejaVuSerifCondensed" w:cs="DejaVuSerifCondensed"/>
        </w:rPr>
      </w:pPr>
    </w:p>
    <w:p w:rsidRPr="00803DB0" w:rsidR="003C15DB" w:rsidP="003C15DB" w:rsidRDefault="003C15DB" w14:paraId="07E83D31"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2</w:t>
      </w:r>
    </w:p>
    <w:p w:rsidRPr="00803DB0" w:rsidR="003C15DB" w:rsidP="003C15DB" w:rsidRDefault="003C15DB" w14:paraId="73803F37"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Hoe luidt uw reactie op de bevinding dat minderjarigen geld kunnen storten naar online casino’s vanaf een jongerenrekening?</w:t>
      </w:r>
    </w:p>
    <w:p w:rsidRPr="00803DB0" w:rsidR="003C15DB" w:rsidP="003C15DB" w:rsidRDefault="003C15DB" w14:paraId="1A060696" w14:textId="77777777">
      <w:pPr>
        <w:autoSpaceDE w:val="0"/>
        <w:adjustRightInd w:val="0"/>
        <w:spacing w:line="240" w:lineRule="auto"/>
        <w:rPr>
          <w:rFonts w:eastAsia="DejaVuSerifCondensed" w:cs="DejaVuSerifCondensed"/>
        </w:rPr>
      </w:pPr>
    </w:p>
    <w:p w:rsidRPr="00803DB0" w:rsidR="003C15DB" w:rsidP="003C15DB" w:rsidRDefault="003C15DB" w14:paraId="743767A7"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2</w:t>
      </w:r>
    </w:p>
    <w:p w:rsidRPr="00803DB0" w:rsidR="003C15DB" w:rsidP="003C15DB" w:rsidRDefault="003C15DB" w14:paraId="0C907698"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De bevinding dat een minderjarige geld kan storten naar illegale online casino’s, zoals in het nieuwsbericht is beschreven, vind ik uitermate zorgelijk. Jongeren behoren tot een kwetsbare groep die extra gevoelig is voor de verleidingen van gokken. Dit geldt in het bijzonder voor minderjaren, voor wie het om die reden ook verboden is om te gokken. Ik vind dat een minderjarige geen geld moet kunnen storten bij online casino’s en mijn inzet is erop gericht om dit te voorkomen. Samen </w:t>
      </w:r>
      <w:r w:rsidRPr="00803DB0">
        <w:rPr>
          <w:rFonts w:eastAsia="DejaVuSerifCondensed" w:cs="DejaVuSerifCondensed"/>
        </w:rPr>
        <w:lastRenderedPageBreak/>
        <w:t xml:space="preserve">met de </w:t>
      </w:r>
      <w:proofErr w:type="spellStart"/>
      <w:r w:rsidRPr="00803DB0">
        <w:rPr>
          <w:rFonts w:eastAsia="DejaVuSerifCondensed" w:cs="DejaVuSerifCondensed"/>
        </w:rPr>
        <w:t>Ksa</w:t>
      </w:r>
      <w:proofErr w:type="spellEnd"/>
      <w:r w:rsidRPr="00803DB0">
        <w:rPr>
          <w:rFonts w:eastAsia="DejaVuSerifCondensed" w:cs="DejaVuSerifCondensed"/>
        </w:rPr>
        <w:t xml:space="preserve"> bezie ik op welke wijze dit efficiënt en effectief kan worden tegen gegaan en zet ik in op preventiebeleid zoals in het antwoord op vraag 1 omschreven. </w:t>
      </w:r>
    </w:p>
    <w:p w:rsidRPr="00803DB0" w:rsidR="003C15DB" w:rsidP="003C15DB" w:rsidRDefault="003C15DB" w14:paraId="1D2261B0" w14:textId="77777777">
      <w:pPr>
        <w:autoSpaceDE w:val="0"/>
        <w:adjustRightInd w:val="0"/>
        <w:spacing w:line="240" w:lineRule="auto"/>
        <w:rPr>
          <w:rFonts w:eastAsia="DejaVuSerifCondensed" w:cs="DejaVuSerifCondensed"/>
        </w:rPr>
      </w:pPr>
    </w:p>
    <w:p w:rsidRPr="00803DB0" w:rsidR="003C15DB" w:rsidP="003C15DB" w:rsidRDefault="003C15DB" w14:paraId="4B0A66D1"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Vraag 3 </w:t>
      </w:r>
    </w:p>
    <w:p w:rsidRPr="00803DB0" w:rsidR="003C15DB" w:rsidP="003C15DB" w:rsidRDefault="003C15DB" w14:paraId="69173D8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Klopt het dat transacties tussen bankrekeningen voor minderjarigen en online gokspellen geblokkeerd behoren te worden? Hoe verklaart u de bevinding dat dit desondanks wel mogelijk blijkt? Hoe kunt u deze blokkade, waar nodig samen met de bankensector, nader effectueren?</w:t>
      </w:r>
    </w:p>
    <w:p w:rsidRPr="00803DB0" w:rsidR="003C15DB" w:rsidP="003C15DB" w:rsidRDefault="003C15DB" w14:paraId="3B9F9F69" w14:textId="77777777">
      <w:pPr>
        <w:autoSpaceDE w:val="0"/>
        <w:adjustRightInd w:val="0"/>
        <w:spacing w:line="240" w:lineRule="auto"/>
        <w:rPr>
          <w:rFonts w:eastAsia="DejaVuSerifCondensed" w:cs="DejaVuSerifCondensed"/>
        </w:rPr>
      </w:pPr>
    </w:p>
    <w:p w:rsidRPr="00803DB0" w:rsidR="003C15DB" w:rsidP="003C15DB" w:rsidRDefault="003C15DB" w14:paraId="75B34A4B"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4</w:t>
      </w:r>
    </w:p>
    <w:p w:rsidRPr="00803DB0" w:rsidR="003C15DB" w:rsidP="003C15DB" w:rsidRDefault="003C15DB" w14:paraId="7A362690"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Welke aansprakelijkheid geldt hier voor de banken zelf?</w:t>
      </w:r>
    </w:p>
    <w:p w:rsidRPr="00803DB0" w:rsidR="003C15DB" w:rsidP="003C15DB" w:rsidRDefault="003C15DB" w14:paraId="0A726451" w14:textId="77777777">
      <w:pPr>
        <w:autoSpaceDE w:val="0"/>
        <w:adjustRightInd w:val="0"/>
        <w:spacing w:line="240" w:lineRule="auto"/>
        <w:rPr>
          <w:rFonts w:eastAsia="DejaVuSerifCondensed" w:cs="DejaVuSerifCondensed"/>
        </w:rPr>
      </w:pPr>
    </w:p>
    <w:p w:rsidRPr="00803DB0" w:rsidR="003C15DB" w:rsidP="003C15DB" w:rsidRDefault="003C15DB" w14:paraId="617F3098"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vragen 3 en 4</w:t>
      </w:r>
    </w:p>
    <w:p w:rsidRPr="00803DB0" w:rsidR="003C15DB" w:rsidP="003C15DB" w:rsidRDefault="003C15DB" w14:paraId="677827C2"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Laat ik voorop stellen dat minderjarigen niet mogen deelnemen aan kansspelen en dat ik zo veel mogelijk wil voorkomen dat dit gebeurt. </w:t>
      </w:r>
    </w:p>
    <w:p w:rsidRPr="00803DB0" w:rsidR="003C15DB" w:rsidP="003C15DB" w:rsidRDefault="003C15DB" w14:paraId="079A36F0" w14:textId="77777777">
      <w:pPr>
        <w:autoSpaceDE w:val="0"/>
        <w:adjustRightInd w:val="0"/>
        <w:spacing w:line="240" w:lineRule="auto"/>
        <w:rPr>
          <w:rFonts w:eastAsia="DejaVuSerifCondensed" w:cs="DejaVuSerifCondensed"/>
        </w:rPr>
      </w:pPr>
    </w:p>
    <w:p w:rsidRPr="00803DB0" w:rsidR="003C15DB" w:rsidP="003C15DB" w:rsidRDefault="003C15DB" w14:paraId="423A5986"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Binnen het vergunde kansspelaanbod is het kansspelaanbieders verboden een minderjarige toegang te geven tot de spelomgeving. Voor vergunde kansspelaanbieders gelden strenge wettelijke eisen voor leeftijdscontrole. Zij moeten de identiteit van een speler verifiëren en daarmee ook de meerderjarigheid van een persoon voordat zij deze mogen inschrijven. De </w:t>
      </w:r>
      <w:proofErr w:type="spellStart"/>
      <w:r w:rsidRPr="00803DB0">
        <w:rPr>
          <w:rFonts w:eastAsia="DejaVuSerifCondensed" w:cs="DejaVuSerifCondensed"/>
        </w:rPr>
        <w:t>Ksa</w:t>
      </w:r>
      <w:proofErr w:type="spellEnd"/>
      <w:r w:rsidRPr="00803DB0">
        <w:rPr>
          <w:rFonts w:eastAsia="DejaVuSerifCondensed" w:cs="DejaVuSerifCondensed"/>
        </w:rPr>
        <w:t xml:space="preserve"> houdt hier scherp toezicht op. Bij het aanmaken van een account bij een vergunde aanbieder moet ook de aan het account gekoppelde bankrekening worden gecontroleerd. Een bankrekening die op naam staat van een minderjarige mag niet worden gekoppeld. Daardoor is het waarschijnlijker dat minderjarigen door anderen toegang krijgen tot de spelomgeving en op andermans account gokken, bijvoorbeeld van een meerderjarige vriend of een familielid. Als dit het geval is, ligt er ook een verantwoordelijkheid bij degene die toegang tot zijn account geeft. </w:t>
      </w:r>
    </w:p>
    <w:p w:rsidRPr="00803DB0" w:rsidR="003C15DB" w:rsidP="003C15DB" w:rsidRDefault="003C15DB" w14:paraId="53893655"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 </w:t>
      </w:r>
    </w:p>
    <w:p w:rsidRPr="00803DB0" w:rsidR="003C15DB" w:rsidP="003C15DB" w:rsidRDefault="003C15DB" w14:paraId="51F62DC0" w14:textId="77777777">
      <w:pPr>
        <w:autoSpaceDE w:val="0"/>
        <w:adjustRightInd w:val="0"/>
        <w:spacing w:line="240" w:lineRule="auto"/>
        <w:rPr>
          <w:rFonts w:eastAsia="DejaVuSerifCondensed" w:cs="DejaVuSerifCondensed"/>
        </w:rPr>
      </w:pPr>
    </w:p>
    <w:p w:rsidRPr="00803DB0" w:rsidR="003C15DB" w:rsidP="003C15DB" w:rsidRDefault="003C15DB" w14:paraId="6C45F48A" w14:textId="77777777">
      <w:pPr>
        <w:autoSpaceDE w:val="0"/>
        <w:adjustRightInd w:val="0"/>
        <w:spacing w:line="240" w:lineRule="auto"/>
        <w:rPr>
          <w:rFonts w:eastAsia="DejaVuSerifCondensed" w:cs="DejaVuSerifCondensed"/>
        </w:rPr>
      </w:pPr>
      <w:r w:rsidRPr="00803DB0">
        <w:rPr>
          <w:rFonts w:eastAsia="DejaVuSerifCondensed" w:cs="DejaVuSerifCondensed"/>
        </w:rPr>
        <w:t>Er wordt van betaaldienstverleners op grond van de huidige wet- en regelgeving niet verwacht dat zij actief onderzoeken welke transacties mogelijk betrekking hebben op verboden deelname aan kansspelen en deze blokkeren. Wel kan worden verwacht dat een betaaldienstverlener een transactie redelijkerwijs blokkeert, wanneer zij weet dat het een transactie betreft die deelname aan verboden kansspelen mogelijk maakt. Op dit moment wordt onderzocht hoe betaaldienstverleners in staat kunnen worden gesteld om informatie te krijgen van transacties met illegale aanbieders.</w:t>
      </w:r>
    </w:p>
    <w:p w:rsidRPr="00803DB0" w:rsidR="003C15DB" w:rsidP="003C15DB" w:rsidRDefault="003C15DB" w14:paraId="52C35183" w14:textId="77777777">
      <w:pPr>
        <w:autoSpaceDE w:val="0"/>
        <w:adjustRightInd w:val="0"/>
        <w:spacing w:line="240" w:lineRule="auto"/>
        <w:rPr>
          <w:rFonts w:eastAsia="DejaVuSerifCondensed" w:cs="DejaVuSerifCondensed"/>
        </w:rPr>
      </w:pPr>
    </w:p>
    <w:p w:rsidRPr="00803DB0" w:rsidR="003C15DB" w:rsidP="003C15DB" w:rsidRDefault="003C15DB" w14:paraId="2A1AE057"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Vraag 5 </w:t>
      </w:r>
    </w:p>
    <w:p w:rsidRPr="00803DB0" w:rsidR="003C15DB" w:rsidP="003C15DB" w:rsidRDefault="003C15DB" w14:paraId="641D2399"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Herkent u het beeld van het Keurmerk Verantwoorde </w:t>
      </w:r>
      <w:proofErr w:type="spellStart"/>
      <w:r w:rsidRPr="00803DB0">
        <w:rPr>
          <w:rFonts w:eastAsia="DejaVuSerifCondensed" w:cs="DejaVuSerifCondensed"/>
          <w:b/>
          <w:bCs/>
        </w:rPr>
        <w:t>Affiliates</w:t>
      </w:r>
      <w:proofErr w:type="spellEnd"/>
      <w:r w:rsidRPr="00803DB0">
        <w:rPr>
          <w:rFonts w:eastAsia="DejaVuSerifCondensed" w:cs="DejaVuSerifCondensed"/>
          <w:b/>
          <w:bCs/>
        </w:rPr>
        <w:t> (KVA) dat minderjarigen steeds vaker doelwit zijn van online marketingcampagnes van illegale gokaanbieders?</w:t>
      </w:r>
    </w:p>
    <w:p w:rsidRPr="00803DB0" w:rsidR="003C15DB" w:rsidP="003C15DB" w:rsidRDefault="003C15DB" w14:paraId="4CEB950D" w14:textId="77777777">
      <w:pPr>
        <w:autoSpaceDE w:val="0"/>
        <w:adjustRightInd w:val="0"/>
        <w:spacing w:line="240" w:lineRule="auto"/>
        <w:rPr>
          <w:rFonts w:eastAsia="DejaVuSerifCondensed" w:cs="DejaVuSerifCondensed"/>
        </w:rPr>
      </w:pPr>
    </w:p>
    <w:p w:rsidRPr="00803DB0" w:rsidR="003C15DB" w:rsidP="003C15DB" w:rsidRDefault="003C15DB" w14:paraId="04C1DFDB"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6</w:t>
      </w:r>
    </w:p>
    <w:p w:rsidRPr="00803DB0" w:rsidR="003C15DB" w:rsidP="003C15DB" w:rsidRDefault="003C15DB" w14:paraId="1CB576A7"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Deelt u de verontrusting dat illegale gokbedrijven steeds vaker minderjarigen benaderen via advertenties? Welke maatregelen gaat u ondernemen om deze illegale advertenties een halt toe te roepen?</w:t>
      </w:r>
    </w:p>
    <w:p w:rsidRPr="00803DB0" w:rsidR="003C15DB" w:rsidP="003C15DB" w:rsidRDefault="003C15DB" w14:paraId="7895B0F1" w14:textId="77777777">
      <w:pPr>
        <w:autoSpaceDE w:val="0"/>
        <w:adjustRightInd w:val="0"/>
        <w:spacing w:line="240" w:lineRule="auto"/>
        <w:rPr>
          <w:rFonts w:eastAsia="DejaVuSerifCondensed" w:cs="DejaVuSerifCondensed"/>
        </w:rPr>
      </w:pPr>
    </w:p>
    <w:p w:rsidRPr="00803DB0" w:rsidR="003C15DB" w:rsidP="003C15DB" w:rsidRDefault="003C15DB" w14:paraId="21B20A4F"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vragen 5 en 6</w:t>
      </w:r>
    </w:p>
    <w:p w:rsidRPr="00803DB0" w:rsidR="003C15DB" w:rsidP="003C15DB" w:rsidRDefault="003C15DB" w14:paraId="46423CCF"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Ik heb over het aantal minderjarigen dat reclames van illegale gokbedrijven ziet geen specifieke gegevens. Dat laat onverlet dat ik signalen hierover van organisaties als het Keurmerk Verantwoorde </w:t>
      </w:r>
      <w:proofErr w:type="spellStart"/>
      <w:r w:rsidRPr="00803DB0">
        <w:rPr>
          <w:rFonts w:eastAsia="DejaVuSerifCondensed" w:cs="DejaVuSerifCondensed"/>
        </w:rPr>
        <w:t>Affiliates</w:t>
      </w:r>
      <w:proofErr w:type="spellEnd"/>
      <w:r w:rsidRPr="00803DB0">
        <w:rPr>
          <w:rFonts w:eastAsia="DejaVuSerifCondensed" w:cs="DejaVuSerifCondensed"/>
        </w:rPr>
        <w:t xml:space="preserve"> serieus neem. Ik vind het zeer onwenselijk dat werving en reclame door illegale aanbieders überhaupt mensen bereikt, in het bijzonder minderjarigen en jongvolwassenen. </w:t>
      </w:r>
    </w:p>
    <w:p w:rsidRPr="00803DB0" w:rsidR="003C15DB" w:rsidP="003C15DB" w:rsidRDefault="003C15DB" w14:paraId="7623AF4E" w14:textId="77777777">
      <w:pPr>
        <w:autoSpaceDE w:val="0"/>
        <w:adjustRightInd w:val="0"/>
        <w:spacing w:line="240" w:lineRule="auto"/>
        <w:rPr>
          <w:rFonts w:eastAsia="DejaVuSerifCondensed" w:cs="DejaVuSerifCondensed"/>
        </w:rPr>
      </w:pPr>
    </w:p>
    <w:p w:rsidRPr="00803DB0" w:rsidR="003C15DB" w:rsidP="003C15DB" w:rsidRDefault="003C15DB" w14:paraId="520948EF"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Naast het illegaal aanbieden zelf is het ook verboden om illegaal aanbod te faciliteren of bevorderen, zoals vermeld in het antwoord op vragen 3 en 4. De </w:t>
      </w:r>
      <w:proofErr w:type="spellStart"/>
      <w:r w:rsidRPr="00803DB0">
        <w:rPr>
          <w:rFonts w:eastAsia="DejaVuSerifCondensed" w:cs="DejaVuSerifCondensed"/>
        </w:rPr>
        <w:t>Ksa</w:t>
      </w:r>
      <w:proofErr w:type="spellEnd"/>
      <w:r w:rsidRPr="00803DB0">
        <w:rPr>
          <w:rFonts w:eastAsia="DejaVuSerifCondensed" w:cs="DejaVuSerifCondensed"/>
        </w:rPr>
        <w:t xml:space="preserve"> ontwikkelt momenteel binnen het huidige wettelijke kader methoden om het aanbod van illegale aanbieders terug te dringen. Daarvoor zoekt de </w:t>
      </w:r>
      <w:proofErr w:type="spellStart"/>
      <w:r w:rsidRPr="00803DB0">
        <w:rPr>
          <w:rFonts w:eastAsia="DejaVuSerifCondensed" w:cs="DejaVuSerifCondensed"/>
        </w:rPr>
        <w:t>Ksa</w:t>
      </w:r>
      <w:proofErr w:type="spellEnd"/>
      <w:r w:rsidRPr="00803DB0">
        <w:rPr>
          <w:rFonts w:eastAsia="DejaVuSerifCondensed" w:cs="DejaVuSerifCondensed"/>
        </w:rPr>
        <w:t xml:space="preserve"> actief de samenwerking op met partijen zoals de financiële sector, gokspelleveranciers, internetbedrijven, sociale mediaplatforms, collega-toezichthouders, vertegenwoordigers van vergunninghouders en </w:t>
      </w:r>
      <w:proofErr w:type="spellStart"/>
      <w:r w:rsidRPr="00803DB0">
        <w:rPr>
          <w:rFonts w:eastAsia="DejaVuSerifCondensed" w:cs="DejaVuSerifCondensed"/>
        </w:rPr>
        <w:t>affiliates</w:t>
      </w:r>
      <w:proofErr w:type="spellEnd"/>
      <w:r w:rsidRPr="00803DB0">
        <w:rPr>
          <w:rFonts w:eastAsia="DejaVuSerifCondensed" w:cs="DejaVuSerifCondensed"/>
        </w:rPr>
        <w:t xml:space="preserve">. Deze samenwerking, genaamd de Alliantie ter bestrijding van illegale kansspelen (hierna: Alliantie), richt zich met name op het frustreren van de infrastructuur die de illegale online aanbieders gebruiken om hun illegale diensten aan te bieden. Dit sluit ook aan op de aangenomen motie </w:t>
      </w:r>
      <w:proofErr w:type="spellStart"/>
      <w:r w:rsidRPr="00803DB0">
        <w:rPr>
          <w:rFonts w:eastAsia="DejaVuSerifCondensed" w:cs="DejaVuSerifCondensed"/>
        </w:rPr>
        <w:t>Dral</w:t>
      </w:r>
      <w:proofErr w:type="spellEnd"/>
      <w:r w:rsidRPr="00803DB0">
        <w:rPr>
          <w:rFonts w:eastAsia="DejaVuSerifCondensed" w:cs="DejaVuSerifCondensed"/>
        </w:rPr>
        <w:t>.</w:t>
      </w:r>
      <w:r w:rsidRPr="00803DB0">
        <w:rPr>
          <w:rStyle w:val="Voetnootmarkering"/>
          <w:rFonts w:eastAsia="DejaVuSerifCondensed" w:cs="DejaVuSerifCondensed"/>
        </w:rPr>
        <w:footnoteReference w:id="3"/>
      </w:r>
      <w:r w:rsidRPr="00803DB0">
        <w:rPr>
          <w:rFonts w:eastAsia="DejaVuSerifCondensed" w:cs="DejaVuSerifCondensed"/>
        </w:rPr>
        <w:t xml:space="preserve"> Daarnaast is mijn inzet erop gericht om in het aangekondigde wetstraject op het gebied van kansspelen op afstand aanvullende instrumenten te scheppen, waarmee de </w:t>
      </w:r>
      <w:proofErr w:type="spellStart"/>
      <w:r w:rsidRPr="00803DB0">
        <w:rPr>
          <w:rFonts w:eastAsia="DejaVuSerifCondensed" w:cs="DejaVuSerifCondensed"/>
        </w:rPr>
        <w:t>Ksa</w:t>
      </w:r>
      <w:proofErr w:type="spellEnd"/>
      <w:r w:rsidRPr="00803DB0">
        <w:rPr>
          <w:rFonts w:eastAsia="DejaVuSerifCondensed" w:cs="DejaVuSerifCondensed"/>
        </w:rPr>
        <w:t xml:space="preserve"> makkelijker en sneller partijen die illegaal aanbod faciliteren kan aanspreken en ervoor zorgen dat geen toegang tot illegaal aanbod meer wordt verleend. </w:t>
      </w:r>
    </w:p>
    <w:p w:rsidRPr="00803DB0" w:rsidR="003C15DB" w:rsidP="003C15DB" w:rsidRDefault="003C15DB" w14:paraId="493FCD91" w14:textId="77777777">
      <w:pPr>
        <w:autoSpaceDE w:val="0"/>
        <w:adjustRightInd w:val="0"/>
        <w:spacing w:line="240" w:lineRule="auto"/>
        <w:rPr>
          <w:rFonts w:eastAsia="DejaVuSerifCondensed" w:cs="DejaVuSerifCondensed"/>
        </w:rPr>
      </w:pPr>
    </w:p>
    <w:p w:rsidRPr="00803DB0" w:rsidR="003C15DB" w:rsidP="003C15DB" w:rsidRDefault="003C15DB" w14:paraId="2FBE1E3A"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7</w:t>
      </w:r>
    </w:p>
    <w:p w:rsidRPr="00803DB0" w:rsidR="003C15DB" w:rsidP="003C15DB" w:rsidRDefault="003C15DB" w14:paraId="2B9A55C9"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In hoeverre wordt een effectieve aanpak van reclame gericht op jongeren door illegale gokbedrijven gehinderd doordat dergelijke </w:t>
      </w:r>
      <w:proofErr w:type="spellStart"/>
      <w:r w:rsidRPr="00803DB0">
        <w:rPr>
          <w:rFonts w:eastAsia="DejaVuSerifCondensed" w:cs="DejaVuSerifCondensed"/>
          <w:b/>
          <w:bCs/>
        </w:rPr>
        <w:t>advertering</w:t>
      </w:r>
      <w:proofErr w:type="spellEnd"/>
      <w:r w:rsidRPr="00803DB0">
        <w:rPr>
          <w:rFonts w:eastAsia="DejaVuSerifCondensed" w:cs="DejaVuSerifCondensed"/>
          <w:b/>
          <w:bCs/>
        </w:rPr>
        <w:t xml:space="preserve"> via servers van </w:t>
      </w:r>
      <w:proofErr w:type="spellStart"/>
      <w:r w:rsidRPr="00803DB0">
        <w:rPr>
          <w:rFonts w:eastAsia="DejaVuSerifCondensed" w:cs="DejaVuSerifCondensed"/>
          <w:b/>
          <w:bCs/>
        </w:rPr>
        <w:lastRenderedPageBreak/>
        <w:t>Discord</w:t>
      </w:r>
      <w:proofErr w:type="spellEnd"/>
      <w:r w:rsidRPr="00803DB0">
        <w:rPr>
          <w:rFonts w:eastAsia="DejaVuSerifCondensed" w:cs="DejaVuSerifCondensed"/>
          <w:b/>
          <w:bCs/>
        </w:rPr>
        <w:t xml:space="preserve"> of Telegram plaats vindt? Welke maatregelen kunt u hierin nemen? In hoeverre is het mogelijk servers waarop illegaal geadverteerd wordt uit de lucht te halen?</w:t>
      </w:r>
    </w:p>
    <w:p w:rsidRPr="00803DB0" w:rsidR="003C15DB" w:rsidP="003C15DB" w:rsidRDefault="003C15DB" w14:paraId="5AD9DB22" w14:textId="77777777">
      <w:pPr>
        <w:autoSpaceDE w:val="0"/>
        <w:adjustRightInd w:val="0"/>
        <w:spacing w:line="240" w:lineRule="auto"/>
        <w:rPr>
          <w:rFonts w:eastAsia="DejaVuSerifCondensed" w:cs="DejaVuSerifCondensed"/>
        </w:rPr>
      </w:pPr>
    </w:p>
    <w:p w:rsidRPr="00803DB0" w:rsidR="003C15DB" w:rsidP="003C15DB" w:rsidRDefault="003C15DB" w14:paraId="72B87C64"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7</w:t>
      </w:r>
    </w:p>
    <w:p w:rsidRPr="00803DB0" w:rsidR="003C15DB" w:rsidP="003C15DB" w:rsidRDefault="003C15DB" w14:paraId="2A890EC0"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De aanpak van reclame voor illegaal kansspelaanbod vormt een belangrijk aandachtsgebied voor de </w:t>
      </w:r>
      <w:proofErr w:type="spellStart"/>
      <w:r w:rsidRPr="00803DB0">
        <w:rPr>
          <w:rFonts w:eastAsia="DejaVuSerifCondensed" w:cs="DejaVuSerifCondensed"/>
        </w:rPr>
        <w:t>Ksa</w:t>
      </w:r>
      <w:proofErr w:type="spellEnd"/>
      <w:r w:rsidRPr="00803DB0">
        <w:rPr>
          <w:rFonts w:eastAsia="DejaVuSerifCondensed" w:cs="DejaVuSerifCondensed"/>
        </w:rPr>
        <w:t xml:space="preserve">, dat zij samen met de Alliantiepartners actief oppakt. Zo wordt alle gesignaleerde illegale reclame bij de betreffende platforms door de </w:t>
      </w:r>
      <w:proofErr w:type="spellStart"/>
      <w:r w:rsidRPr="00803DB0">
        <w:rPr>
          <w:rFonts w:eastAsia="DejaVuSerifCondensed" w:cs="DejaVuSerifCondensed"/>
        </w:rPr>
        <w:t>Ksa</w:t>
      </w:r>
      <w:proofErr w:type="spellEnd"/>
      <w:r w:rsidRPr="00803DB0">
        <w:rPr>
          <w:rFonts w:eastAsia="DejaVuSerifCondensed" w:cs="DejaVuSerifCondensed"/>
        </w:rPr>
        <w:t xml:space="preserve"> gemeld, met als doel de zichtbaarheid van dit aanbod te verminderen. Daarnaast stimuleert de </w:t>
      </w:r>
      <w:proofErr w:type="spellStart"/>
      <w:r w:rsidRPr="00803DB0">
        <w:rPr>
          <w:rFonts w:eastAsia="DejaVuSerifCondensed" w:cs="DejaVuSerifCondensed"/>
        </w:rPr>
        <w:t>Ksa</w:t>
      </w:r>
      <w:proofErr w:type="spellEnd"/>
      <w:r w:rsidRPr="00803DB0">
        <w:rPr>
          <w:rFonts w:eastAsia="DejaVuSerifCondensed" w:cs="DejaVuSerifCondensed"/>
        </w:rPr>
        <w:t xml:space="preserve"> online platforms om illegale content proactief te weren van hun platforms. Tot slot verplicht de Digitale dienstenverordening  (DSA) online platforms om effectieve meldkanalen voor illegale content in te richten en kortdaad te reageren op meldingen van deze kanalen. De </w:t>
      </w:r>
      <w:proofErr w:type="spellStart"/>
      <w:r w:rsidRPr="00803DB0">
        <w:rPr>
          <w:rFonts w:eastAsia="DejaVuSerifCondensed" w:cs="DejaVuSerifCondensed"/>
        </w:rPr>
        <w:t>Ksa</w:t>
      </w:r>
      <w:proofErr w:type="spellEnd"/>
      <w:r w:rsidRPr="00803DB0">
        <w:rPr>
          <w:rFonts w:eastAsia="DejaVuSerifCondensed" w:cs="DejaVuSerifCondensed"/>
        </w:rPr>
        <w:t xml:space="preserve"> onderhoudt hierover intensief contact met de Autoriteit Consument en Markt (ACM), de aangewezen toezichthouder op de DSA. De DSA biedt ook de mogelijkheid om een ‘</w:t>
      </w:r>
      <w:proofErr w:type="spellStart"/>
      <w:r w:rsidRPr="00803DB0">
        <w:rPr>
          <w:rFonts w:eastAsia="DejaVuSerifCondensed" w:cs="DejaVuSerifCondensed"/>
        </w:rPr>
        <w:t>trusted</w:t>
      </w:r>
      <w:proofErr w:type="spellEnd"/>
      <w:r w:rsidRPr="00803DB0">
        <w:rPr>
          <w:rFonts w:eastAsia="DejaVuSerifCondensed" w:cs="DejaVuSerifCondensed"/>
        </w:rPr>
        <w:t xml:space="preserve"> </w:t>
      </w:r>
      <w:proofErr w:type="spellStart"/>
      <w:r w:rsidRPr="00803DB0">
        <w:rPr>
          <w:rFonts w:eastAsia="DejaVuSerifCondensed" w:cs="DejaVuSerifCondensed"/>
        </w:rPr>
        <w:t>flagger</w:t>
      </w:r>
      <w:proofErr w:type="spellEnd"/>
      <w:r w:rsidRPr="00803DB0">
        <w:rPr>
          <w:rFonts w:eastAsia="DejaVuSerifCondensed" w:cs="DejaVuSerifCondensed"/>
        </w:rPr>
        <w:t>’ aan te wijzen, wat de aanpak van illegale gokcontent online verder kan versterken.</w:t>
      </w:r>
      <w:r w:rsidRPr="00803DB0">
        <w:rPr>
          <w:rStyle w:val="Voetnootmarkering"/>
          <w:rFonts w:eastAsia="DejaVuSerifCondensed" w:cs="DejaVuSerifCondensed"/>
        </w:rPr>
        <w:footnoteReference w:id="4"/>
      </w:r>
      <w:r w:rsidRPr="00803DB0">
        <w:rPr>
          <w:rFonts w:eastAsia="DejaVuSerifCondensed" w:cs="DejaVuSerifCondensed"/>
        </w:rPr>
        <w:t xml:space="preserve"> De </w:t>
      </w:r>
      <w:proofErr w:type="spellStart"/>
      <w:r w:rsidRPr="00803DB0">
        <w:rPr>
          <w:rFonts w:eastAsia="DejaVuSerifCondensed" w:cs="DejaVuSerifCondensed"/>
        </w:rPr>
        <w:t>Ksa</w:t>
      </w:r>
      <w:proofErr w:type="spellEnd"/>
      <w:r w:rsidRPr="00803DB0">
        <w:rPr>
          <w:rFonts w:eastAsia="DejaVuSerifCondensed" w:cs="DejaVuSerifCondensed"/>
        </w:rPr>
        <w:t xml:space="preserve"> stimuleert organisaties om haar als toezichthouder de status van ‘</w:t>
      </w:r>
      <w:proofErr w:type="spellStart"/>
      <w:r w:rsidRPr="00803DB0">
        <w:rPr>
          <w:rFonts w:eastAsia="DejaVuSerifCondensed" w:cs="DejaVuSerifCondensed"/>
        </w:rPr>
        <w:t>trusted</w:t>
      </w:r>
      <w:proofErr w:type="spellEnd"/>
      <w:r w:rsidRPr="00803DB0">
        <w:rPr>
          <w:rFonts w:eastAsia="DejaVuSerifCondensed" w:cs="DejaVuSerifCondensed"/>
        </w:rPr>
        <w:t xml:space="preserve"> </w:t>
      </w:r>
      <w:proofErr w:type="spellStart"/>
      <w:r w:rsidRPr="00803DB0">
        <w:rPr>
          <w:rFonts w:eastAsia="DejaVuSerifCondensed" w:cs="DejaVuSerifCondensed"/>
        </w:rPr>
        <w:t>flagger</w:t>
      </w:r>
      <w:proofErr w:type="spellEnd"/>
      <w:r w:rsidRPr="00803DB0">
        <w:rPr>
          <w:rFonts w:eastAsia="DejaVuSerifCondensed" w:cs="DejaVuSerifCondensed"/>
        </w:rPr>
        <w:t xml:space="preserve">’ toe te kennen. Bij meerdere platforms is dit al het geval. </w:t>
      </w:r>
    </w:p>
    <w:p w:rsidRPr="00803DB0" w:rsidR="003C15DB" w:rsidP="003C15DB" w:rsidRDefault="003C15DB" w14:paraId="6707B07E" w14:textId="77777777">
      <w:pPr>
        <w:autoSpaceDE w:val="0"/>
        <w:adjustRightInd w:val="0"/>
        <w:spacing w:line="240" w:lineRule="auto"/>
        <w:rPr>
          <w:rFonts w:eastAsia="DejaVuSerifCondensed" w:cs="DejaVuSerifCondensed"/>
        </w:rPr>
      </w:pPr>
    </w:p>
    <w:p w:rsidRPr="00803DB0" w:rsidR="003C15DB" w:rsidP="003C15DB" w:rsidRDefault="003C15DB" w14:paraId="2D0ABC53"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In de praktijk is het voor de </w:t>
      </w:r>
      <w:proofErr w:type="spellStart"/>
      <w:r w:rsidRPr="00803DB0">
        <w:rPr>
          <w:rFonts w:eastAsia="DejaVuSerifCondensed" w:cs="DejaVuSerifCondensed"/>
        </w:rPr>
        <w:t>Ksa</w:t>
      </w:r>
      <w:proofErr w:type="spellEnd"/>
      <w:r w:rsidRPr="00803DB0">
        <w:rPr>
          <w:rFonts w:eastAsia="DejaVuSerifCondensed" w:cs="DejaVuSerifCondensed"/>
        </w:rPr>
        <w:t xml:space="preserve"> moelijker om toezicht te houden op besloten platforms. Om beter toezicht te kunnen houden op deze platforms kan het in antwoord 6 beschreven aanvullende wettelijke instrumentarium nodig zijn om effectiever te kunnen handhaven.</w:t>
      </w:r>
    </w:p>
    <w:p w:rsidRPr="00803DB0" w:rsidR="003C15DB" w:rsidP="003C15DB" w:rsidRDefault="003C15DB" w14:paraId="0FE77ADF" w14:textId="77777777">
      <w:pPr>
        <w:autoSpaceDE w:val="0"/>
        <w:adjustRightInd w:val="0"/>
        <w:spacing w:line="240" w:lineRule="auto"/>
        <w:rPr>
          <w:rFonts w:eastAsia="DejaVuSerifCondensed" w:cs="DejaVuSerifCondensed"/>
        </w:rPr>
      </w:pPr>
    </w:p>
    <w:p w:rsidRPr="00803DB0" w:rsidR="003C15DB" w:rsidP="003C15DB" w:rsidRDefault="003C15DB" w14:paraId="3E6171C3"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8</w:t>
      </w:r>
    </w:p>
    <w:p w:rsidRPr="00803DB0" w:rsidR="003C15DB" w:rsidP="003C15DB" w:rsidRDefault="003C15DB" w14:paraId="3B561AE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Hoe luidt uw reactie op de bevinding van onderzoeksbureau </w:t>
      </w:r>
      <w:proofErr w:type="spellStart"/>
      <w:r w:rsidRPr="00803DB0">
        <w:rPr>
          <w:rFonts w:eastAsia="DejaVuSerifCondensed" w:cs="DejaVuSerifCondensed"/>
          <w:b/>
          <w:bCs/>
        </w:rPr>
        <w:t>Ipsos</w:t>
      </w:r>
      <w:proofErr w:type="spellEnd"/>
      <w:r w:rsidRPr="00803DB0">
        <w:rPr>
          <w:rFonts w:eastAsia="DejaVuSerifCondensed" w:cs="DejaVuSerifCondensed"/>
          <w:b/>
          <w:bCs/>
        </w:rPr>
        <w:t xml:space="preserve"> dat het percentage Nederlandse jongeren van 16- en 17 jaar dat online gokt gestegen is naar 20 procent ligt? Deelt u de mening dat dit een schrikbarend hoog aandeel is? Welke maatregelen gaat u nemen om dit percentage terug te dringen?</w:t>
      </w:r>
    </w:p>
    <w:p w:rsidRPr="00803DB0" w:rsidR="003C15DB" w:rsidP="003C15DB" w:rsidRDefault="003C15DB" w14:paraId="71523028" w14:textId="77777777">
      <w:pPr>
        <w:autoSpaceDE w:val="0"/>
        <w:adjustRightInd w:val="0"/>
        <w:spacing w:line="240" w:lineRule="auto"/>
        <w:rPr>
          <w:rFonts w:eastAsia="DejaVuSerifCondensed" w:cs="DejaVuSerifCondensed"/>
        </w:rPr>
      </w:pPr>
    </w:p>
    <w:p w:rsidRPr="00803DB0" w:rsidR="003C15DB" w:rsidP="003C15DB" w:rsidRDefault="003C15DB" w14:paraId="790E697C"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8</w:t>
      </w:r>
    </w:p>
    <w:p w:rsidRPr="00803DB0" w:rsidR="003C15DB" w:rsidP="003C15DB" w:rsidRDefault="003C15DB" w14:paraId="38F1BD19"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De in het onderzoek van </w:t>
      </w:r>
      <w:proofErr w:type="spellStart"/>
      <w:r w:rsidRPr="00803DB0">
        <w:rPr>
          <w:rFonts w:eastAsia="DejaVuSerifCondensed" w:cs="DejaVuSerifCondensed"/>
        </w:rPr>
        <w:t>Ipsos</w:t>
      </w:r>
      <w:proofErr w:type="spellEnd"/>
      <w:r w:rsidRPr="00803DB0">
        <w:rPr>
          <w:rFonts w:eastAsia="DejaVuSerifCondensed" w:cs="DejaVuSerifCondensed"/>
        </w:rPr>
        <w:t xml:space="preserve"> I&amp;O geconstateerde stijging van het percentage van zestien- en zeventienjarigen dat online gokt van twaalf naar twintig procent vind ik zeer zorgwekkend.</w:t>
      </w:r>
      <w:r w:rsidRPr="00803DB0">
        <w:rPr>
          <w:rStyle w:val="Voetnootmarkering"/>
          <w:rFonts w:eastAsia="DejaVuSerifCondensed" w:cs="DejaVuSerifCondensed"/>
        </w:rPr>
        <w:footnoteReference w:id="5"/>
      </w:r>
      <w:r w:rsidRPr="00803DB0">
        <w:rPr>
          <w:rFonts w:eastAsia="DejaVuSerifCondensed" w:cs="DejaVuSerifCondensed"/>
        </w:rPr>
        <w:t xml:space="preserve"> Het is niet duidelijk of deze jongeren illegaal hebben gegokt, of het speelaccount van een meerderjarig persoon hebben gebruikt, of dat zij de strenge identificatieplicht die bij legaal aanbod geldt hebben kunnen omzeilen. Zoals in het antwoord op vraag 1 aangegeven, wordt hier momenteel onderzoek naar </w:t>
      </w:r>
      <w:r w:rsidRPr="00803DB0">
        <w:rPr>
          <w:rFonts w:eastAsia="DejaVuSerifCondensed" w:cs="DejaVuSerifCondensed"/>
        </w:rPr>
        <w:lastRenderedPageBreak/>
        <w:t xml:space="preserve">gedaan. Zoals aangegeven in het antwoord op vraag 1 en vraag 6, treffen de </w:t>
      </w:r>
      <w:proofErr w:type="spellStart"/>
      <w:r w:rsidRPr="00803DB0">
        <w:rPr>
          <w:rFonts w:eastAsia="DejaVuSerifCondensed" w:cs="DejaVuSerifCondensed"/>
        </w:rPr>
        <w:t>Ksa</w:t>
      </w:r>
      <w:proofErr w:type="spellEnd"/>
      <w:r w:rsidRPr="00803DB0">
        <w:rPr>
          <w:rFonts w:eastAsia="DejaVuSerifCondensed" w:cs="DejaVuSerifCondensed"/>
        </w:rPr>
        <w:t xml:space="preserve"> en ik maatregelen om gokschade te voorkomen en illegaal aanbod en deelname daaraan tegen te gaan. </w:t>
      </w:r>
    </w:p>
    <w:p w:rsidRPr="00803DB0" w:rsidR="003C15DB" w:rsidP="003C15DB" w:rsidRDefault="003C15DB" w14:paraId="2CF03615" w14:textId="77777777">
      <w:pPr>
        <w:autoSpaceDE w:val="0"/>
        <w:adjustRightInd w:val="0"/>
        <w:spacing w:line="240" w:lineRule="auto"/>
        <w:rPr>
          <w:rFonts w:eastAsia="DejaVuSerifCondensed" w:cs="DejaVuSerifCondensed"/>
        </w:rPr>
      </w:pPr>
    </w:p>
    <w:p w:rsidRPr="00803DB0" w:rsidR="003C15DB" w:rsidP="003C15DB" w:rsidRDefault="003C15DB" w14:paraId="1657A0D8"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9</w:t>
      </w:r>
    </w:p>
    <w:p w:rsidRPr="00803DB0" w:rsidR="003C15DB" w:rsidP="003C15DB" w:rsidRDefault="003C15DB" w14:paraId="3AC2307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Op welke wijze gaat u jongeren die verslaafd zijn geraakt aan online gokken ondersteuning bieden? Wat is uw boodschap aan jongeren die in voorkomende gevallen veel geld zijn kwijtgeraakt door het online gokken bij illegale aanbieders? Hoe gaat u voorkomen dat nog meer jongeren verslaafd raken?</w:t>
      </w:r>
    </w:p>
    <w:p w:rsidRPr="00803DB0" w:rsidR="003C15DB" w:rsidP="003C15DB" w:rsidRDefault="003C15DB" w14:paraId="46C9652C" w14:textId="77777777">
      <w:pPr>
        <w:autoSpaceDE w:val="0"/>
        <w:adjustRightInd w:val="0"/>
        <w:spacing w:line="240" w:lineRule="auto"/>
        <w:rPr>
          <w:rFonts w:eastAsia="DejaVuSerifCondensed" w:cs="DejaVuSerifCondensed"/>
        </w:rPr>
      </w:pPr>
    </w:p>
    <w:p w:rsidRPr="00803DB0" w:rsidR="003C15DB" w:rsidP="003C15DB" w:rsidRDefault="003C15DB" w14:paraId="373B281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9</w:t>
      </w:r>
    </w:p>
    <w:p w:rsidRPr="00803DB0" w:rsidR="003C15DB" w:rsidP="003C15DB" w:rsidRDefault="003C15DB" w14:paraId="737D0145"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Voor jongeren die problemen hebben door gokken of zelfs verslaafd zijn geraakt aan gokken is hulp en zorg beschikbaar. Onder andere via Openovergokken.nl, een initiatief van de </w:t>
      </w:r>
      <w:proofErr w:type="spellStart"/>
      <w:r w:rsidRPr="00803DB0">
        <w:rPr>
          <w:rFonts w:eastAsia="DejaVuSerifCondensed" w:cs="DejaVuSerifCondensed"/>
        </w:rPr>
        <w:t>Ksa</w:t>
      </w:r>
      <w:proofErr w:type="spellEnd"/>
      <w:r w:rsidRPr="00803DB0">
        <w:rPr>
          <w:rFonts w:eastAsia="DejaVuSerifCondensed" w:cs="DejaVuSerifCondensed"/>
        </w:rPr>
        <w:t>, is hulp te vinden. Het is daarnaast van groot belang om te voorkomen dat jongeren in de problemen raken door gokken. In mijn antwoord op vraag 1 heb ik uiteengezet hoe ik inzet op betere bescherming van jongvolwassenen en minderjarigen.</w:t>
      </w:r>
    </w:p>
    <w:p w:rsidRPr="00803DB0" w:rsidR="003C15DB" w:rsidP="003C15DB" w:rsidRDefault="003C15DB" w14:paraId="1DA69FE4" w14:textId="77777777">
      <w:pPr>
        <w:autoSpaceDE w:val="0"/>
        <w:adjustRightInd w:val="0"/>
        <w:spacing w:line="240" w:lineRule="auto"/>
        <w:rPr>
          <w:rFonts w:eastAsia="DejaVuSerifCondensed" w:cs="DejaVuSerifCondensed"/>
        </w:rPr>
      </w:pPr>
    </w:p>
    <w:p w:rsidRPr="00803DB0" w:rsidR="003C15DB" w:rsidP="003C15DB" w:rsidRDefault="003C15DB" w14:paraId="1C50AFFE"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10</w:t>
      </w:r>
    </w:p>
    <w:p w:rsidRPr="00803DB0" w:rsidR="003C15DB" w:rsidP="003C15DB" w:rsidRDefault="003C15DB" w14:paraId="5E7C65A9"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Hoe luidt uw reactie op de constatering dat van de 56 miljoen euro aan boetes die de kansspelautoriteit uitschreef aan illegale casino's, minder dan drie procent is betaald? Hoe kunt u dit verklaren?  Welke actie gaat u ondernemen om deze boetes te innen?</w:t>
      </w:r>
    </w:p>
    <w:p w:rsidRPr="00803DB0" w:rsidR="003C15DB" w:rsidP="003C15DB" w:rsidRDefault="003C15DB" w14:paraId="6554DBAF" w14:textId="77777777">
      <w:pPr>
        <w:autoSpaceDE w:val="0"/>
        <w:adjustRightInd w:val="0"/>
        <w:spacing w:line="240" w:lineRule="auto"/>
        <w:rPr>
          <w:rFonts w:eastAsia="DejaVuSerifCondensed" w:cs="DejaVuSerifCondensed"/>
        </w:rPr>
      </w:pPr>
    </w:p>
    <w:p w:rsidRPr="00803DB0" w:rsidR="003C15DB" w:rsidP="003C15DB" w:rsidRDefault="003C15DB" w14:paraId="037CB9DF"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10</w:t>
      </w:r>
    </w:p>
    <w:p w:rsidRPr="00803DB0" w:rsidR="003C15DB" w:rsidP="003C15DB" w:rsidRDefault="003C15DB" w14:paraId="62F345B3"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Zoals ik in mijn antwoorden op Kamervragen van het lid Boswijk (CDA) heb aangegeven, is het onacceptabel dat illegale aanbieders hun betalingsverplichtingen met betrekking tot de door de </w:t>
      </w:r>
      <w:proofErr w:type="spellStart"/>
      <w:r w:rsidRPr="00803DB0">
        <w:rPr>
          <w:rFonts w:eastAsia="DejaVuSerifCondensed" w:cs="DejaVuSerifCondensed"/>
        </w:rPr>
        <w:t>Ksa</w:t>
      </w:r>
      <w:proofErr w:type="spellEnd"/>
      <w:r w:rsidRPr="00803DB0">
        <w:rPr>
          <w:rFonts w:eastAsia="DejaVuSerifCondensed" w:cs="DejaVuSerifCondensed"/>
        </w:rPr>
        <w:t xml:space="preserve"> opgelegde boetes niet nakomen.</w:t>
      </w:r>
      <w:r w:rsidRPr="00803DB0">
        <w:rPr>
          <w:rStyle w:val="Voetnootmarkering"/>
          <w:rFonts w:eastAsia="DejaVuSerifCondensed" w:cs="DejaVuSerifCondensed"/>
        </w:rPr>
        <w:footnoteReference w:id="6"/>
      </w:r>
      <w:r w:rsidRPr="00803DB0">
        <w:rPr>
          <w:rFonts w:eastAsia="DejaVuSerifCondensed" w:cs="DejaVuSerifCondensed"/>
        </w:rPr>
        <w:t xml:space="preserve"> Het is in de praktijk echter lastig om met boetes het illegale aanbod effectief te bestrijden. Deze boetes kunnen namelijk vaak niet worden geïnd vanwege complexe juridische constructies en/of vestiging van de illegale aanbieder in een land waar Nederland geen internationale afspraken mee heeft. Daarom zet de </w:t>
      </w:r>
      <w:proofErr w:type="spellStart"/>
      <w:r w:rsidRPr="00803DB0">
        <w:rPr>
          <w:rFonts w:eastAsia="DejaVuSerifCondensed" w:cs="DejaVuSerifCondensed"/>
        </w:rPr>
        <w:t>Ksa</w:t>
      </w:r>
      <w:proofErr w:type="spellEnd"/>
      <w:r w:rsidRPr="00803DB0">
        <w:rPr>
          <w:rFonts w:eastAsia="DejaVuSerifCondensed" w:cs="DejaVuSerifCondensed"/>
        </w:rPr>
        <w:t xml:space="preserve"> deurwaarders in om alsnog onbetaalde boetes ingevorderd te krijgen en richt de </w:t>
      </w:r>
      <w:proofErr w:type="spellStart"/>
      <w:r w:rsidRPr="00803DB0">
        <w:rPr>
          <w:rFonts w:eastAsia="DejaVuSerifCondensed" w:cs="DejaVuSerifCondensed"/>
        </w:rPr>
        <w:t>Ksa</w:t>
      </w:r>
      <w:proofErr w:type="spellEnd"/>
      <w:r w:rsidRPr="00803DB0">
        <w:rPr>
          <w:rFonts w:eastAsia="DejaVuSerifCondensed" w:cs="DejaVuSerifCondensed"/>
        </w:rPr>
        <w:t xml:space="preserve"> zich niet alleen op de aanbieder zelf, maar ook op de infrastructuur die illegale online aanbieders gebruiken zoals beschreven in het antwoord op vraag 6.</w:t>
      </w:r>
    </w:p>
    <w:p w:rsidRPr="00803DB0" w:rsidR="003C15DB" w:rsidP="003C15DB" w:rsidRDefault="003C15DB" w14:paraId="29C5CBE1" w14:textId="77777777">
      <w:pPr>
        <w:autoSpaceDE w:val="0"/>
        <w:adjustRightInd w:val="0"/>
        <w:spacing w:line="240" w:lineRule="auto"/>
        <w:rPr>
          <w:rFonts w:eastAsia="DejaVuSerifCondensed" w:cs="DejaVuSerifCondensed"/>
        </w:rPr>
      </w:pPr>
    </w:p>
    <w:p w:rsidRPr="00803DB0" w:rsidR="003C15DB" w:rsidP="003C15DB" w:rsidRDefault="003C15DB" w14:paraId="242B4723"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lastRenderedPageBreak/>
        <w:t>Vraag 11</w:t>
      </w:r>
    </w:p>
    <w:p w:rsidRPr="00803DB0" w:rsidR="003C15DB" w:rsidP="003C15DB" w:rsidRDefault="003C15DB" w14:paraId="2B54DFBC"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Hoe beoordeelt u de stelling van de Nederlandse vereniging van Banken dat “jongeren bij illegale casino's [vaak storten] met cryptovaluta of cadeaubonnen. Het gaat hier om buitenlandse bedrijven. Dit moet op EU-niveau worden bestreden”?  Bent u bereid zich op Europees niveau in te spannen om deze praktijken te bestrijden? Zo ja, hoe? Welke regelgeving dient daarvoor gewijzigd te worden?</w:t>
      </w:r>
    </w:p>
    <w:p w:rsidRPr="00803DB0" w:rsidR="003C15DB" w:rsidP="003C15DB" w:rsidRDefault="003C15DB" w14:paraId="7217F6DA" w14:textId="77777777">
      <w:pPr>
        <w:autoSpaceDE w:val="0"/>
        <w:adjustRightInd w:val="0"/>
        <w:spacing w:line="240" w:lineRule="auto"/>
        <w:rPr>
          <w:rFonts w:eastAsia="DejaVuSerifCondensed" w:cs="DejaVuSerifCondensed"/>
        </w:rPr>
      </w:pPr>
    </w:p>
    <w:p w:rsidRPr="00803DB0" w:rsidR="003C15DB" w:rsidP="003C15DB" w:rsidRDefault="003C15DB" w14:paraId="1C65F4F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11</w:t>
      </w:r>
    </w:p>
    <w:p w:rsidRPr="00803DB0" w:rsidR="003C15DB" w:rsidP="003C15DB" w:rsidRDefault="003C15DB" w14:paraId="0E72A330"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Het is mij bekend dat betalingen met cryptovaluta en cadeaukaarten bij sommige illegale partijen mogelijk zijn. Het aanbieden van kansspelen zonder vergunning is in Nederland verboden, ongeacht welke betaalmiddelen daarvoor worden aangeboden. Het illegaal aanbod wordt daarom aangepakt ongeacht de vraag of de betaalmiddelen zelf zijn toegestaan of niet. Om dit effectiever te kunnen doen is ook samenwerking benodigd met andere Europese lidstaten. Ten aanzien van kansspelen is er nog geen Europees wettelijk kader. Daarom zetten zowel de </w:t>
      </w:r>
      <w:proofErr w:type="spellStart"/>
      <w:r w:rsidRPr="00803DB0">
        <w:rPr>
          <w:rFonts w:eastAsia="DejaVuSerifCondensed" w:cs="DejaVuSerifCondensed"/>
        </w:rPr>
        <w:t>Ksa</w:t>
      </w:r>
      <w:proofErr w:type="spellEnd"/>
      <w:r w:rsidRPr="00803DB0">
        <w:rPr>
          <w:rFonts w:eastAsia="DejaVuSerifCondensed" w:cs="DejaVuSerifCondensed"/>
        </w:rPr>
        <w:t xml:space="preserve"> als ik ons in voor het creëren van Europese samenwerking op dit gebied. </w:t>
      </w:r>
    </w:p>
    <w:p w:rsidRPr="00803DB0" w:rsidR="003C15DB" w:rsidP="003C15DB" w:rsidRDefault="003C15DB" w14:paraId="5EEB0F8C" w14:textId="77777777">
      <w:pPr>
        <w:autoSpaceDE w:val="0"/>
        <w:adjustRightInd w:val="0"/>
        <w:spacing w:line="240" w:lineRule="auto"/>
        <w:rPr>
          <w:rFonts w:eastAsia="DejaVuSerifCondensed" w:cs="DejaVuSerifCondensed"/>
        </w:rPr>
      </w:pPr>
    </w:p>
    <w:p w:rsidRPr="00803DB0" w:rsidR="003C15DB" w:rsidP="003C15DB" w:rsidRDefault="003C15DB" w14:paraId="7AC06704"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12</w:t>
      </w:r>
    </w:p>
    <w:p w:rsidRPr="00803DB0" w:rsidR="003C15DB" w:rsidP="003C15DB" w:rsidRDefault="003C15DB" w14:paraId="423CF9A4"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Wat is er nog extra nodig in de reclameregelgeving zodat illegale gokadvertenties niet bij minderjarigen terechtkomen?</w:t>
      </w:r>
    </w:p>
    <w:p w:rsidRPr="00803DB0" w:rsidR="003C15DB" w:rsidP="003C15DB" w:rsidRDefault="003C15DB" w14:paraId="3841E5B7" w14:textId="77777777">
      <w:pPr>
        <w:autoSpaceDE w:val="0"/>
        <w:adjustRightInd w:val="0"/>
        <w:spacing w:line="240" w:lineRule="auto"/>
        <w:rPr>
          <w:rFonts w:eastAsia="DejaVuSerifCondensed" w:cs="DejaVuSerifCondensed"/>
        </w:rPr>
      </w:pPr>
    </w:p>
    <w:p w:rsidRPr="00803DB0" w:rsidR="003C15DB" w:rsidP="003C15DB" w:rsidRDefault="003C15DB" w14:paraId="53166EDA"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opvraag 12</w:t>
      </w:r>
    </w:p>
    <w:p w:rsidRPr="00803DB0" w:rsidR="003C15DB" w:rsidP="003C15DB" w:rsidRDefault="003C15DB" w14:paraId="1EA78514"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De reclameregelgeving voor kansspelen heeft betrekking op de vergunde aanbieders. Illegaal aanbod is verboden en daarmee is ook alle reclame voor dit aanbod verboden. Zoals ik heb aangegeven in mijn antwoord op vraag 6, vind ik het onacceptabel dat reclame voor illegaal aanbod mogelijk is en in het bijzonder dat deze reclame bij minderjarigen terecht komt. In dat antwoord ben ik ook ingegaan op de maatregelen waar ik op inzet.  </w:t>
      </w:r>
    </w:p>
    <w:p w:rsidRPr="00803DB0" w:rsidR="003C15DB" w:rsidP="003C15DB" w:rsidRDefault="003C15DB" w14:paraId="1BA9089D" w14:textId="77777777">
      <w:pPr>
        <w:autoSpaceDE w:val="0"/>
        <w:adjustRightInd w:val="0"/>
        <w:spacing w:line="240" w:lineRule="auto"/>
        <w:rPr>
          <w:rFonts w:eastAsia="DejaVuSerifCondensed" w:cs="DejaVuSerifCondensed"/>
        </w:rPr>
      </w:pPr>
    </w:p>
    <w:p w:rsidRPr="00803DB0" w:rsidR="003C15DB" w:rsidP="003C15DB" w:rsidRDefault="003C15DB" w14:paraId="3EBC394A"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13</w:t>
      </w:r>
    </w:p>
    <w:p w:rsidRPr="00803DB0" w:rsidR="003C15DB" w:rsidP="003C15DB" w:rsidRDefault="003C15DB" w14:paraId="55EEA5F2"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Bent u bereid de kansspelautoriteit als toezichthouder bevoegdheden te geven om illegale casinosites zelf offline te halen? Zo ja, hoe snel realiseert u dat? Zo nee, waarom niet?</w:t>
      </w:r>
    </w:p>
    <w:p w:rsidRPr="00803DB0" w:rsidR="003C15DB" w:rsidP="003C15DB" w:rsidRDefault="003C15DB" w14:paraId="3F611B7E" w14:textId="77777777">
      <w:pPr>
        <w:autoSpaceDE w:val="0"/>
        <w:adjustRightInd w:val="0"/>
        <w:spacing w:line="240" w:lineRule="auto"/>
        <w:rPr>
          <w:rFonts w:eastAsia="DejaVuSerifCondensed" w:cs="DejaVuSerifCondensed"/>
          <w:b/>
          <w:bCs/>
        </w:rPr>
      </w:pPr>
    </w:p>
    <w:p w:rsidRPr="00803DB0" w:rsidR="003C15DB" w:rsidP="003C15DB" w:rsidRDefault="003C15DB" w14:paraId="0B687DCE"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13</w:t>
      </w:r>
    </w:p>
    <w:p w:rsidRPr="00803DB0" w:rsidR="003C15DB" w:rsidP="003C15DB" w:rsidRDefault="003C15DB" w14:paraId="42AEF0D2" w14:textId="77777777">
      <w:pPr>
        <w:autoSpaceDE w:val="0"/>
        <w:adjustRightInd w:val="0"/>
        <w:spacing w:line="240" w:lineRule="auto"/>
        <w:rPr>
          <w:rFonts w:eastAsia="DejaVuSerifCondensed" w:cs="DejaVuSerifCondensed"/>
        </w:rPr>
      </w:pPr>
      <w:r w:rsidRPr="00803DB0">
        <w:rPr>
          <w:rFonts w:eastAsia="DejaVuSerifCondensed" w:cs="DejaVuSerifCondensed"/>
        </w:rPr>
        <w:lastRenderedPageBreak/>
        <w:t xml:space="preserve">Ja, ik onderzoek op dit moment op welke wijze de </w:t>
      </w:r>
      <w:proofErr w:type="spellStart"/>
      <w:r w:rsidRPr="00803DB0">
        <w:rPr>
          <w:rFonts w:eastAsia="DejaVuSerifCondensed" w:cs="DejaVuSerifCondensed"/>
        </w:rPr>
        <w:t>Ksa</w:t>
      </w:r>
      <w:proofErr w:type="spellEnd"/>
      <w:r w:rsidRPr="00803DB0">
        <w:rPr>
          <w:rFonts w:eastAsia="DejaVuSerifCondensed" w:cs="DejaVuSerifCondensed"/>
        </w:rPr>
        <w:t xml:space="preserve"> de mogelijkheid kan krijgen om websites snel op zwart te zetten. Ik kijk momenteel op welke manier dit juridisch en technisch mogelijk kan worden gemaakt. De beste optie hiervoor neem ik mee in het wetsvoorstel voor verbeteringen rond kansspelen op afstand dat ik in 2026 in consultatie wil brengen.  </w:t>
      </w:r>
    </w:p>
    <w:p w:rsidRPr="00803DB0" w:rsidR="003C15DB" w:rsidP="003C15DB" w:rsidRDefault="003C15DB" w14:paraId="4C598FD7" w14:textId="77777777">
      <w:pPr>
        <w:autoSpaceDE w:val="0"/>
        <w:adjustRightInd w:val="0"/>
        <w:spacing w:line="240" w:lineRule="auto"/>
        <w:rPr>
          <w:rFonts w:eastAsia="DejaVuSerifCondensed" w:cs="DejaVuSerifCondensed"/>
        </w:rPr>
      </w:pPr>
    </w:p>
    <w:p w:rsidRPr="00803DB0" w:rsidR="003C15DB" w:rsidP="003C15DB" w:rsidRDefault="003C15DB" w14:paraId="22F005FF"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14</w:t>
      </w:r>
    </w:p>
    <w:p w:rsidRPr="00803DB0" w:rsidR="003C15DB" w:rsidP="003C15DB" w:rsidRDefault="003C15DB" w14:paraId="6D22C7C6" w14:textId="77777777">
      <w:pPr>
        <w:autoSpaceDE w:val="0"/>
        <w:adjustRightInd w:val="0"/>
        <w:spacing w:line="240" w:lineRule="auto"/>
        <w:rPr>
          <w:rFonts w:eastAsia="DejaVuSerifCondensed" w:cs="DejaVuSerifCondensed"/>
        </w:rPr>
      </w:pPr>
      <w:r w:rsidRPr="00803DB0">
        <w:rPr>
          <w:rFonts w:eastAsia="DejaVuSerifCondensed" w:cs="DejaVuSerifCondensed"/>
          <w:b/>
          <w:bCs/>
        </w:rPr>
        <w:t>Wilt u uw steun aan de “Alliantie voor het Bestrijden van Illegale Online Kansspelen”? Hoe luidt uw reactie op de opmerking dat “Er op dit moment geen kabinet [is] om zich hier over te buigen; op korte termijn zoeken we met</w:t>
      </w:r>
      <w:r w:rsidRPr="00803DB0">
        <w:rPr>
          <w:rFonts w:eastAsia="DejaVuSerifCondensed" w:cs="DejaVuSerifCondensed"/>
        </w:rPr>
        <w:t xml:space="preserve"> </w:t>
      </w:r>
      <w:r w:rsidRPr="00803DB0">
        <w:rPr>
          <w:rFonts w:eastAsia="DejaVuSerifCondensed" w:cs="DejaVuSerifCondensed"/>
          <w:b/>
          <w:bCs/>
        </w:rPr>
        <w:t>ketenpartners naar oplossingen.” Bent u bereid zo spoedig mogelijk te gaan participeren in deze alliantie?</w:t>
      </w:r>
    </w:p>
    <w:p w:rsidRPr="00803DB0" w:rsidR="003C15DB" w:rsidP="003C15DB" w:rsidRDefault="003C15DB" w14:paraId="6A56E359" w14:textId="77777777">
      <w:pPr>
        <w:autoSpaceDE w:val="0"/>
        <w:adjustRightInd w:val="0"/>
        <w:spacing w:line="240" w:lineRule="auto"/>
        <w:rPr>
          <w:rFonts w:eastAsia="DejaVuSerifCondensed" w:cs="DejaVuSerifCondensed"/>
        </w:rPr>
      </w:pPr>
    </w:p>
    <w:p w:rsidRPr="00803DB0" w:rsidR="003C15DB" w:rsidP="003C15DB" w:rsidRDefault="003C15DB" w14:paraId="225CC73E"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14</w:t>
      </w:r>
    </w:p>
    <w:p w:rsidRPr="00803DB0" w:rsidR="003C15DB" w:rsidP="003C15DB" w:rsidRDefault="003C15DB" w14:paraId="5C545D4E"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Ik ben er voorstander van om in de aanpak van illegaal aanbod samenwerking met andere partijen te zoeken en te kijken op welke wijze, naast aanpassingen van wet- en regelgeving, illegaal aanbod bestreden kan worden. De </w:t>
      </w:r>
      <w:proofErr w:type="spellStart"/>
      <w:r w:rsidRPr="00803DB0">
        <w:rPr>
          <w:rFonts w:eastAsia="DejaVuSerifCondensed" w:cs="DejaVuSerifCondensed"/>
        </w:rPr>
        <w:t>Ksa</w:t>
      </w:r>
      <w:proofErr w:type="spellEnd"/>
      <w:r w:rsidRPr="00803DB0">
        <w:rPr>
          <w:rFonts w:eastAsia="DejaVuSerifCondensed" w:cs="DejaVuSerifCondensed"/>
        </w:rPr>
        <w:t xml:space="preserve"> is de onafhankelijke toezichthouder op de kansspelsector. Ik vind het logisch dat de </w:t>
      </w:r>
      <w:proofErr w:type="spellStart"/>
      <w:r w:rsidRPr="00803DB0">
        <w:rPr>
          <w:rFonts w:eastAsia="DejaVuSerifCondensed" w:cs="DejaVuSerifCondensed"/>
        </w:rPr>
        <w:t>Ksa</w:t>
      </w:r>
      <w:proofErr w:type="spellEnd"/>
      <w:r w:rsidRPr="00803DB0">
        <w:rPr>
          <w:rFonts w:eastAsia="DejaVuSerifCondensed" w:cs="DejaVuSerifCondensed"/>
        </w:rPr>
        <w:t xml:space="preserve"> het initiatief heeft voor de Alliantie. In deze samenwerking wordt gekeken wat mogelijk is binnen de bestaande wet- en regelgeving en is daarmee niet afhankelijk van de status van het kabinet. Waar nodig wordt uiteraard vanuit het ministerie een bijdrage geleverd aan de aanpak die met de Alliantie wordt voorgestaan.</w:t>
      </w:r>
    </w:p>
    <w:p w:rsidRPr="00803DB0" w:rsidR="003C15DB" w:rsidP="003C15DB" w:rsidRDefault="003C15DB" w14:paraId="2B8C53A0" w14:textId="77777777">
      <w:pPr>
        <w:autoSpaceDE w:val="0"/>
        <w:adjustRightInd w:val="0"/>
        <w:spacing w:line="240" w:lineRule="auto"/>
        <w:rPr>
          <w:rFonts w:eastAsia="DejaVuSerifCondensed" w:cs="DejaVuSerifCondensed"/>
        </w:rPr>
      </w:pPr>
    </w:p>
    <w:p w:rsidRPr="00803DB0" w:rsidR="003C15DB" w:rsidP="003C15DB" w:rsidRDefault="003C15DB" w14:paraId="4170F63E"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Vraag 15</w:t>
      </w:r>
    </w:p>
    <w:p w:rsidRPr="00803DB0" w:rsidR="003C15DB" w:rsidP="003C15DB" w:rsidRDefault="003C15DB" w14:paraId="25A38F8D"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Op welke wijze beïnvloedt de voorliggende berichtgeving - en die van zoveel andere berichten en instanties die de noodklok luiden rondom (verslaving aan) online gokken - uw mening over dit onderwerp? Wanneer is de maat vol en gaat u de legalisering van online gokken terugdraaien?</w:t>
      </w:r>
    </w:p>
    <w:p w:rsidRPr="00803DB0" w:rsidR="003C15DB" w:rsidP="003C15DB" w:rsidRDefault="003C15DB" w14:paraId="0EC6E4B3" w14:textId="77777777">
      <w:pPr>
        <w:autoSpaceDE w:val="0"/>
        <w:adjustRightInd w:val="0"/>
        <w:spacing w:line="240" w:lineRule="auto"/>
        <w:rPr>
          <w:rFonts w:eastAsia="DejaVuSerifCondensed" w:cs="DejaVuSerifCondensed"/>
        </w:rPr>
      </w:pPr>
    </w:p>
    <w:p w:rsidRPr="00803DB0" w:rsidR="003C15DB" w:rsidP="003C15DB" w:rsidRDefault="003C15DB" w14:paraId="7F405DA6"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15</w:t>
      </w:r>
    </w:p>
    <w:p w:rsidRPr="00A229DB" w:rsidR="003C15DB" w:rsidP="003C15DB" w:rsidRDefault="003C15DB" w14:paraId="6355931A"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De verontrustende berichten over jongeren die online gokken en daardoor in de problemen raken vind ik zeer zorgwekkend. Dit is voor mij ook aanleiding om het ingezette wetstraject en de initiatieven daaromheen volop voort te zetten. Het terugdraaien van de legalisering vind ik echter niet de oplossing voor dit probleem en komt ook niet uit de evaluatie van de Wet </w:t>
      </w:r>
      <w:proofErr w:type="spellStart"/>
      <w:r w:rsidRPr="00803DB0">
        <w:rPr>
          <w:rFonts w:eastAsia="DejaVuSerifCondensed" w:cs="DejaVuSerifCondensed"/>
        </w:rPr>
        <w:t>koa</w:t>
      </w:r>
      <w:proofErr w:type="spellEnd"/>
      <w:r w:rsidRPr="00803DB0">
        <w:rPr>
          <w:rFonts w:eastAsia="DejaVuSerifCondensed" w:cs="DejaVuSerifCondensed"/>
        </w:rPr>
        <w:t xml:space="preserve"> naar voren. De evaluatie laat wel zien dat een fundamentele aanscherping van de wet- en regelgeving nodig is. Het is daarnaast juist van belang dat wordt ingezet op </w:t>
      </w:r>
      <w:proofErr w:type="spellStart"/>
      <w:r w:rsidRPr="00803DB0">
        <w:rPr>
          <w:rFonts w:eastAsia="DejaVuSerifCondensed" w:cs="DejaVuSerifCondensed"/>
        </w:rPr>
        <w:t>vroegsignalering</w:t>
      </w:r>
      <w:proofErr w:type="spellEnd"/>
      <w:r w:rsidRPr="00803DB0">
        <w:rPr>
          <w:rFonts w:eastAsia="DejaVuSerifCondensed" w:cs="DejaVuSerifCondensed"/>
        </w:rPr>
        <w:t xml:space="preserve"> van problemen en adequate interventies. Dat neemt niet weg dat de realiteit is dat het illegale aanbod nog altijd aanwezig is. Dit moet hard aangepakt worden. Zoals in bovenstaande antwoorden aangegeven is de aanpak van illegaal aanbod en partijen die illegaal </w:t>
      </w:r>
      <w:r w:rsidRPr="00803DB0">
        <w:rPr>
          <w:rFonts w:eastAsia="DejaVuSerifCondensed" w:cs="DejaVuSerifCondensed"/>
        </w:rPr>
        <w:lastRenderedPageBreak/>
        <w:t xml:space="preserve">aanbod faciliteren prioriteit voor mij, voor de </w:t>
      </w:r>
      <w:proofErr w:type="spellStart"/>
      <w:r w:rsidRPr="00803DB0">
        <w:rPr>
          <w:rFonts w:eastAsia="DejaVuSerifCondensed" w:cs="DejaVuSerifCondensed"/>
        </w:rPr>
        <w:t>Ksa</w:t>
      </w:r>
      <w:proofErr w:type="spellEnd"/>
      <w:r w:rsidRPr="00803DB0">
        <w:rPr>
          <w:rFonts w:eastAsia="DejaVuSerifCondensed" w:cs="DejaVuSerifCondensed"/>
        </w:rPr>
        <w:t xml:space="preserve"> en partners in de Alliantie.</w:t>
      </w:r>
      <w:r w:rsidRPr="00A229DB">
        <w:rPr>
          <w:rFonts w:eastAsia="DejaVuSerifCondensed" w:cs="DejaVuSerifCondensed"/>
        </w:rPr>
        <w:t xml:space="preserve"> </w:t>
      </w:r>
      <w:r w:rsidRPr="00A229DB">
        <w:rPr>
          <w:rFonts w:eastAsia="DejaVuSerifCondensed" w:cs="DejaVuSerifCondensed"/>
        </w:rPr>
        <w:br/>
      </w:r>
    </w:p>
    <w:p w:rsidRPr="00247DA5" w:rsidR="003C15DB" w:rsidP="003C15DB" w:rsidRDefault="003C15DB" w14:paraId="64F93891" w14:textId="77777777">
      <w:pPr>
        <w:autoSpaceDE w:val="0"/>
        <w:adjustRightInd w:val="0"/>
        <w:spacing w:line="240" w:lineRule="auto"/>
        <w:rPr>
          <w:rFonts w:eastAsia="DejaVuSerifCondensed" w:cs="DejaVuSerifCondensed"/>
        </w:rPr>
      </w:pPr>
    </w:p>
    <w:p w:rsidR="00FB6E8D" w:rsidRDefault="00FB6E8D" w14:paraId="47FBF0A3" w14:textId="77777777"/>
    <w:sectPr w:rsidR="00FB6E8D" w:rsidSect="003C15D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DBBD" w14:textId="77777777" w:rsidR="003C15DB" w:rsidRDefault="003C15DB" w:rsidP="003C15DB">
      <w:pPr>
        <w:spacing w:after="0" w:line="240" w:lineRule="auto"/>
      </w:pPr>
      <w:r>
        <w:separator/>
      </w:r>
    </w:p>
  </w:endnote>
  <w:endnote w:type="continuationSeparator" w:id="0">
    <w:p w14:paraId="5B9976E0" w14:textId="77777777" w:rsidR="003C15DB" w:rsidRDefault="003C15DB" w:rsidP="003C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F84" w14:textId="77777777" w:rsidR="003C15DB" w:rsidRPr="003C15DB" w:rsidRDefault="003C15DB" w:rsidP="003C15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8C18" w14:textId="77777777" w:rsidR="003C15DB" w:rsidRPr="003C15DB" w:rsidRDefault="003C15DB" w:rsidP="003C15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13B4" w14:textId="77777777" w:rsidR="003C15DB" w:rsidRPr="003C15DB" w:rsidRDefault="003C15DB" w:rsidP="003C15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5E91" w14:textId="77777777" w:rsidR="003C15DB" w:rsidRDefault="003C15DB" w:rsidP="003C15DB">
      <w:pPr>
        <w:spacing w:after="0" w:line="240" w:lineRule="auto"/>
      </w:pPr>
      <w:r>
        <w:separator/>
      </w:r>
    </w:p>
  </w:footnote>
  <w:footnote w:type="continuationSeparator" w:id="0">
    <w:p w14:paraId="13CF0442" w14:textId="77777777" w:rsidR="003C15DB" w:rsidRDefault="003C15DB" w:rsidP="003C15DB">
      <w:pPr>
        <w:spacing w:after="0" w:line="240" w:lineRule="auto"/>
      </w:pPr>
      <w:r>
        <w:continuationSeparator/>
      </w:r>
    </w:p>
  </w:footnote>
  <w:footnote w:id="1">
    <w:p w14:paraId="627B49B7" w14:textId="77777777" w:rsidR="003C15DB" w:rsidRPr="00A229DB" w:rsidRDefault="003C15DB" w:rsidP="003C15DB">
      <w:pPr>
        <w:pStyle w:val="Voetnoottekst"/>
        <w:rPr>
          <w:lang w:val="nl-NL"/>
        </w:rPr>
      </w:pPr>
      <w:r w:rsidRPr="00A229DB">
        <w:rPr>
          <w:rStyle w:val="Voetnootmarkering"/>
          <w:lang w:val="nl-NL"/>
        </w:rPr>
        <w:footnoteRef/>
      </w:r>
      <w:r w:rsidRPr="00A229DB">
        <w:rPr>
          <w:lang w:val="nl-NL"/>
        </w:rPr>
        <w:t xml:space="preserve"> </w:t>
      </w:r>
      <w:r w:rsidRPr="00A229DB">
        <w:rPr>
          <w:sz w:val="16"/>
          <w:szCs w:val="16"/>
          <w:lang w:val="nl-NL"/>
        </w:rPr>
        <w:t>Kamerstukken II, 2024/25, 24 557, nr. 245</w:t>
      </w:r>
    </w:p>
  </w:footnote>
  <w:footnote w:id="2">
    <w:p w14:paraId="2EC7CF38" w14:textId="77777777" w:rsidR="003C15DB" w:rsidRPr="00A229DB" w:rsidRDefault="003C15DB" w:rsidP="003C15DB">
      <w:pPr>
        <w:pStyle w:val="Voetnoottekst"/>
        <w:rPr>
          <w:lang w:val="nl-NL"/>
        </w:rPr>
      </w:pPr>
      <w:r w:rsidRPr="00A229DB">
        <w:rPr>
          <w:rStyle w:val="Voetnootmarkering"/>
          <w:lang w:val="nl-NL"/>
        </w:rPr>
        <w:footnoteRef/>
      </w:r>
      <w:r w:rsidRPr="00A229DB">
        <w:rPr>
          <w:lang w:val="nl-NL"/>
        </w:rPr>
        <w:t xml:space="preserve"> </w:t>
      </w:r>
      <w:r w:rsidRPr="00A229DB">
        <w:rPr>
          <w:sz w:val="16"/>
          <w:szCs w:val="16"/>
          <w:lang w:val="nl-NL"/>
        </w:rPr>
        <w:t>Bijlage bij: Kamerstukken II 2023/24, 24 557, nr. 219</w:t>
      </w:r>
    </w:p>
  </w:footnote>
  <w:footnote w:id="3">
    <w:p w14:paraId="426553BC" w14:textId="77777777" w:rsidR="003C15DB" w:rsidRPr="00841171" w:rsidRDefault="003C15DB" w:rsidP="003C15DB">
      <w:pPr>
        <w:pStyle w:val="Voetnoottekst"/>
      </w:pPr>
      <w:r w:rsidRPr="00A229DB">
        <w:rPr>
          <w:rStyle w:val="Voetnootmarkering"/>
          <w:lang w:val="nl-NL"/>
        </w:rPr>
        <w:footnoteRef/>
      </w:r>
      <w:r w:rsidRPr="00841171">
        <w:t xml:space="preserve"> </w:t>
      </w:r>
      <w:proofErr w:type="spellStart"/>
      <w:r w:rsidRPr="00841171">
        <w:rPr>
          <w:sz w:val="16"/>
          <w:szCs w:val="16"/>
        </w:rPr>
        <w:t>Kamerstukken</w:t>
      </w:r>
      <w:proofErr w:type="spellEnd"/>
      <w:r w:rsidRPr="00841171">
        <w:rPr>
          <w:sz w:val="16"/>
          <w:szCs w:val="16"/>
        </w:rPr>
        <w:t xml:space="preserve"> II 24 557, 2024/25, nr. 246</w:t>
      </w:r>
    </w:p>
  </w:footnote>
  <w:footnote w:id="4">
    <w:p w14:paraId="444A3C92" w14:textId="77777777" w:rsidR="003C15DB" w:rsidRPr="00841171" w:rsidRDefault="003C15DB" w:rsidP="003C15DB">
      <w:pPr>
        <w:pStyle w:val="Voetnoottekst"/>
      </w:pPr>
      <w:r w:rsidRPr="00A229DB">
        <w:rPr>
          <w:rStyle w:val="Voetnootmarkering"/>
          <w:lang w:val="nl-NL"/>
        </w:rPr>
        <w:footnoteRef/>
      </w:r>
      <w:r w:rsidRPr="00841171">
        <w:t xml:space="preserve"> </w:t>
      </w:r>
      <w:hyperlink r:id="rId1" w:history="1">
        <w:r w:rsidRPr="00841171">
          <w:rPr>
            <w:rStyle w:val="Hyperlink"/>
            <w:sz w:val="16"/>
            <w:szCs w:val="16"/>
          </w:rPr>
          <w:t>Trusted flaggers under the Digital Services Act (DSA) | Shaping Europe’s digital future</w:t>
        </w:r>
      </w:hyperlink>
    </w:p>
  </w:footnote>
  <w:footnote w:id="5">
    <w:p w14:paraId="6F028EBE" w14:textId="77777777" w:rsidR="003C15DB" w:rsidRPr="00C3202C" w:rsidRDefault="003C15DB" w:rsidP="003C15DB">
      <w:pPr>
        <w:pStyle w:val="Voetnoottekst"/>
        <w:rPr>
          <w:lang w:val="nl-NL"/>
        </w:rPr>
      </w:pPr>
      <w:r>
        <w:rPr>
          <w:rStyle w:val="Voetnootmarkering"/>
        </w:rPr>
        <w:footnoteRef/>
      </w:r>
      <w:r w:rsidRPr="00841171">
        <w:rPr>
          <w:lang w:val="nl-NL"/>
        </w:rPr>
        <w:t xml:space="preserve"> </w:t>
      </w:r>
      <w:r w:rsidRPr="00C3202C">
        <w:rPr>
          <w:sz w:val="16"/>
          <w:szCs w:val="16"/>
          <w:lang w:val="nl-NL"/>
        </w:rPr>
        <w:t>Bijlage bij Kamerstukken II 24557, 2024/25, nr. 273</w:t>
      </w:r>
    </w:p>
  </w:footnote>
  <w:footnote w:id="6">
    <w:p w14:paraId="502B09D5" w14:textId="77777777" w:rsidR="003C15DB" w:rsidRPr="00E146BB" w:rsidRDefault="003C15DB" w:rsidP="003C15DB">
      <w:pPr>
        <w:pStyle w:val="Voetnoottekst"/>
        <w:rPr>
          <w:lang w:val="nl-NL"/>
        </w:rPr>
      </w:pPr>
      <w:r w:rsidRPr="00A229DB">
        <w:rPr>
          <w:rStyle w:val="Voetnootmarkering"/>
          <w:lang w:val="nl-NL"/>
        </w:rPr>
        <w:footnoteRef/>
      </w:r>
      <w:r w:rsidRPr="00A229DB">
        <w:rPr>
          <w:lang w:val="nl-NL"/>
        </w:rPr>
        <w:t xml:space="preserve"> </w:t>
      </w:r>
      <w:r w:rsidRPr="00A229DB">
        <w:rPr>
          <w:sz w:val="16"/>
          <w:szCs w:val="16"/>
          <w:lang w:val="nl-NL"/>
        </w:rPr>
        <w:t>Kamerstukken II, Aanhangsel Handelingen, 2025/26, nr.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B6DA" w14:textId="77777777" w:rsidR="003C15DB" w:rsidRPr="003C15DB" w:rsidRDefault="003C15DB" w:rsidP="003C1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4E3B" w14:textId="77777777" w:rsidR="003C15DB" w:rsidRPr="003C15DB" w:rsidRDefault="003C15DB" w:rsidP="003C15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78BA" w14:textId="77777777" w:rsidR="003C15DB" w:rsidRPr="003C15DB" w:rsidRDefault="003C15DB" w:rsidP="003C15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DB"/>
    <w:rsid w:val="003C15DB"/>
    <w:rsid w:val="00CA5991"/>
    <w:rsid w:val="00FB6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0C0E"/>
  <w15:chartTrackingRefBased/>
  <w15:docId w15:val="{642CB503-CC04-40FA-AF75-66732589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1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15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15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15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15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5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5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5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5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15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15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15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15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15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5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5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5DB"/>
    <w:rPr>
      <w:rFonts w:eastAsiaTheme="majorEastAsia" w:cstheme="majorBidi"/>
      <w:color w:val="272727" w:themeColor="text1" w:themeTint="D8"/>
    </w:rPr>
  </w:style>
  <w:style w:type="paragraph" w:styleId="Titel">
    <w:name w:val="Title"/>
    <w:basedOn w:val="Standaard"/>
    <w:next w:val="Standaard"/>
    <w:link w:val="TitelChar"/>
    <w:uiPriority w:val="10"/>
    <w:qFormat/>
    <w:rsid w:val="003C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5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5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5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5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5DB"/>
    <w:rPr>
      <w:i/>
      <w:iCs/>
      <w:color w:val="404040" w:themeColor="text1" w:themeTint="BF"/>
    </w:rPr>
  </w:style>
  <w:style w:type="paragraph" w:styleId="Lijstalinea">
    <w:name w:val="List Paragraph"/>
    <w:basedOn w:val="Standaard"/>
    <w:uiPriority w:val="34"/>
    <w:qFormat/>
    <w:rsid w:val="003C15DB"/>
    <w:pPr>
      <w:ind w:left="720"/>
      <w:contextualSpacing/>
    </w:pPr>
  </w:style>
  <w:style w:type="character" w:styleId="Intensievebenadrukking">
    <w:name w:val="Intense Emphasis"/>
    <w:basedOn w:val="Standaardalinea-lettertype"/>
    <w:uiPriority w:val="21"/>
    <w:qFormat/>
    <w:rsid w:val="003C15DB"/>
    <w:rPr>
      <w:i/>
      <w:iCs/>
      <w:color w:val="2F5496" w:themeColor="accent1" w:themeShade="BF"/>
    </w:rPr>
  </w:style>
  <w:style w:type="paragraph" w:styleId="Duidelijkcitaat">
    <w:name w:val="Intense Quote"/>
    <w:basedOn w:val="Standaard"/>
    <w:next w:val="Standaard"/>
    <w:link w:val="DuidelijkcitaatChar"/>
    <w:uiPriority w:val="30"/>
    <w:qFormat/>
    <w:rsid w:val="003C1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15DB"/>
    <w:rPr>
      <w:i/>
      <w:iCs/>
      <w:color w:val="2F5496" w:themeColor="accent1" w:themeShade="BF"/>
    </w:rPr>
  </w:style>
  <w:style w:type="character" w:styleId="Intensieveverwijzing">
    <w:name w:val="Intense Reference"/>
    <w:basedOn w:val="Standaardalinea-lettertype"/>
    <w:uiPriority w:val="32"/>
    <w:qFormat/>
    <w:rsid w:val="003C15DB"/>
    <w:rPr>
      <w:b/>
      <w:bCs/>
      <w:smallCaps/>
      <w:color w:val="2F5496" w:themeColor="accent1" w:themeShade="BF"/>
      <w:spacing w:val="5"/>
    </w:rPr>
  </w:style>
  <w:style w:type="character" w:styleId="Hyperlink">
    <w:name w:val="Hyperlink"/>
    <w:basedOn w:val="Standaardalinea-lettertype"/>
    <w:uiPriority w:val="99"/>
    <w:unhideWhenUsed/>
    <w:rsid w:val="003C15DB"/>
    <w:rPr>
      <w:color w:val="0563C1" w:themeColor="hyperlink"/>
      <w:u w:val="single"/>
    </w:rPr>
  </w:style>
  <w:style w:type="paragraph" w:styleId="Voetnoottekst">
    <w:name w:val="footnote text"/>
    <w:basedOn w:val="Standaard"/>
    <w:link w:val="VoetnoottekstChar"/>
    <w:uiPriority w:val="99"/>
    <w:semiHidden/>
    <w:unhideWhenUsed/>
    <w:rsid w:val="003C15D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3C15DB"/>
    <w:rPr>
      <w:rFonts w:ascii="Verdana" w:hAnsi="Verdana"/>
      <w:sz w:val="20"/>
      <w:szCs w:val="20"/>
      <w:lang w:val="en-US"/>
    </w:rPr>
  </w:style>
  <w:style w:type="character" w:styleId="Voetnootmarkering">
    <w:name w:val="footnote reference"/>
    <w:basedOn w:val="Standaardalinea-lettertype"/>
    <w:uiPriority w:val="99"/>
    <w:semiHidden/>
    <w:unhideWhenUsed/>
    <w:rsid w:val="003C15DB"/>
    <w:rPr>
      <w:vertAlign w:val="superscript"/>
    </w:rPr>
  </w:style>
  <w:style w:type="paragraph" w:styleId="Koptekst">
    <w:name w:val="header"/>
    <w:basedOn w:val="Standaard"/>
    <w:link w:val="KoptekstChar"/>
    <w:uiPriority w:val="99"/>
    <w:unhideWhenUsed/>
    <w:rsid w:val="003C1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5DB"/>
  </w:style>
  <w:style w:type="paragraph" w:styleId="Voettekst">
    <w:name w:val="footer"/>
    <w:basedOn w:val="Standaard"/>
    <w:link w:val="VoettekstChar"/>
    <w:uiPriority w:val="99"/>
    <w:unhideWhenUsed/>
    <w:rsid w:val="003C1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policies/trusted-flaggers-under-ds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2639</ap:Words>
  <ap:Characters>14519</ap:Characters>
  <ap:DocSecurity>0</ap:DocSecurity>
  <ap:Lines>120</ap:Lines>
  <ap:Paragraphs>34</ap:Paragraphs>
  <ap:ScaleCrop>false</ap:ScaleCrop>
  <ap:LinksUpToDate>false</ap:LinksUpToDate>
  <ap:CharactersWithSpaces>17124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2025-11-27T14:45:00.0000000Z</dcterms:created>
  <dcterms:modified xsi:type="dcterms:W3CDTF">2025-11-27T14:46:00.0000000Z</dcterms:modified>
  <version/>
  <category/>
</coreProperties>
</file>