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82A2F" w:rsidP="0064210B" w14:paraId="5AD54054" w14:textId="77777777">
      <w:pPr>
        <w:spacing w:line="276" w:lineRule="auto"/>
      </w:pPr>
      <w:r>
        <w:t>Geachte voorzitter,</w:t>
      </w:r>
    </w:p>
    <w:p w:rsidR="00082A2F" w:rsidP="0064210B" w14:paraId="4211C748" w14:textId="77777777">
      <w:pPr>
        <w:spacing w:line="276" w:lineRule="auto"/>
      </w:pPr>
    </w:p>
    <w:p w:rsidR="0064210B" w:rsidP="0064210B" w14:paraId="3F16FD28" w14:textId="77777777">
      <w:pPr>
        <w:spacing w:line="276" w:lineRule="auto"/>
      </w:pPr>
      <w:r>
        <w:t xml:space="preserve">Hierbij zenden wij u drie vonnissen </w:t>
      </w:r>
      <w:r>
        <w:t>inzake</w:t>
      </w:r>
      <w:r>
        <w:t xml:space="preserve"> voorlopige voorzieningen in twee lopende juridische procedures tussen enerzijds de Staat en anderzijds Shell en</w:t>
      </w:r>
      <w:r w:rsidR="00E832FD">
        <w:t>/of</w:t>
      </w:r>
      <w:r>
        <w:t xml:space="preserve"> </w:t>
      </w:r>
      <w:r>
        <w:t>ExxonMobil</w:t>
      </w:r>
      <w:r>
        <w:t xml:space="preserve">, de aandeelhouders van de Nederlandse Aardolie Maatschappij (NAM). Er lopen meerdere juridische procedures met NAM, Shell en </w:t>
      </w:r>
      <w:r>
        <w:t>ExxonMobil</w:t>
      </w:r>
      <w:r>
        <w:t xml:space="preserve"> die </w:t>
      </w:r>
      <w:r>
        <w:t>voortvloeien</w:t>
      </w:r>
      <w:r>
        <w:t xml:space="preserve"> uit verschillende zienswijzen en interpretaties van afspraken die in het verleden zijn gemaakt over de afwikkeling van de gaswinning uit het Groningenveld. De verschillende procedures zijn te onderscheiden in </w:t>
      </w:r>
      <w:r w:rsidR="009D4A18">
        <w:t>contractuele</w:t>
      </w:r>
      <w:r>
        <w:t xml:space="preserve"> arbitragezaken, één internationale investeringsarbitrage en diverse bezwaar- en beroepszaken. </w:t>
      </w:r>
      <w:r w:rsidRPr="0099542C">
        <w:t xml:space="preserve">Op 19 september 2025 </w:t>
      </w:r>
      <w:r>
        <w:t>hebben wij de</w:t>
      </w:r>
      <w:r w:rsidRPr="0099542C">
        <w:t xml:space="preserve"> Kamer </w:t>
      </w:r>
      <w:r>
        <w:t xml:space="preserve">een actualisatie gegeven </w:t>
      </w:r>
      <w:r w:rsidRPr="0099542C">
        <w:t xml:space="preserve">over </w:t>
      </w:r>
      <w:r>
        <w:t>alle</w:t>
      </w:r>
      <w:r w:rsidRPr="0099542C">
        <w:t xml:space="preserve"> juridische procedures met de NAM en haar aandeelhouders Shell en </w:t>
      </w:r>
      <w:r w:rsidRPr="0099542C">
        <w:t>ExxonMobil</w:t>
      </w:r>
      <w:r w:rsidRPr="0099542C">
        <w:t xml:space="preserve">. </w:t>
      </w:r>
      <w:r>
        <w:t xml:space="preserve">Wij willen de Kamer zo goed mogelijk over ontwikkelingen in alle juridische procedures informeren, waarbij wij enerzijds het belang van de procespositie van de Staat en anderzijds de afspraken ten aanzien van vertrouwelijkheid in acht moeten nemen. </w:t>
      </w:r>
    </w:p>
    <w:p w:rsidR="0064210B" w:rsidP="0064210B" w14:paraId="6FFAC5DD" w14:textId="77777777">
      <w:pPr>
        <w:spacing w:line="276" w:lineRule="auto"/>
      </w:pPr>
    </w:p>
    <w:p w:rsidR="0064210B" w:rsidP="0064210B" w14:paraId="0285A36E" w14:textId="77777777">
      <w:pPr>
        <w:spacing w:line="276" w:lineRule="auto"/>
      </w:pPr>
      <w:r>
        <w:t>Twee van de bijgevoegde vonnissen hebben</w:t>
      </w:r>
      <w:r w:rsidRPr="00BC724D">
        <w:t xml:space="preserve"> betrekking op </w:t>
      </w:r>
      <w:r>
        <w:t>de internationale investerings</w:t>
      </w:r>
      <w:r w:rsidRPr="00BC724D">
        <w:t xml:space="preserve">arbitrageprocedure </w:t>
      </w:r>
      <w:r>
        <w:t xml:space="preserve">(ECT-arbitrage) </w:t>
      </w:r>
      <w:r w:rsidRPr="00BC724D">
        <w:t xml:space="preserve">die is </w:t>
      </w:r>
      <w:r w:rsidR="009D4A18">
        <w:t>gestart</w:t>
      </w:r>
      <w:r w:rsidRPr="00BC724D">
        <w:t xml:space="preserve"> door </w:t>
      </w:r>
      <w:r w:rsidRPr="00BC724D">
        <w:t>ExxonMobil</w:t>
      </w:r>
      <w:r w:rsidRPr="00BC724D">
        <w:t xml:space="preserve"> Petroleum &amp; Chemical BV (E</w:t>
      </w:r>
      <w:r>
        <w:t>MP</w:t>
      </w:r>
      <w:r w:rsidRPr="00BC724D">
        <w:t>C)</w:t>
      </w:r>
      <w:r>
        <w:rPr>
          <w:rStyle w:val="FootnoteReference"/>
        </w:rPr>
        <w:footnoteReference w:id="2"/>
      </w:r>
      <w:r>
        <w:t xml:space="preserve">. Het andere vonnis heeft betrekking op de door Shell Nederland B.V. (Shell) en </w:t>
      </w:r>
      <w:r>
        <w:t>ExxonMobil</w:t>
      </w:r>
      <w:r>
        <w:t xml:space="preserve"> Holding Company Holland LLC (</w:t>
      </w:r>
      <w:r>
        <w:t>ExxonMobil</w:t>
      </w:r>
      <w:r>
        <w:t xml:space="preserve">) gestarte </w:t>
      </w:r>
      <w:r w:rsidRPr="00BC724D">
        <w:t>arbitrageprocedure over het Akkoord op Hoofdlijnen</w:t>
      </w:r>
      <w:r>
        <w:t xml:space="preserve"> (</w:t>
      </w:r>
      <w:r>
        <w:t>AoH</w:t>
      </w:r>
      <w:r>
        <w:t>) bij het Nederlands Arbitrage Instituut (NAI).</w:t>
      </w:r>
      <w:r>
        <w:rPr>
          <w:rStyle w:val="FootnoteReference"/>
        </w:rPr>
        <w:footnoteReference w:id="3"/>
      </w:r>
      <w:r w:rsidRPr="00BC724D">
        <w:t xml:space="preserve"> De</w:t>
      </w:r>
      <w:r>
        <w:t xml:space="preserve"> </w:t>
      </w:r>
      <w:r w:rsidRPr="00BC724D">
        <w:t xml:space="preserve">vonnissen gaan </w:t>
      </w:r>
      <w:r>
        <w:t>over</w:t>
      </w:r>
      <w:r w:rsidRPr="00BC724D">
        <w:t xml:space="preserve"> </w:t>
      </w:r>
      <w:r w:rsidRPr="00D62156">
        <w:t>voorlopige voorzieningen</w:t>
      </w:r>
      <w:r w:rsidRPr="00BC724D">
        <w:t xml:space="preserve">. </w:t>
      </w:r>
      <w:r w:rsidRPr="00173944">
        <w:t xml:space="preserve">Hierbij </w:t>
      </w:r>
      <w:r>
        <w:t xml:space="preserve">vraagt een partij </w:t>
      </w:r>
      <w:r w:rsidRPr="00173944">
        <w:t>om een voorlopige uitspraak in een urgent</w:t>
      </w:r>
      <w:r w:rsidR="009D4A18">
        <w:t>e</w:t>
      </w:r>
      <w:r w:rsidRPr="00173944">
        <w:t xml:space="preserve"> </w:t>
      </w:r>
      <w:r w:rsidR="009D4A18">
        <w:t>si</w:t>
      </w:r>
      <w:r w:rsidRPr="00173944">
        <w:t>t</w:t>
      </w:r>
      <w:r w:rsidR="009D4A18">
        <w:t>uatie</w:t>
      </w:r>
      <w:r w:rsidRPr="00173944">
        <w:t xml:space="preserve">, omdat deze partij meent dat de uitkomst van de arbitrageprocedure niet afgewacht kan worden. </w:t>
      </w:r>
      <w:r>
        <w:t>Het scheidsgerecht</w:t>
      </w:r>
      <w:r w:rsidRPr="00173944">
        <w:t xml:space="preserve"> ge</w:t>
      </w:r>
      <w:r>
        <w:t>eft</w:t>
      </w:r>
      <w:r w:rsidRPr="00173944">
        <w:t xml:space="preserve"> </w:t>
      </w:r>
      <w:r>
        <w:t>met</w:t>
      </w:r>
      <w:r w:rsidRPr="00173944">
        <w:t xml:space="preserve"> een voorlopige voorziening geen definitief oordeel</w:t>
      </w:r>
      <w:r>
        <w:t>;</w:t>
      </w:r>
      <w:r w:rsidRPr="00173944">
        <w:t xml:space="preserve"> het oordeel geldt slechts totdat in de hoofdzaak definitief is beslist</w:t>
      </w:r>
      <w:r w:rsidRPr="00BC724D">
        <w:t xml:space="preserve">. </w:t>
      </w:r>
    </w:p>
    <w:p w:rsidR="0064210B" w:rsidP="0064210B" w14:paraId="5BDB550D" w14:textId="77777777">
      <w:pPr>
        <w:spacing w:line="276" w:lineRule="auto"/>
      </w:pPr>
    </w:p>
    <w:p w:rsidR="0064210B" w:rsidP="0064210B" w14:paraId="085AC65E" w14:textId="77777777">
      <w:pPr>
        <w:spacing w:line="276" w:lineRule="auto"/>
      </w:pPr>
      <w:r w:rsidRPr="00A13DD2">
        <w:t xml:space="preserve">Naast het informeren van </w:t>
      </w:r>
      <w:r>
        <w:t>de Kamer over drie recente vonnissen, maken wij van de gelegenheid gebruik u te informeren dat het vonnis in de eerste fase van de arbitrage versterken is vertraagd. In de Kamerbrief van september 2025</w:t>
      </w:r>
      <w:r>
        <w:rPr>
          <w:rStyle w:val="FootnoteReference"/>
        </w:rPr>
        <w:footnoteReference w:id="4"/>
      </w:r>
      <w:r>
        <w:t xml:space="preserve"> werd verondersteld dat het vonnis in het vierde kwartaal van 2025 zal worden gewezen, </w:t>
      </w:r>
      <w:r>
        <w:t>maar inmiddels is door het scheidsgerecht bekend gemaakt dat het vonnis zal verschijnen in het eerste kwartaal van 2026.</w:t>
      </w:r>
    </w:p>
    <w:p w:rsidR="00082A2F" w:rsidP="0064210B" w14:paraId="1D78CB2F" w14:textId="77777777">
      <w:pPr>
        <w:spacing w:line="276" w:lineRule="auto"/>
      </w:pPr>
    </w:p>
    <w:p w:rsidRPr="00A13DD2" w:rsidR="0064210B" w:rsidP="0064210B" w14:paraId="3E17850B" w14:textId="77777777">
      <w:pPr>
        <w:spacing w:line="276" w:lineRule="auto"/>
      </w:pPr>
      <w:r w:rsidRPr="003976D3">
        <w:t xml:space="preserve">Voordat wij inhoudelijk op de recente vonnissen ingaan, willen wij benadrukken dat de juridische procedures met NAM en/of Shell en </w:t>
      </w:r>
      <w:r w:rsidRPr="003976D3">
        <w:t>ExxonMobil</w:t>
      </w:r>
      <w:r w:rsidRPr="003976D3">
        <w:t xml:space="preserve"> geen enkel effect hebben op de uitvoering van de schadeafhandeling en versterkingsoperatie.</w:t>
      </w:r>
    </w:p>
    <w:p w:rsidR="0064210B" w:rsidP="0064210B" w14:paraId="2757CEF7" w14:textId="77777777">
      <w:pPr>
        <w:spacing w:line="276" w:lineRule="auto"/>
      </w:pPr>
    </w:p>
    <w:p w:rsidRPr="006B56A5" w:rsidR="0064210B" w:rsidP="0064210B" w14:paraId="6EAB96A5" w14:textId="77777777">
      <w:pPr>
        <w:spacing w:line="276" w:lineRule="auto"/>
        <w:rPr>
          <w:b/>
          <w:bCs/>
        </w:rPr>
      </w:pPr>
      <w:r>
        <w:rPr>
          <w:b/>
          <w:bCs/>
        </w:rPr>
        <w:t>V</w:t>
      </w:r>
      <w:r w:rsidRPr="006B56A5">
        <w:rPr>
          <w:b/>
          <w:bCs/>
        </w:rPr>
        <w:t xml:space="preserve">onnissen </w:t>
      </w:r>
      <w:r>
        <w:rPr>
          <w:b/>
          <w:bCs/>
        </w:rPr>
        <w:t>inzake</w:t>
      </w:r>
      <w:r>
        <w:rPr>
          <w:b/>
          <w:bCs/>
        </w:rPr>
        <w:t xml:space="preserve"> voorlopige voorzieningen in kader van de </w:t>
      </w:r>
      <w:r w:rsidRPr="006B56A5">
        <w:rPr>
          <w:b/>
          <w:bCs/>
        </w:rPr>
        <w:t>ECT-arbitrage</w:t>
      </w:r>
    </w:p>
    <w:p w:rsidR="009D4A18" w:rsidP="0064210B" w14:paraId="47BF2BA1" w14:textId="77777777">
      <w:pPr>
        <w:spacing w:line="276" w:lineRule="auto"/>
        <w:rPr>
          <w:i/>
          <w:iCs/>
        </w:rPr>
      </w:pPr>
    </w:p>
    <w:p w:rsidRPr="00BC724D" w:rsidR="0064210B" w:rsidP="0064210B" w14:paraId="0BF9AAB7" w14:textId="77777777">
      <w:pPr>
        <w:spacing w:line="276" w:lineRule="auto"/>
        <w:rPr>
          <w:i/>
          <w:iCs/>
        </w:rPr>
      </w:pPr>
      <w:r>
        <w:rPr>
          <w:i/>
          <w:iCs/>
        </w:rPr>
        <w:t xml:space="preserve">Vonnis </w:t>
      </w:r>
      <w:r w:rsidRPr="00BC724D">
        <w:rPr>
          <w:i/>
          <w:iCs/>
        </w:rPr>
        <w:t xml:space="preserve">Voorlopige voorziening </w:t>
      </w:r>
      <w:r w:rsidRPr="00BC724D">
        <w:rPr>
          <w:i/>
          <w:iCs/>
        </w:rPr>
        <w:t>inzake</w:t>
      </w:r>
      <w:r w:rsidRPr="00BC724D">
        <w:rPr>
          <w:i/>
          <w:iCs/>
        </w:rPr>
        <w:t xml:space="preserve"> </w:t>
      </w:r>
      <w:r>
        <w:rPr>
          <w:i/>
          <w:iCs/>
        </w:rPr>
        <w:t>bodemprocedure Ondernemingsrechtbank Antwerpen</w:t>
      </w:r>
    </w:p>
    <w:p w:rsidR="0064210B" w:rsidP="0064210B" w14:paraId="0416DF30" w14:textId="77777777">
      <w:pPr>
        <w:spacing w:line="276" w:lineRule="auto"/>
      </w:pPr>
      <w:r w:rsidRPr="00BC724D">
        <w:t xml:space="preserve">Het eerste vonnis </w:t>
      </w:r>
      <w:r>
        <w:t>van 31 oktober 2025 betreft</w:t>
      </w:r>
      <w:r w:rsidRPr="00BC724D">
        <w:t xml:space="preserve"> de arbitrage</w:t>
      </w:r>
      <w:r>
        <w:t>zaak</w:t>
      </w:r>
      <w:r w:rsidRPr="00BC724D">
        <w:t xml:space="preserve"> die door </w:t>
      </w:r>
      <w:r w:rsidR="009D4A18">
        <w:t xml:space="preserve">het </w:t>
      </w:r>
      <w:r w:rsidRPr="00BC724D">
        <w:t xml:space="preserve">Belgische EMPC is aangevraagd bij het </w:t>
      </w:r>
      <w:r w:rsidRPr="00A56DDB">
        <w:rPr>
          <w:i/>
          <w:iCs/>
        </w:rPr>
        <w:t xml:space="preserve">International Centre </w:t>
      </w:r>
      <w:r w:rsidRPr="00A56DDB">
        <w:rPr>
          <w:i/>
          <w:iCs/>
        </w:rPr>
        <w:t>for</w:t>
      </w:r>
      <w:r w:rsidRPr="00A56DDB">
        <w:rPr>
          <w:i/>
          <w:iCs/>
        </w:rPr>
        <w:t xml:space="preserve"> </w:t>
      </w:r>
      <w:r w:rsidRPr="00A56DDB">
        <w:rPr>
          <w:i/>
          <w:iCs/>
        </w:rPr>
        <w:t>Settlement</w:t>
      </w:r>
      <w:r w:rsidRPr="00A56DDB">
        <w:rPr>
          <w:i/>
          <w:iCs/>
        </w:rPr>
        <w:t xml:space="preserve"> of Investment </w:t>
      </w:r>
      <w:r w:rsidRPr="00A56DDB">
        <w:rPr>
          <w:i/>
          <w:iCs/>
        </w:rPr>
        <w:t>Disputes</w:t>
      </w:r>
      <w:r w:rsidRPr="00BC724D">
        <w:t xml:space="preserve">. </w:t>
      </w:r>
      <w:r>
        <w:t xml:space="preserve">EMPC </w:t>
      </w:r>
      <w:r w:rsidR="009D4A18">
        <w:t>beweert</w:t>
      </w:r>
      <w:r>
        <w:t xml:space="preserve"> indirect aandeelhouder van NAM te zijn en beroept zich als investeerder van NAM op de investeringsbescherming onder het Energiehandvestverdrag ofwel </w:t>
      </w:r>
      <w:r>
        <w:rPr>
          <w:i/>
          <w:iCs/>
        </w:rPr>
        <w:t xml:space="preserve">Energy Charter </w:t>
      </w:r>
      <w:r>
        <w:rPr>
          <w:i/>
          <w:iCs/>
        </w:rPr>
        <w:t>Treaty</w:t>
      </w:r>
      <w:r>
        <w:t xml:space="preserve"> (ECT). </w:t>
      </w:r>
      <w:r w:rsidR="009D4A18">
        <w:t>EMPC meent schade te lijden door handelen van Nederland dat volgens EMPC in strijd met het ECT zou zijn.</w:t>
      </w:r>
    </w:p>
    <w:p w:rsidR="009D4A18" w:rsidP="0064210B" w14:paraId="7C7CEA75" w14:textId="77777777">
      <w:pPr>
        <w:spacing w:line="276" w:lineRule="auto"/>
      </w:pPr>
    </w:p>
    <w:p w:rsidR="0064210B" w:rsidP="0064210B" w14:paraId="5F3B8948" w14:textId="77777777">
      <w:pPr>
        <w:spacing w:line="276" w:lineRule="auto"/>
      </w:pPr>
      <w:r>
        <w:t>Nederland</w:t>
      </w:r>
      <w:r w:rsidRPr="00BC724D">
        <w:t xml:space="preserve"> heeft in reactie op deze arbitragezaak een bodemprocedure tegen EMPC gestart bij de Ondernemingsrechtbank Antwerpen. </w:t>
      </w:r>
      <w:r>
        <w:t xml:space="preserve">Het doel hiervan is vast te stellen dat EMPC </w:t>
      </w:r>
      <w:r w:rsidRPr="00BC724D">
        <w:t xml:space="preserve">een onrechtmatige daad begaat </w:t>
      </w:r>
      <w:r>
        <w:t>door het aanspannen van</w:t>
      </w:r>
      <w:r w:rsidRPr="00BC724D">
        <w:t xml:space="preserve"> de ECT-arbitrage</w:t>
      </w:r>
      <w:r>
        <w:t>zaak</w:t>
      </w:r>
      <w:r w:rsidRPr="00BC724D">
        <w:t xml:space="preserve">, omdat </w:t>
      </w:r>
      <w:r>
        <w:t>dit</w:t>
      </w:r>
      <w:r w:rsidRPr="00BC724D">
        <w:t xml:space="preserve"> in strijd is met het Belgische </w:t>
      </w:r>
      <w:r>
        <w:t xml:space="preserve">recht </w:t>
      </w:r>
      <w:r w:rsidRPr="00BC724D">
        <w:t xml:space="preserve">en </w:t>
      </w:r>
      <w:r>
        <w:t xml:space="preserve">het </w:t>
      </w:r>
      <w:r>
        <w:t>Unierecht.</w:t>
      </w:r>
      <w:r>
        <w:rPr>
          <w:rStyle w:val="FootnoteReference"/>
        </w:rPr>
        <w:footnoteReference w:id="5"/>
      </w:r>
      <w:r w:rsidRPr="00BC724D">
        <w:t xml:space="preserve"> In reactie daarop heeft E</w:t>
      </w:r>
      <w:r w:rsidR="00E832FD">
        <w:t>MPC</w:t>
      </w:r>
      <w:r w:rsidRPr="00BC724D">
        <w:t xml:space="preserve"> een voorlopige voorziening gevraagd </w:t>
      </w:r>
      <w:r>
        <w:t xml:space="preserve">bij het scheidsgerecht in de ECT-arbitragezaak. Met deze voorlopige voorziening wilde </w:t>
      </w:r>
      <w:r w:rsidRPr="00BC724D">
        <w:t>E</w:t>
      </w:r>
      <w:r>
        <w:t>MP</w:t>
      </w:r>
      <w:r w:rsidRPr="00BC724D">
        <w:t xml:space="preserve">C de zaak van </w:t>
      </w:r>
      <w:r>
        <w:t>Nederland</w:t>
      </w:r>
      <w:r w:rsidRPr="00BC724D">
        <w:t xml:space="preserve"> bij de Ondernemingsrechtbank Antwerpen </w:t>
      </w:r>
      <w:r>
        <w:t>beëindigen</w:t>
      </w:r>
      <w:r w:rsidRPr="00BC724D">
        <w:t xml:space="preserve">. </w:t>
      </w:r>
    </w:p>
    <w:p w:rsidR="0064210B" w:rsidP="0064210B" w14:paraId="0A0E75E3" w14:textId="77777777">
      <w:pPr>
        <w:spacing w:line="276" w:lineRule="auto"/>
      </w:pPr>
    </w:p>
    <w:p w:rsidRPr="00BC724D" w:rsidR="009D4A18" w:rsidP="009D4A18" w14:paraId="67CD3A10" w14:textId="77777777">
      <w:pPr>
        <w:spacing w:line="276" w:lineRule="auto"/>
      </w:pPr>
      <w:r w:rsidRPr="00BC724D">
        <w:t xml:space="preserve">Met het gewezen vonnis heeft het scheidsgerecht bevolen de door </w:t>
      </w:r>
      <w:r>
        <w:t>Nederland</w:t>
      </w:r>
      <w:r w:rsidRPr="00BC724D">
        <w:t xml:space="preserve"> gestarte procedure in Antwerpen </w:t>
      </w:r>
      <w:r w:rsidRPr="00BC724D">
        <w:rPr>
          <w:i/>
          <w:iCs/>
        </w:rPr>
        <w:t>op te schorten</w:t>
      </w:r>
      <w:r w:rsidRPr="00BC724D">
        <w:t xml:space="preserve">, totdat het scheidsgerecht zich heeft uitgelaten over </w:t>
      </w:r>
      <w:r>
        <w:t>zijn eigen bevoegdheid om over dit geschil te oordelen</w:t>
      </w:r>
      <w:r w:rsidRPr="00BC724D">
        <w:t>.</w:t>
      </w:r>
      <w:r>
        <w:t xml:space="preserve"> Om uitvoering te geven aan dit vonnis, hebben de partijen de Ondernemingsrechtbank Antwerpen verzocht de procedure ‘naar de rol te verwijzen’, wat betekent dat de procedure voor onbepaalde tijd niet in verdere behandeling genomen zal worden. </w:t>
      </w:r>
    </w:p>
    <w:p w:rsidR="0064210B" w:rsidP="0064210B" w14:paraId="47396548" w14:textId="77777777">
      <w:pPr>
        <w:spacing w:line="276" w:lineRule="auto"/>
        <w:rPr>
          <w:i/>
          <w:iCs/>
        </w:rPr>
      </w:pPr>
    </w:p>
    <w:p w:rsidR="0064210B" w:rsidP="0064210B" w14:paraId="7FEF6374" w14:textId="77777777">
      <w:pPr>
        <w:spacing w:line="276" w:lineRule="auto"/>
        <w:rPr>
          <w:i/>
          <w:iCs/>
        </w:rPr>
      </w:pPr>
      <w:r>
        <w:rPr>
          <w:i/>
          <w:iCs/>
        </w:rPr>
        <w:t xml:space="preserve">Vonnis </w:t>
      </w:r>
      <w:r w:rsidRPr="00BC724D">
        <w:rPr>
          <w:i/>
          <w:iCs/>
        </w:rPr>
        <w:t xml:space="preserve">Voorlopige voorziening </w:t>
      </w:r>
      <w:r w:rsidRPr="00BC724D">
        <w:rPr>
          <w:i/>
          <w:iCs/>
        </w:rPr>
        <w:t>inzake</w:t>
      </w:r>
      <w:r w:rsidRPr="00BC724D">
        <w:rPr>
          <w:i/>
          <w:iCs/>
        </w:rPr>
        <w:t xml:space="preserve"> aanhouden heffingen</w:t>
      </w:r>
    </w:p>
    <w:p w:rsidRPr="006B56A5" w:rsidR="009D4A18" w:rsidP="009D4A18" w14:paraId="1DC7535A" w14:textId="77777777">
      <w:pPr>
        <w:spacing w:line="276" w:lineRule="auto"/>
      </w:pPr>
      <w:r w:rsidRPr="006B56A5">
        <w:t>Het tweede vonnis heeft ook betrekking op de ECT-arbitragezaak. EMPC heeft het scheidsgerecht met een voorlopige voorziening gevraagd te beslissen dat de Staat geen heffingen voor de kosten van de schadeafhandeling en de versterkingsoperatie mag opleggen zolang de ECT-arbitragezaak loopt</w:t>
      </w:r>
      <w:r>
        <w:t xml:space="preserve"> (het tweede verzoek om voorlopige maatregelen)</w:t>
      </w:r>
      <w:r w:rsidRPr="006B56A5">
        <w:t xml:space="preserve">. </w:t>
      </w:r>
      <w:r w:rsidRPr="006B56A5">
        <w:rPr>
          <w:i/>
          <w:iCs/>
        </w:rPr>
        <w:t>Aanvullend</w:t>
      </w:r>
      <w:r w:rsidRPr="006B56A5">
        <w:t xml:space="preserve"> heeft EMPC gevraagd in elk geval de heffing van 2024 niet op te leggen, totdat het scheidsgerecht heeft beslist over de</w:t>
      </w:r>
      <w:r>
        <w:t>ze</w:t>
      </w:r>
      <w:r w:rsidRPr="006B56A5">
        <w:t xml:space="preserve"> voorlopige voorziening</w:t>
      </w:r>
      <w:r>
        <w:t xml:space="preserve"> (het aanvullende verzoek)</w:t>
      </w:r>
      <w:r w:rsidRPr="006B56A5">
        <w:t xml:space="preserve">. </w:t>
      </w:r>
    </w:p>
    <w:p w:rsidR="009D4A18" w:rsidP="009D4A18" w14:paraId="02D56111" w14:textId="77777777">
      <w:pPr>
        <w:spacing w:line="276" w:lineRule="auto"/>
      </w:pPr>
    </w:p>
    <w:p w:rsidR="009D4A18" w:rsidP="009D4A18" w14:paraId="4EF97396" w14:textId="77777777">
      <w:pPr>
        <w:spacing w:line="276" w:lineRule="auto"/>
      </w:pPr>
      <w:r>
        <w:t xml:space="preserve">Het scheidsgerecht heeft het aanvullende verzoek van EMPC afgewezen. De Staat hoeft dus niet te wachten met het opleggen van heffingen over de gemaakte kosten in het jaar 2024 totdat het scheidsgerecht heeft beslist in de voorlopige voorziening </w:t>
      </w:r>
      <w:r w:rsidRPr="00C50708">
        <w:t>over</w:t>
      </w:r>
      <w:r>
        <w:t xml:space="preserve"> de heffingen. Daarnaast heeft het scheidsgerecht geoordeeld </w:t>
      </w:r>
      <w:r>
        <w:t xml:space="preserve">over de mogelijke situatie waarin NAM de heffingen over het jaar 2024 niet binnen de wettelijke betaaltermijn zou betalen, en Nederland deze betaling vervolgens zou afdwingen via een invorderingsbericht of executiemaatregel. Het scheidsgerecht merkt op dat </w:t>
      </w:r>
      <w:r w:rsidRPr="00C50708">
        <w:t xml:space="preserve">EMPC </w:t>
      </w:r>
      <w:r>
        <w:t>opnieuw een voorlopige voorziening zou</w:t>
      </w:r>
      <w:r w:rsidRPr="00C50708">
        <w:t xml:space="preserve"> </w:t>
      </w:r>
      <w:r>
        <w:t xml:space="preserve">kunnen verzoeken, </w:t>
      </w:r>
      <w:r>
        <w:t>indien</w:t>
      </w:r>
      <w:r>
        <w:t xml:space="preserve"> die situatie zich voordoet.</w:t>
      </w:r>
      <w:r w:rsidRPr="00C50708">
        <w:t xml:space="preserve"> </w:t>
      </w:r>
      <w:r>
        <w:t xml:space="preserve">Partijen hebben begin december 2025 een zitting over het tweede verzoek om voorlopige maatregelen. Het is de verwachting dat het scheidsgerecht spoedig daarna een vonnis zal wijzen. </w:t>
      </w:r>
    </w:p>
    <w:p w:rsidR="0064210B" w:rsidP="0064210B" w14:paraId="52D413FD" w14:textId="77777777">
      <w:pPr>
        <w:spacing w:line="276" w:lineRule="auto"/>
      </w:pPr>
    </w:p>
    <w:p w:rsidRPr="006B56A5" w:rsidR="0064210B" w:rsidP="0064210B" w14:paraId="2D0FC13B" w14:textId="77777777">
      <w:pPr>
        <w:spacing w:line="276" w:lineRule="auto"/>
        <w:rPr>
          <w:b/>
          <w:bCs/>
        </w:rPr>
      </w:pPr>
      <w:r>
        <w:rPr>
          <w:b/>
          <w:bCs/>
        </w:rPr>
        <w:t>V</w:t>
      </w:r>
      <w:r w:rsidRPr="006B56A5">
        <w:rPr>
          <w:b/>
          <w:bCs/>
        </w:rPr>
        <w:t xml:space="preserve">onnis </w:t>
      </w:r>
      <w:r>
        <w:rPr>
          <w:b/>
          <w:bCs/>
        </w:rPr>
        <w:t>inzake</w:t>
      </w:r>
      <w:r>
        <w:rPr>
          <w:b/>
          <w:bCs/>
        </w:rPr>
        <w:t xml:space="preserve"> voorlopige voorziening in kader van de </w:t>
      </w:r>
      <w:r w:rsidRPr="006B56A5">
        <w:rPr>
          <w:b/>
          <w:bCs/>
        </w:rPr>
        <w:t>AoH</w:t>
      </w:r>
      <w:r w:rsidRPr="006B56A5">
        <w:rPr>
          <w:b/>
          <w:bCs/>
        </w:rPr>
        <w:t xml:space="preserve">-arbitrage </w:t>
      </w:r>
    </w:p>
    <w:p w:rsidR="009D4A18" w:rsidP="0064210B" w14:paraId="5074B2A0" w14:textId="77777777">
      <w:pPr>
        <w:spacing w:line="276" w:lineRule="auto"/>
        <w:rPr>
          <w:i/>
          <w:iCs/>
        </w:rPr>
      </w:pPr>
    </w:p>
    <w:p w:rsidR="0064210B" w:rsidP="0064210B" w14:paraId="27F574D3" w14:textId="77777777">
      <w:pPr>
        <w:spacing w:line="276" w:lineRule="auto"/>
        <w:rPr>
          <w:i/>
          <w:iCs/>
        </w:rPr>
      </w:pPr>
      <w:r>
        <w:rPr>
          <w:i/>
          <w:iCs/>
        </w:rPr>
        <w:t xml:space="preserve">Vonnis Voorlopige voorziening </w:t>
      </w:r>
      <w:r>
        <w:rPr>
          <w:i/>
          <w:iCs/>
        </w:rPr>
        <w:t>inzake</w:t>
      </w:r>
      <w:r>
        <w:rPr>
          <w:i/>
          <w:iCs/>
        </w:rPr>
        <w:t xml:space="preserve"> het opleggen van heffingen 2024</w:t>
      </w:r>
    </w:p>
    <w:p w:rsidR="0064210B" w:rsidP="0064210B" w14:paraId="0E8F8E2F" w14:textId="77777777">
      <w:pPr>
        <w:spacing w:line="276" w:lineRule="auto"/>
      </w:pPr>
      <w:r>
        <w:t xml:space="preserve">Op 14 november 2025 heeft het scheidsgerecht vonnis gewezen in een door Shell en </w:t>
      </w:r>
      <w:r>
        <w:t>ExxonMobil</w:t>
      </w:r>
      <w:r>
        <w:t xml:space="preserve"> verzochte voorlopige voorziening in de </w:t>
      </w:r>
      <w:r>
        <w:t>AoH</w:t>
      </w:r>
      <w:r>
        <w:t>-arbitrage. Deze arbitragezaak is in 2023 gestart.</w:t>
      </w:r>
      <w:r>
        <w:rPr>
          <w:rStyle w:val="FootnoteReference"/>
        </w:rPr>
        <w:footnoteReference w:id="6"/>
      </w:r>
      <w:r>
        <w:t xml:space="preserve"> </w:t>
      </w:r>
      <w:r>
        <w:t>Conform</w:t>
      </w:r>
      <w:r>
        <w:t xml:space="preserve"> de afspraken in het </w:t>
      </w:r>
      <w:r>
        <w:t>AoH</w:t>
      </w:r>
      <w:r>
        <w:t xml:space="preserve"> met betrekking tot de openbaarmaking van vonnissen is het volledige vonnis van de voorlopige voorziening bijgevoegd, waarbij bedrijfsvertrouwelijke informatie en persoonsgegevens zijn gelakt. </w:t>
      </w:r>
    </w:p>
    <w:p w:rsidR="0064210B" w:rsidP="0064210B" w14:paraId="344E5826" w14:textId="77777777">
      <w:pPr>
        <w:spacing w:line="276" w:lineRule="auto"/>
      </w:pPr>
    </w:p>
    <w:p w:rsidR="0064210B" w:rsidP="0064210B" w14:paraId="3C9870B0" w14:textId="77777777">
      <w:pPr>
        <w:spacing w:line="276" w:lineRule="auto"/>
      </w:pPr>
      <w:r>
        <w:t xml:space="preserve">Met deze voorlopige voorziening hebben Shell en </w:t>
      </w:r>
      <w:r>
        <w:t>ExxonMobil</w:t>
      </w:r>
      <w:r>
        <w:t xml:space="preserve"> het scheidsgerecht verzocht om de Staat te gebieden zich te onthouden van het opleggen van heffingen voor de kosten van de schadeafhandeling en versterkingsoperatie over het jaar 2024 totdat aan een aantal voorwaarden is voldaan. De Staat heeft aangevoerd dat van deze voorwaarden geen sprake kan zijn, gelet op de afspraken die partijen hierover hebben gemaakt.</w:t>
      </w:r>
    </w:p>
    <w:p w:rsidR="0064210B" w:rsidP="0064210B" w14:paraId="3F27E355" w14:textId="77777777">
      <w:pPr>
        <w:spacing w:line="276" w:lineRule="auto"/>
      </w:pPr>
    </w:p>
    <w:p w:rsidR="0064210B" w:rsidP="0064210B" w14:paraId="78491415" w14:textId="77777777">
      <w:pPr>
        <w:spacing w:line="276" w:lineRule="auto"/>
      </w:pPr>
      <w:r w:rsidRPr="00E2136E">
        <w:t xml:space="preserve">De gevraagde voorzieningen (die zouden leiden tot aanhouding van </w:t>
      </w:r>
      <w:r>
        <w:t xml:space="preserve">het opleggen van </w:t>
      </w:r>
      <w:r w:rsidRPr="00E2136E">
        <w:t xml:space="preserve">de </w:t>
      </w:r>
      <w:r>
        <w:t xml:space="preserve">bedoelde </w:t>
      </w:r>
      <w:r w:rsidRPr="00E2136E">
        <w:t xml:space="preserve">heffingen) </w:t>
      </w:r>
      <w:r>
        <w:t>zijn afgewezen door het scheidsgerecht</w:t>
      </w:r>
      <w:r w:rsidRPr="00E2136E">
        <w:t xml:space="preserve">. Volgens het scheidsgerecht </w:t>
      </w:r>
      <w:r>
        <w:t xml:space="preserve">weegt het belang van Shell en </w:t>
      </w:r>
      <w:r>
        <w:t>ExxonMobil</w:t>
      </w:r>
      <w:r>
        <w:t xml:space="preserve"> onvoldoende zwaar ten opzichte van het belang van de Staat om tot toewijzing van het verzoek over te gaan. Dit betekent dat de heffingen voor de schadeafhandeling en versterkingsoperatie over het jaar 2024 aan NAM opgelegd mogen worden. </w:t>
      </w:r>
    </w:p>
    <w:p w:rsidR="0064210B" w:rsidP="0064210B" w14:paraId="26947286" w14:textId="77777777">
      <w:pPr>
        <w:spacing w:line="276" w:lineRule="auto"/>
      </w:pPr>
    </w:p>
    <w:p w:rsidR="0064210B" w:rsidP="0064210B" w14:paraId="27FA5320" w14:textId="77777777">
      <w:pPr>
        <w:spacing w:line="276" w:lineRule="auto"/>
      </w:pPr>
      <w:r>
        <w:t xml:space="preserve">Het bijgevoegde vonnis gaat over de tweede voorlopige voorziening die Shell en </w:t>
      </w:r>
      <w:r>
        <w:t>ExxonMobil</w:t>
      </w:r>
      <w:r>
        <w:t xml:space="preserve"> hebben gevraagd in de </w:t>
      </w:r>
      <w:r>
        <w:t>AoH</w:t>
      </w:r>
      <w:r>
        <w:t xml:space="preserve">-arbitragezaak. Eerder is de Kamer geïnformeerd over het vonnis </w:t>
      </w:r>
      <w:r>
        <w:t>inzake</w:t>
      </w:r>
      <w:r>
        <w:t xml:space="preserve"> de eerste voorlopige voorziening over transparantie- en controleverplichtingen</w:t>
      </w:r>
      <w:r>
        <w:rPr>
          <w:rStyle w:val="FootnoteReference"/>
        </w:rPr>
        <w:footnoteReference w:id="7"/>
      </w:r>
      <w:r>
        <w:t xml:space="preserve">. Naast deze twee door Shell en </w:t>
      </w:r>
      <w:r>
        <w:t>ExxonMobil</w:t>
      </w:r>
      <w:r>
        <w:t xml:space="preserve"> gevraagde voorlopige voorzieningen, heeft de Staat op 18 september 2025 een voorlopige voorziening gevraagd over passende zekerheden. De Staat is van mening dat Shell en </w:t>
      </w:r>
      <w:r>
        <w:t>ExxonMobil</w:t>
      </w:r>
      <w:r>
        <w:t xml:space="preserve"> de afspraken uit het </w:t>
      </w:r>
      <w:r>
        <w:t>AoH</w:t>
      </w:r>
      <w:r>
        <w:t xml:space="preserve"> op dit punt niet zijn nagekomen. Het scheidsgerecht heeft hierover nog geen vonnis gewezen. Zodra dit vonnis verschijnt, wordt de Kamer hierover geïnformeerd.</w:t>
      </w:r>
    </w:p>
    <w:p w:rsidR="0064210B" w:rsidP="0064210B" w14:paraId="4953C14D" w14:textId="77777777">
      <w:pPr>
        <w:spacing w:line="276" w:lineRule="auto"/>
      </w:pPr>
    </w:p>
    <w:p w:rsidR="0064210B" w:rsidP="0064210B" w14:paraId="2D2B762C" w14:textId="77777777">
      <w:pPr>
        <w:spacing w:line="276" w:lineRule="auto"/>
        <w:rPr>
          <w:b/>
          <w:bCs/>
        </w:rPr>
      </w:pPr>
      <w:r>
        <w:rPr>
          <w:b/>
          <w:bCs/>
        </w:rPr>
        <w:t>Heffingen 2024 opgelegd aan NAM</w:t>
      </w:r>
    </w:p>
    <w:p w:rsidR="0064210B" w:rsidP="0064210B" w14:paraId="77614F98" w14:textId="77777777">
      <w:pPr>
        <w:spacing w:line="276" w:lineRule="auto"/>
      </w:pPr>
      <w:r>
        <w:t>De recent verschenen vonnissen h</w:t>
      </w:r>
      <w:r w:rsidRPr="00CE1791">
        <w:t xml:space="preserve">ebben bevestigd dat de Staat gerechtigd is om heffingen voor de kosten </w:t>
      </w:r>
      <w:r>
        <w:t>van de schadeafhandeling en versterkingsoperatie over</w:t>
      </w:r>
      <w:r w:rsidRPr="00CE1791">
        <w:t xml:space="preserve"> 2024 aan NAM op te leggen</w:t>
      </w:r>
      <w:r>
        <w:t xml:space="preserve">. Op 18 november 2025 heeft de Staat een heffing van 1,35 miljard euro aan NAM opgelegd voor de kosten die in 2024 zijn gemaakt voor </w:t>
      </w:r>
      <w:r>
        <w:t xml:space="preserve">de afhandeling van fysieke schade, immateriële schade, waardedalingsschade en de versterkingsoperatie. </w:t>
      </w:r>
      <w:r w:rsidRPr="00E832FD" w:rsidR="00E832FD">
        <w:t xml:space="preserve">De ontvangsten worden bijgesteld op de begroting van BZK in de </w:t>
      </w:r>
      <w:r w:rsidRPr="00E832FD" w:rsidR="00E832FD">
        <w:t>slotwet</w:t>
      </w:r>
      <w:r w:rsidRPr="00E832FD" w:rsidR="00E832FD">
        <w:t xml:space="preserve">. </w:t>
      </w:r>
      <w:r w:rsidRPr="00C1512A">
        <w:t xml:space="preserve">Volgens de afdrachtensystematiek draagt de Staat </w:t>
      </w:r>
      <w:r>
        <w:t xml:space="preserve">uiteindelijk </w:t>
      </w:r>
      <w:r w:rsidRPr="00C1512A">
        <w:t>(bij benadering) 73</w:t>
      </w:r>
      <w:r>
        <w:t xml:space="preserve"> procent</w:t>
      </w:r>
      <w:r w:rsidRPr="00C1512A">
        <w:t xml:space="preserve"> van de kosten</w:t>
      </w:r>
      <w:r w:rsidR="00E832FD">
        <w:t xml:space="preserve"> voor de schadeafhandeling en versterkingsoperatie</w:t>
      </w:r>
      <w:r>
        <w:rPr>
          <w:rStyle w:val="FootnoteReference"/>
        </w:rPr>
        <w:footnoteReference w:id="8"/>
      </w:r>
      <w:r w:rsidRPr="00C1512A">
        <w:t>.</w:t>
      </w:r>
      <w:r>
        <w:t xml:space="preserve"> De heffing is opgelegd als ‘tussentijdse’ heffing. </w:t>
      </w:r>
      <w:r w:rsidR="00E832FD">
        <w:t>Deze dient tijdig betaald te worden. Daarna volgt een definitieve heffing met accountantscontrole</w:t>
      </w:r>
      <w:r>
        <w:t xml:space="preserve">. </w:t>
      </w:r>
      <w:r>
        <w:t xml:space="preserve"> </w:t>
      </w:r>
    </w:p>
    <w:p w:rsidR="0064210B" w:rsidP="0064210B" w14:paraId="6B3783B6" w14:textId="77777777">
      <w:pPr>
        <w:spacing w:line="276" w:lineRule="auto"/>
      </w:pPr>
    </w:p>
    <w:p w:rsidRPr="006B56A5" w:rsidR="0064210B" w:rsidP="0064210B" w14:paraId="4BC4C2F2" w14:textId="77777777">
      <w:pPr>
        <w:spacing w:line="276" w:lineRule="auto"/>
        <w:rPr>
          <w:b/>
          <w:bCs/>
        </w:rPr>
      </w:pPr>
      <w:r w:rsidRPr="006B56A5">
        <w:rPr>
          <w:b/>
          <w:bCs/>
        </w:rPr>
        <w:t>Vervolgstappen</w:t>
      </w:r>
    </w:p>
    <w:p w:rsidR="0064210B" w:rsidP="0064210B" w14:paraId="5677920F" w14:textId="77777777">
      <w:pPr>
        <w:spacing w:line="276" w:lineRule="auto"/>
      </w:pPr>
      <w:bookmarkStart w:name="_Hlk214356301" w:id="0"/>
      <w:r w:rsidRPr="007B1C54">
        <w:t xml:space="preserve">Wij zullen </w:t>
      </w:r>
      <w:r>
        <w:t>de</w:t>
      </w:r>
      <w:r w:rsidRPr="007B1C54">
        <w:t xml:space="preserve"> Kamer zoveel mogelijk op de hoogte houden van verdere ontwikkelingen in deze arbitrageprocedure</w:t>
      </w:r>
      <w:r>
        <w:t>s</w:t>
      </w:r>
      <w:r w:rsidRPr="007B1C54">
        <w:t xml:space="preserve"> </w:t>
      </w:r>
      <w:r>
        <w:t>en de andere lopende procedures, met inachtneming van de procespositie van de Staat en de vertrouwelijkheid die voortvloeit uit de toepasselijke arbitragereglementen</w:t>
      </w:r>
      <w:r w:rsidRPr="007B1C54">
        <w:t>.</w:t>
      </w:r>
      <w:r>
        <w:t xml:space="preserve"> </w:t>
      </w:r>
      <w:bookmarkEnd w:id="0"/>
      <w:r w:rsidRPr="007B1C54">
        <w:t xml:space="preserve">Desgewenst </w:t>
      </w:r>
      <w:r>
        <w:t>kan de</w:t>
      </w:r>
      <w:r w:rsidRPr="007B1C54">
        <w:t xml:space="preserve"> Kamer in een technische briefing nader vertrouwelijk worden geïnformeerd. </w:t>
      </w:r>
    </w:p>
    <w:p w:rsidR="0064210B" w:rsidP="0064210B" w14:paraId="442B229D" w14:textId="77777777">
      <w:pPr>
        <w:spacing w:line="276" w:lineRule="auto"/>
      </w:pPr>
    </w:p>
    <w:p w:rsidR="0064210B" w:rsidP="0064210B" w14:paraId="45DBC0B8" w14:textId="77777777">
      <w:pPr>
        <w:spacing w:line="276" w:lineRule="auto"/>
      </w:pPr>
      <w:bookmarkStart w:name="_Hlk214458931" w:id="1"/>
      <w:r w:rsidRPr="007B1C54">
        <w:t xml:space="preserve">Tot slot </w:t>
      </w:r>
      <w:r>
        <w:t xml:space="preserve">hechten wij eraan nogmaals te </w:t>
      </w:r>
      <w:r w:rsidRPr="007B1C54">
        <w:t xml:space="preserve">benadrukken dat deze </w:t>
      </w:r>
      <w:r>
        <w:t xml:space="preserve">juridische procedures en daarmee ook deze vonnissen </w:t>
      </w:r>
      <w:r w:rsidRPr="007B1C54">
        <w:t>geen effect he</w:t>
      </w:r>
      <w:r>
        <w:t>bben</w:t>
      </w:r>
      <w:r w:rsidRPr="007B1C54">
        <w:t xml:space="preserve"> op </w:t>
      </w:r>
      <w:r>
        <w:t>inwoners van Groningen</w:t>
      </w:r>
      <w:r w:rsidRPr="007B1C54">
        <w:t xml:space="preserve">. </w:t>
      </w:r>
      <w:bookmarkEnd w:id="1"/>
      <w:r>
        <w:t xml:space="preserve">Het </w:t>
      </w:r>
      <w:r w:rsidRPr="007B1C54">
        <w:t>kabinet blijft zich inzetten voor gedupeerden met mijnbouwschade als gevolg van gaswinning uit het Groningenveld</w:t>
      </w:r>
      <w:r>
        <w:t>,</w:t>
      </w:r>
      <w:r w:rsidRPr="007B1C54">
        <w:t xml:space="preserve"> ongeacht de juridische procedures met </w:t>
      </w:r>
      <w:r>
        <w:t xml:space="preserve">NAM, Shell en </w:t>
      </w:r>
      <w:r>
        <w:t>ExxonMobil</w:t>
      </w:r>
      <w:r>
        <w:t>.</w:t>
      </w:r>
    </w:p>
    <w:p w:rsidR="0064210B" w:rsidP="0064210B" w14:paraId="1A7D2AF6" w14:textId="77777777">
      <w:pPr>
        <w:spacing w:line="276" w:lineRule="auto"/>
      </w:pPr>
      <w:r>
        <w:br/>
      </w:r>
      <w:r>
        <w:br/>
      </w:r>
      <w:r w:rsidRPr="00B40C23">
        <w:t>De staatssecretaris van Binnenlandse Zaken en Koninkrijksrelaties</w:t>
      </w:r>
      <w:r>
        <w:t xml:space="preserve">, </w:t>
      </w:r>
      <w:r>
        <w:br/>
      </w:r>
      <w:r w:rsidRPr="00B40C23">
        <w:rPr>
          <w:i/>
          <w:iCs/>
        </w:rPr>
        <w:t>Herstel Groningen, Koninkrijksrelaties en Digitalisering</w:t>
      </w:r>
    </w:p>
    <w:p w:rsidR="0064210B" w:rsidP="0064210B" w14:paraId="4EE5EA38" w14:textId="77777777">
      <w:pPr>
        <w:spacing w:line="276" w:lineRule="auto"/>
      </w:pPr>
      <w:r>
        <w:br/>
      </w:r>
      <w:r>
        <w:br/>
      </w:r>
    </w:p>
    <w:p w:rsidR="0064210B" w:rsidP="0064210B" w14:paraId="655751CA" w14:textId="77777777">
      <w:pPr>
        <w:spacing w:line="276" w:lineRule="auto"/>
      </w:pPr>
    </w:p>
    <w:p w:rsidR="0064210B" w:rsidP="0064210B" w14:paraId="61E99E5A" w14:textId="77777777">
      <w:pPr>
        <w:spacing w:line="276" w:lineRule="auto"/>
      </w:pPr>
      <w:r w:rsidRPr="00210F56">
        <w:t xml:space="preserve">Eddie van Marum </w:t>
      </w:r>
    </w:p>
    <w:p w:rsidR="0064210B" w:rsidP="0064210B" w14:paraId="5A6CD915" w14:textId="77777777">
      <w:pPr>
        <w:spacing w:line="276" w:lineRule="auto"/>
      </w:pPr>
    </w:p>
    <w:p w:rsidR="0064210B" w:rsidP="0064210B" w14:paraId="1CD0D42C" w14:textId="77777777">
      <w:pPr>
        <w:spacing w:line="276" w:lineRule="auto"/>
      </w:pPr>
    </w:p>
    <w:p w:rsidR="0064210B" w:rsidP="0064210B" w14:paraId="126851C9" w14:textId="77777777">
      <w:pPr>
        <w:spacing w:line="276" w:lineRule="auto"/>
      </w:pPr>
      <w:r>
        <w:br/>
      </w:r>
      <w:r w:rsidRPr="00210F56">
        <w:t xml:space="preserve">Minister van Klimaat en Groene Groei </w:t>
      </w:r>
    </w:p>
    <w:p w:rsidR="0064210B" w:rsidP="0064210B" w14:paraId="47164F88" w14:textId="77777777">
      <w:pPr>
        <w:spacing w:line="276" w:lineRule="auto"/>
      </w:pPr>
    </w:p>
    <w:p w:rsidR="0064210B" w:rsidP="0064210B" w14:paraId="3DF5E122" w14:textId="77777777">
      <w:pPr>
        <w:spacing w:line="276" w:lineRule="auto"/>
      </w:pPr>
    </w:p>
    <w:p w:rsidR="0064210B" w:rsidP="0064210B" w14:paraId="1CCAAF31" w14:textId="77777777">
      <w:pPr>
        <w:spacing w:line="276" w:lineRule="auto"/>
      </w:pPr>
    </w:p>
    <w:p w:rsidR="0064210B" w:rsidP="0064210B" w14:paraId="26AFBC79" w14:textId="77777777">
      <w:pPr>
        <w:spacing w:line="276" w:lineRule="auto"/>
      </w:pPr>
    </w:p>
    <w:p w:rsidR="0064210B" w:rsidP="0064210B" w14:paraId="3EDE4759" w14:textId="77777777">
      <w:pPr>
        <w:spacing w:line="276" w:lineRule="auto"/>
      </w:pPr>
    </w:p>
    <w:p w:rsidR="0064210B" w:rsidP="0064210B" w14:paraId="7063EF8E" w14:textId="77777777">
      <w:pPr>
        <w:spacing w:line="276" w:lineRule="auto"/>
      </w:pPr>
      <w:r w:rsidRPr="00210F56">
        <w:t xml:space="preserve">Sophie Hermans </w:t>
      </w:r>
    </w:p>
    <w:p w:rsidR="00D57500" w:rsidP="0064210B" w14:paraId="44EA0CB4" w14:textId="77777777"/>
    <w:p w:rsidR="0064210B" w:rsidP="0064210B" w14:paraId="61F62171" w14:textId="77777777"/>
    <w:p w:rsidR="0064210B" w:rsidP="0064210B" w14:paraId="3A6DD3E7" w14:textId="77777777"/>
    <w:p w:rsidR="0064210B" w:rsidP="0064210B" w14:paraId="22671551" w14:textId="77777777"/>
    <w:p w:rsidR="0064210B" w:rsidP="0064210B" w14:paraId="67A99A71" w14:textId="77777777"/>
    <w:p w:rsidR="0064210B" w:rsidP="0064210B" w14:paraId="7096CEF8" w14:textId="77777777"/>
    <w:p w:rsidR="0064210B" w:rsidP="0064210B" w14:paraId="648EEBD7" w14:textId="77777777"/>
    <w:p w:rsidR="0064210B" w:rsidP="0064210B" w14:paraId="59FA78BC" w14:textId="77777777"/>
    <w:p w:rsidR="0064210B" w:rsidP="0064210B" w14:paraId="78F6B822" w14:textId="77777777"/>
    <w:p w:rsidRPr="0064210B" w:rsidR="0064210B" w:rsidP="0064210B" w14:paraId="2C02E983"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500" w14:paraId="04E9DB03"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1B0F" w14:paraId="2375D535" w14:textId="77777777">
      <w:pPr>
        <w:spacing w:line="240" w:lineRule="auto"/>
      </w:pPr>
      <w:r>
        <w:separator/>
      </w:r>
    </w:p>
  </w:footnote>
  <w:footnote w:type="continuationSeparator" w:id="1">
    <w:p w:rsidR="000C1B0F" w14:paraId="445536A1" w14:textId="77777777">
      <w:pPr>
        <w:spacing w:line="240" w:lineRule="auto"/>
      </w:pPr>
      <w:r>
        <w:continuationSeparator/>
      </w:r>
    </w:p>
  </w:footnote>
  <w:footnote w:id="2">
    <w:p w:rsidR="0064210B" w:rsidRPr="00343F97" w:rsidP="0064210B" w14:paraId="01DD1343" w14:textId="77777777">
      <w:pPr>
        <w:pStyle w:val="FootnoteText"/>
        <w:rPr>
          <w:rFonts w:ascii="Verdana" w:hAnsi="Verdana"/>
          <w:sz w:val="16"/>
          <w:szCs w:val="16"/>
        </w:rPr>
      </w:pPr>
      <w:r w:rsidRPr="00343F97">
        <w:rPr>
          <w:rStyle w:val="FootnoteReference"/>
          <w:rFonts w:ascii="Verdana" w:hAnsi="Verdana"/>
          <w:sz w:val="16"/>
          <w:szCs w:val="16"/>
        </w:rPr>
        <w:footnoteRef/>
      </w:r>
      <w:r w:rsidRPr="00343F97">
        <w:rPr>
          <w:rFonts w:ascii="Verdana" w:hAnsi="Verdana"/>
          <w:sz w:val="16"/>
          <w:szCs w:val="16"/>
        </w:rPr>
        <w:t xml:space="preserve"> Kamerstukken II 2024/25, 33529, nr. 1340</w:t>
      </w:r>
    </w:p>
  </w:footnote>
  <w:footnote w:id="3">
    <w:p w:rsidR="0064210B" w:rsidRPr="00343F97" w:rsidP="0064210B" w14:paraId="1938A5F1" w14:textId="77777777">
      <w:pPr>
        <w:pStyle w:val="FootnoteText"/>
        <w:rPr>
          <w:rFonts w:ascii="Verdana" w:hAnsi="Verdana"/>
          <w:sz w:val="16"/>
          <w:szCs w:val="16"/>
        </w:rPr>
      </w:pPr>
      <w:r w:rsidRPr="00343F97">
        <w:rPr>
          <w:rStyle w:val="FootnoteReference"/>
          <w:rFonts w:ascii="Verdana" w:hAnsi="Verdana"/>
          <w:sz w:val="16"/>
          <w:szCs w:val="16"/>
        </w:rPr>
        <w:footnoteRef/>
      </w:r>
      <w:r w:rsidRPr="00343F97">
        <w:rPr>
          <w:rFonts w:ascii="Verdana" w:hAnsi="Verdana"/>
          <w:sz w:val="16"/>
          <w:szCs w:val="16"/>
        </w:rPr>
        <w:t xml:space="preserve"> Zie Kamerstukken II 2023/24, 33529, nr. 1212</w:t>
      </w:r>
    </w:p>
  </w:footnote>
  <w:footnote w:id="4">
    <w:p w:rsidR="0064210B" w:rsidP="0064210B" w14:paraId="2D42D5A9" w14:textId="77777777">
      <w:pPr>
        <w:pStyle w:val="FootnoteText"/>
      </w:pPr>
      <w:r>
        <w:rPr>
          <w:rStyle w:val="FootnoteReference"/>
        </w:rPr>
        <w:footnoteRef/>
      </w:r>
      <w:r>
        <w:t xml:space="preserve"> </w:t>
      </w:r>
      <w:r w:rsidRPr="00343F97">
        <w:rPr>
          <w:rFonts w:ascii="Verdana" w:hAnsi="Verdana"/>
          <w:sz w:val="16"/>
          <w:szCs w:val="16"/>
        </w:rPr>
        <w:t>Zie Kamerstukken II 2024/25, 33529, nr. 1340</w:t>
      </w:r>
    </w:p>
  </w:footnote>
  <w:footnote w:id="5">
    <w:p w:rsidR="0064210B" w:rsidP="0064210B" w14:paraId="780B8D55" w14:textId="77777777">
      <w:pPr>
        <w:pStyle w:val="FootnoteText"/>
      </w:pPr>
      <w:r w:rsidRPr="007F410E">
        <w:rPr>
          <w:rStyle w:val="FootnoteReference"/>
          <w:rFonts w:ascii="Verdana" w:hAnsi="Verdana"/>
          <w:sz w:val="16"/>
          <w:szCs w:val="16"/>
        </w:rPr>
        <w:footnoteRef/>
      </w:r>
      <w:r w:rsidRPr="007F410E">
        <w:rPr>
          <w:rFonts w:ascii="Verdana" w:hAnsi="Verdana"/>
          <w:sz w:val="16"/>
          <w:szCs w:val="16"/>
        </w:rPr>
        <w:t xml:space="preserve"> </w:t>
      </w:r>
      <w:r>
        <w:rPr>
          <w:rFonts w:ascii="Verdana" w:hAnsi="Verdana"/>
          <w:sz w:val="16"/>
          <w:szCs w:val="16"/>
        </w:rPr>
        <w:t xml:space="preserve">Zie </w:t>
      </w:r>
      <w:r w:rsidRPr="007F410E">
        <w:rPr>
          <w:rFonts w:ascii="Verdana" w:hAnsi="Verdana"/>
          <w:sz w:val="16"/>
          <w:szCs w:val="16"/>
        </w:rPr>
        <w:t>Kamerstukken II 2024/25, 33529, nr. 1261</w:t>
      </w:r>
    </w:p>
  </w:footnote>
  <w:footnote w:id="6">
    <w:p w:rsidR="0064210B" w:rsidRPr="00A41DD6" w:rsidP="0064210B" w14:paraId="6E39E705" w14:textId="77777777">
      <w:pPr>
        <w:pStyle w:val="FootnoteText"/>
        <w:rPr>
          <w:rFonts w:ascii="Verdana" w:hAnsi="Verdana"/>
          <w:sz w:val="16"/>
          <w:szCs w:val="16"/>
        </w:rPr>
      </w:pPr>
      <w:r w:rsidRPr="00A41DD6">
        <w:rPr>
          <w:rStyle w:val="FootnoteReference"/>
          <w:rFonts w:ascii="Verdana" w:hAnsi="Verdana"/>
          <w:sz w:val="16"/>
          <w:szCs w:val="16"/>
        </w:rPr>
        <w:footnoteRef/>
      </w:r>
      <w:r w:rsidRPr="00A41DD6">
        <w:rPr>
          <w:rFonts w:ascii="Verdana" w:hAnsi="Verdana"/>
          <w:sz w:val="16"/>
          <w:szCs w:val="16"/>
        </w:rPr>
        <w:t xml:space="preserve"> </w:t>
      </w:r>
      <w:r w:rsidRPr="00FA61C1">
        <w:rPr>
          <w:rFonts w:ascii="Verdana" w:hAnsi="Verdana"/>
          <w:sz w:val="16"/>
          <w:szCs w:val="16"/>
        </w:rPr>
        <w:t xml:space="preserve">Kamerstukken </w:t>
      </w:r>
      <w:r>
        <w:rPr>
          <w:rFonts w:ascii="Verdana" w:hAnsi="Verdana"/>
          <w:sz w:val="16"/>
          <w:szCs w:val="16"/>
        </w:rPr>
        <w:t xml:space="preserve">II </w:t>
      </w:r>
      <w:r w:rsidRPr="00FA61C1">
        <w:rPr>
          <w:rFonts w:ascii="Verdana" w:hAnsi="Verdana"/>
          <w:sz w:val="16"/>
          <w:szCs w:val="16"/>
        </w:rPr>
        <w:t>2023/24, 33529, nr. 1212</w:t>
      </w:r>
    </w:p>
  </w:footnote>
  <w:footnote w:id="7">
    <w:p w:rsidR="0064210B" w:rsidP="0064210B" w14:paraId="3E608F72" w14:textId="77777777">
      <w:pPr>
        <w:pStyle w:val="FootnoteText"/>
      </w:pPr>
      <w:r w:rsidRPr="00A41DD6">
        <w:rPr>
          <w:rStyle w:val="FootnoteReference"/>
          <w:rFonts w:ascii="Verdana" w:hAnsi="Verdana"/>
          <w:sz w:val="16"/>
          <w:szCs w:val="16"/>
        </w:rPr>
        <w:footnoteRef/>
      </w:r>
      <w:r w:rsidRPr="00A41DD6">
        <w:rPr>
          <w:rFonts w:ascii="Verdana" w:hAnsi="Verdana"/>
          <w:sz w:val="16"/>
          <w:szCs w:val="16"/>
        </w:rPr>
        <w:t xml:space="preserve"> Kamerstukken II 2024/25, 33529, nr. 1277</w:t>
      </w:r>
    </w:p>
  </w:footnote>
  <w:footnote w:id="8">
    <w:p w:rsidR="0064210B" w:rsidRPr="00A41DD6" w:rsidP="0064210B" w14:paraId="196BE028" w14:textId="77777777">
      <w:pPr>
        <w:pStyle w:val="FootnoteText"/>
        <w:rPr>
          <w:rFonts w:ascii="Verdana" w:hAnsi="Verdana"/>
          <w:sz w:val="16"/>
          <w:szCs w:val="16"/>
        </w:rPr>
      </w:pPr>
      <w:r w:rsidRPr="00A41DD6">
        <w:rPr>
          <w:rStyle w:val="FootnoteReference"/>
          <w:rFonts w:ascii="Verdana" w:hAnsi="Verdana"/>
          <w:sz w:val="16"/>
          <w:szCs w:val="16"/>
        </w:rPr>
        <w:footnoteRef/>
      </w:r>
      <w:r w:rsidRPr="00A41DD6">
        <w:rPr>
          <w:rFonts w:ascii="Verdana" w:hAnsi="Verdana"/>
          <w:sz w:val="16"/>
          <w:szCs w:val="16"/>
        </w:rPr>
        <w:t xml:space="preserve"> Kamerstukken II, 2021/22, 33529, nr. 932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500" w14:paraId="0C35DBF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57500" w14:textId="77777777">
                          <w:pPr>
                            <w:pStyle w:val="Referentiegegevensbold"/>
                          </w:pPr>
                          <w:r>
                            <w:t>Datum</w:t>
                          </w:r>
                        </w:p>
                        <w:p w:rsidR="00D57500" w14:textId="77777777">
                          <w:pPr>
                            <w:pStyle w:val="Referentiegegevens"/>
                          </w:pPr>
                          <w:sdt>
                            <w:sdtPr>
                              <w:id w:val="-1015913790"/>
                              <w:showingPlcHdr/>
                              <w:date w:fullDate="2025-11-19T13:17:00Z">
                                <w:dateFormat w:val="d MMMM yyyy"/>
                                <w:lid w:val="nl"/>
                                <w:storeMappedDataAs w:val="dateTime"/>
                                <w:calendar w:val="gregorian"/>
                              </w:date>
                            </w:sdtPr>
                            <w:sdtContent>
                              <w:r w:rsidR="00D24D54">
                                <w:t xml:space="preserve">     </w:t>
                              </w:r>
                            </w:sdtContent>
                          </w:sdt>
                        </w:p>
                        <w:p w:rsidR="00D57500" w14:textId="77777777">
                          <w:pPr>
                            <w:pStyle w:val="WitregelW1"/>
                          </w:pPr>
                        </w:p>
                        <w:p w:rsidR="00D57500" w14:textId="77777777">
                          <w:pPr>
                            <w:pStyle w:val="Referentiegegevensbold"/>
                          </w:pPr>
                          <w:r>
                            <w:t>Onze referentie</w:t>
                          </w:r>
                        </w:p>
                        <w:p w:rsidR="00601DC1" w14:textId="77777777">
                          <w:pPr>
                            <w:pStyle w:val="Referentiegegevens"/>
                          </w:pPr>
                          <w:r>
                            <w:fldChar w:fldCharType="begin"/>
                          </w:r>
                          <w:r>
                            <w:instrText xml:space="preserve"> DOCPROPERTY  "Kenmerk"  \* MERGEFORMAT </w:instrText>
                          </w:r>
                          <w:r>
                            <w:fldChar w:fldCharType="separate"/>
                          </w:r>
                          <w:r>
                            <w:t>2025-0000660966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57500" w14:paraId="755E99F8" w14:textId="77777777">
                    <w:pPr>
                      <w:pStyle w:val="Referentiegegevensbold"/>
                    </w:pPr>
                    <w:r>
                      <w:t>Datum</w:t>
                    </w:r>
                  </w:p>
                  <w:p w:rsidR="00D57500" w14:paraId="4945A931" w14:textId="77777777">
                    <w:pPr>
                      <w:pStyle w:val="Referentiegegevens"/>
                    </w:pPr>
                    <w:sdt>
                      <w:sdtPr>
                        <w:id w:val="1992697532"/>
                        <w:showingPlcHdr/>
                        <w:date w:fullDate="2025-11-19T13:17:00Z">
                          <w:dateFormat w:val="d MMMM yyyy"/>
                          <w:lid w:val="nl"/>
                          <w:storeMappedDataAs w:val="dateTime"/>
                          <w:calendar w:val="gregorian"/>
                        </w:date>
                      </w:sdtPr>
                      <w:sdtContent>
                        <w:r w:rsidR="00D24D54">
                          <w:t xml:space="preserve">     </w:t>
                        </w:r>
                      </w:sdtContent>
                    </w:sdt>
                  </w:p>
                  <w:p w:rsidR="00D57500" w14:paraId="10789E70" w14:textId="77777777">
                    <w:pPr>
                      <w:pStyle w:val="WitregelW1"/>
                    </w:pPr>
                  </w:p>
                  <w:p w:rsidR="00D57500" w14:paraId="7E62D5CC" w14:textId="77777777">
                    <w:pPr>
                      <w:pStyle w:val="Referentiegegevensbold"/>
                    </w:pPr>
                    <w:r>
                      <w:t>Onze referentie</w:t>
                    </w:r>
                  </w:p>
                  <w:p w:rsidR="00601DC1" w14:paraId="30B0EC45" w14:textId="77777777">
                    <w:pPr>
                      <w:pStyle w:val="Referentiegegevens"/>
                    </w:pPr>
                    <w:r>
                      <w:fldChar w:fldCharType="begin"/>
                    </w:r>
                    <w:r>
                      <w:instrText xml:space="preserve"> DOCPROPERTY  "Kenmerk"  \* MERGEFORMAT </w:instrText>
                    </w:r>
                    <w:r>
                      <w:fldChar w:fldCharType="separate"/>
                    </w:r>
                    <w:r>
                      <w:t>2025-0000660966</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C1B0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C1B0F" w14:paraId="4F3DA4D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01DC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01DC1" w14:paraId="38ED5E8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500" w14:paraId="4C1DF33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57500" w14:textId="77777777">
                          <w:r>
                            <w:t>Aan d</w:t>
                          </w:r>
                          <w:r w:rsidR="000C1B0F">
                            <w:t xml:space="preserve">e </w:t>
                          </w:r>
                          <w:r>
                            <w:t>V</w:t>
                          </w:r>
                          <w:r w:rsidR="000C1B0F">
                            <w:t xml:space="preserve">oorzitter van de Tweede Kamer der Staten-Generaal </w:t>
                          </w:r>
                        </w:p>
                        <w:p w:rsidR="00D57500" w14:textId="77777777">
                          <w:r>
                            <w:t>Postbus 20018</w:t>
                          </w:r>
                        </w:p>
                        <w:p w:rsidR="00D57500" w14:textId="77777777">
                          <w:r>
                            <w:t xml:space="preserve">2500 EA </w:t>
                          </w:r>
                          <w:r w:rsidR="00D24D54">
                            <w:t xml:space="preserve"> </w:t>
                          </w:r>
                          <w:r>
                            <w:t>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57500" w14:paraId="72237F71" w14:textId="77777777">
                    <w:r>
                      <w:t>Aan d</w:t>
                    </w:r>
                    <w:r w:rsidR="000C1B0F">
                      <w:t xml:space="preserve">e </w:t>
                    </w:r>
                    <w:r>
                      <w:t>V</w:t>
                    </w:r>
                    <w:r w:rsidR="000C1B0F">
                      <w:t xml:space="preserve">oorzitter van de Tweede Kamer der Staten-Generaal </w:t>
                    </w:r>
                  </w:p>
                  <w:p w:rsidR="00D57500" w14:paraId="56DD145A" w14:textId="77777777">
                    <w:r>
                      <w:t>Postbus 20018</w:t>
                    </w:r>
                  </w:p>
                  <w:p w:rsidR="00D57500" w14:paraId="7A6295BC" w14:textId="77777777">
                    <w:r>
                      <w:t xml:space="preserve">2500 EA </w:t>
                    </w:r>
                    <w:r w:rsidR="00D24D54">
                      <w:t xml:space="preserve"> </w:t>
                    </w:r>
                    <w:r>
                      <w:t>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3352165</wp:posOffset>
              </wp:positionV>
              <wp:extent cx="4819650" cy="5048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819650" cy="504825"/>
                      </a:xfrm>
                      <a:prstGeom prst="rect">
                        <a:avLst/>
                      </a:prstGeom>
                      <a:noFill/>
                    </wps:spPr>
                    <wps:txbx>
                      <w:txbxContent>
                        <w:tbl>
                          <w:tblPr>
                            <w:tblW w:w="0" w:type="auto"/>
                            <w:tblInd w:w="-120" w:type="dxa"/>
                            <w:tblLayout w:type="fixed"/>
                            <w:tblLook w:val="07E0"/>
                          </w:tblPr>
                          <w:tblGrid>
                            <w:gridCol w:w="1140"/>
                            <w:gridCol w:w="5918"/>
                          </w:tblGrid>
                          <w:tr w14:paraId="58F893B7" w14:textId="77777777">
                            <w:tblPrEx>
                              <w:tblW w:w="0" w:type="auto"/>
                              <w:tblInd w:w="-120" w:type="dxa"/>
                              <w:tblLayout w:type="fixed"/>
                              <w:tblLook w:val="07E0"/>
                            </w:tblPrEx>
                            <w:trPr>
                              <w:trHeight w:val="240"/>
                            </w:trPr>
                            <w:tc>
                              <w:tcPr>
                                <w:tcW w:w="1140" w:type="dxa"/>
                              </w:tcPr>
                              <w:p w:rsidR="00D57500" w14:textId="77777777">
                                <w:r>
                                  <w:t>Datum</w:t>
                                </w:r>
                              </w:p>
                            </w:tc>
                            <w:tc>
                              <w:tcPr>
                                <w:tcW w:w="5918" w:type="dxa"/>
                              </w:tcPr>
                              <w:p w:rsidR="00D57500" w14:textId="046D4DAB">
                                <w:r>
                                  <w:t>27 november 2025</w:t>
                                </w:r>
                              </w:p>
                            </w:tc>
                          </w:tr>
                          <w:tr w14:paraId="54186C62" w14:textId="77777777" w:rsidTr="00435D1F">
                            <w:tblPrEx>
                              <w:tblW w:w="0" w:type="auto"/>
                              <w:tblInd w:w="-120" w:type="dxa"/>
                              <w:tblLayout w:type="fixed"/>
                              <w:tblLook w:val="07E0"/>
                            </w:tblPrEx>
                            <w:trPr>
                              <w:trHeight w:val="80"/>
                            </w:trPr>
                            <w:tc>
                              <w:tcPr>
                                <w:tcW w:w="1140" w:type="dxa"/>
                              </w:tcPr>
                              <w:p w:rsidR="00D57500" w14:textId="77777777">
                                <w:r>
                                  <w:t>Betreft</w:t>
                                </w:r>
                              </w:p>
                            </w:tc>
                            <w:tc>
                              <w:tcPr>
                                <w:tcW w:w="5918" w:type="dxa"/>
                              </w:tcPr>
                              <w:p w:rsidR="00D57500" w14:textId="77777777">
                                <w:r>
                                  <w:t xml:space="preserve">Vonnissen </w:t>
                                </w:r>
                                <w:r>
                                  <w:t>inzake</w:t>
                                </w:r>
                                <w:r>
                                  <w:t xml:space="preserve"> voorlopige voorzieningen in twee arbitrageprocedures</w:t>
                                </w:r>
                              </w:p>
                            </w:tc>
                          </w:tr>
                        </w:tbl>
                        <w:p w:rsidR="000C1B0F"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9.5pt;height:39.75pt;margin-top:263.95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8F893B6" w14:textId="77777777">
                      <w:tblPrEx>
                        <w:tblW w:w="0" w:type="auto"/>
                        <w:tblInd w:w="-120" w:type="dxa"/>
                        <w:tblLayout w:type="fixed"/>
                        <w:tblLook w:val="07E0"/>
                      </w:tblPrEx>
                      <w:trPr>
                        <w:trHeight w:val="240"/>
                      </w:trPr>
                      <w:tc>
                        <w:tcPr>
                          <w:tcW w:w="1140" w:type="dxa"/>
                        </w:tcPr>
                        <w:p w:rsidR="00D57500" w14:paraId="20F38E97" w14:textId="77777777">
                          <w:r>
                            <w:t>Datum</w:t>
                          </w:r>
                        </w:p>
                      </w:tc>
                      <w:tc>
                        <w:tcPr>
                          <w:tcW w:w="5918" w:type="dxa"/>
                        </w:tcPr>
                        <w:p w:rsidR="00D57500" w14:paraId="3AB1FB0A" w14:textId="046D4DAB">
                          <w:r>
                            <w:t>27 november 2025</w:t>
                          </w:r>
                        </w:p>
                      </w:tc>
                    </w:tr>
                    <w:tr w14:paraId="54186C61" w14:textId="77777777" w:rsidTr="00435D1F">
                      <w:tblPrEx>
                        <w:tblW w:w="0" w:type="auto"/>
                        <w:tblInd w:w="-120" w:type="dxa"/>
                        <w:tblLayout w:type="fixed"/>
                        <w:tblLook w:val="07E0"/>
                      </w:tblPrEx>
                      <w:trPr>
                        <w:trHeight w:val="80"/>
                      </w:trPr>
                      <w:tc>
                        <w:tcPr>
                          <w:tcW w:w="1140" w:type="dxa"/>
                        </w:tcPr>
                        <w:p w:rsidR="00D57500" w14:paraId="5347883B" w14:textId="77777777">
                          <w:r>
                            <w:t>Betreft</w:t>
                          </w:r>
                        </w:p>
                      </w:tc>
                      <w:tc>
                        <w:tcPr>
                          <w:tcW w:w="5918" w:type="dxa"/>
                        </w:tcPr>
                        <w:p w:rsidR="00D57500" w14:paraId="7A421479" w14:textId="77777777">
                          <w:r>
                            <w:t xml:space="preserve">Vonnissen </w:t>
                          </w:r>
                          <w:r>
                            <w:t>inzake</w:t>
                          </w:r>
                          <w:r>
                            <w:t xml:space="preserve"> voorlopige voorzieningen in twee arbitrageprocedures</w:t>
                          </w:r>
                        </w:p>
                      </w:tc>
                    </w:tr>
                  </w:tbl>
                  <w:p w:rsidR="000C1B0F" w14:paraId="480299FB"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57500" w:rsidRPr="00E6745C" w14:textId="77777777">
                          <w:pPr>
                            <w:pStyle w:val="Referentiegegevens"/>
                            <w:rPr>
                              <w:lang w:val="de-DE"/>
                            </w:rPr>
                          </w:pPr>
                          <w:r w:rsidRPr="00E6745C">
                            <w:rPr>
                              <w:lang w:val="de-DE"/>
                            </w:rPr>
                            <w:t>Turfmarkt</w:t>
                          </w:r>
                          <w:r w:rsidRPr="00E6745C">
                            <w:rPr>
                              <w:lang w:val="de-DE"/>
                            </w:rPr>
                            <w:t xml:space="preserve"> 147</w:t>
                          </w:r>
                        </w:p>
                        <w:p w:rsidR="00D57500" w:rsidRPr="00E6745C" w14:textId="77777777">
                          <w:pPr>
                            <w:pStyle w:val="Referentiegegevens"/>
                            <w:rPr>
                              <w:lang w:val="de-DE"/>
                            </w:rPr>
                          </w:pPr>
                          <w:r w:rsidRPr="00E6745C">
                            <w:rPr>
                              <w:lang w:val="de-DE"/>
                            </w:rPr>
                            <w:t>2511 DP Den Haag</w:t>
                          </w:r>
                        </w:p>
                        <w:p w:rsidR="00D57500" w:rsidRPr="00E6745C" w14:textId="77777777">
                          <w:pPr>
                            <w:pStyle w:val="Referentiegegevens"/>
                            <w:rPr>
                              <w:lang w:val="de-DE"/>
                            </w:rPr>
                          </w:pPr>
                          <w:r w:rsidRPr="00E6745C">
                            <w:rPr>
                              <w:lang w:val="de-DE"/>
                            </w:rPr>
                            <w:t>Postbus 20011</w:t>
                          </w:r>
                        </w:p>
                        <w:p w:rsidR="00D57500" w14:textId="77777777">
                          <w:pPr>
                            <w:pStyle w:val="Referentiegegevens"/>
                          </w:pPr>
                          <w:r>
                            <w:t>2500 EA  Den Haag</w:t>
                          </w:r>
                        </w:p>
                        <w:p w:rsidR="00D57500" w14:textId="77777777">
                          <w:pPr>
                            <w:pStyle w:val="WitregelW2"/>
                          </w:pPr>
                        </w:p>
                        <w:p w:rsidR="00D57500" w14:textId="77777777">
                          <w:pPr>
                            <w:pStyle w:val="Referentiegegevensbold"/>
                          </w:pPr>
                          <w:r>
                            <w:t>Onze referentie</w:t>
                          </w:r>
                        </w:p>
                        <w:p w:rsidR="00601DC1" w14:textId="77777777">
                          <w:pPr>
                            <w:pStyle w:val="Referentiegegevens"/>
                          </w:pPr>
                          <w:r>
                            <w:fldChar w:fldCharType="begin"/>
                          </w:r>
                          <w:r>
                            <w:instrText xml:space="preserve"> DOCPROPERTY  "Kenmerk"  \* MERGEFORMAT </w:instrText>
                          </w:r>
                          <w:r>
                            <w:fldChar w:fldCharType="separate"/>
                          </w:r>
                          <w:r>
                            <w:t>2025-0000660966</w:t>
                          </w:r>
                          <w:r>
                            <w:fldChar w:fldCharType="end"/>
                          </w:r>
                        </w:p>
                        <w:p w:rsidR="00D57500" w14:textId="77777777">
                          <w:pPr>
                            <w:pStyle w:val="WitregelW1"/>
                          </w:pPr>
                        </w:p>
                        <w:p w:rsidR="00D57500" w14:textId="77777777">
                          <w:pPr>
                            <w:pStyle w:val="Referentiegegevensbold"/>
                          </w:pPr>
                          <w:r>
                            <w:t>Bijlage(n)</w:t>
                          </w:r>
                        </w:p>
                        <w:p w:rsidR="00D57500" w14:textId="77777777">
                          <w:pPr>
                            <w:pStyle w:val="Referentiegegevens"/>
                          </w:pPr>
                          <w:r>
                            <w:t>3</w:t>
                          </w:r>
                        </w:p>
                        <w:p w:rsidR="00D57500" w14:textId="77777777">
                          <w:pPr>
                            <w:pStyle w:val="WitregelW2"/>
                          </w:pPr>
                        </w:p>
                        <w:p w:rsidR="00D5750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57500" w:rsidRPr="00E6745C" w14:paraId="188D1704" w14:textId="77777777">
                    <w:pPr>
                      <w:pStyle w:val="Referentiegegevens"/>
                      <w:rPr>
                        <w:lang w:val="de-DE"/>
                      </w:rPr>
                    </w:pPr>
                    <w:r w:rsidRPr="00E6745C">
                      <w:rPr>
                        <w:lang w:val="de-DE"/>
                      </w:rPr>
                      <w:t>Turfmarkt</w:t>
                    </w:r>
                    <w:r w:rsidRPr="00E6745C">
                      <w:rPr>
                        <w:lang w:val="de-DE"/>
                      </w:rPr>
                      <w:t xml:space="preserve"> 147</w:t>
                    </w:r>
                  </w:p>
                  <w:p w:rsidR="00D57500" w:rsidRPr="00E6745C" w14:paraId="77B8A933" w14:textId="77777777">
                    <w:pPr>
                      <w:pStyle w:val="Referentiegegevens"/>
                      <w:rPr>
                        <w:lang w:val="de-DE"/>
                      </w:rPr>
                    </w:pPr>
                    <w:r w:rsidRPr="00E6745C">
                      <w:rPr>
                        <w:lang w:val="de-DE"/>
                      </w:rPr>
                      <w:t>2511 DP Den Haag</w:t>
                    </w:r>
                  </w:p>
                  <w:p w:rsidR="00D57500" w:rsidRPr="00E6745C" w14:paraId="024004F0" w14:textId="77777777">
                    <w:pPr>
                      <w:pStyle w:val="Referentiegegevens"/>
                      <w:rPr>
                        <w:lang w:val="de-DE"/>
                      </w:rPr>
                    </w:pPr>
                    <w:r w:rsidRPr="00E6745C">
                      <w:rPr>
                        <w:lang w:val="de-DE"/>
                      </w:rPr>
                      <w:t>Postbus 20011</w:t>
                    </w:r>
                  </w:p>
                  <w:p w:rsidR="00D57500" w14:paraId="6D0A24F4" w14:textId="77777777">
                    <w:pPr>
                      <w:pStyle w:val="Referentiegegevens"/>
                    </w:pPr>
                    <w:r>
                      <w:t>2500 EA  Den Haag</w:t>
                    </w:r>
                  </w:p>
                  <w:p w:rsidR="00D57500" w14:paraId="3938A692" w14:textId="77777777">
                    <w:pPr>
                      <w:pStyle w:val="WitregelW2"/>
                    </w:pPr>
                  </w:p>
                  <w:p w:rsidR="00D57500" w14:paraId="4D5AF83E" w14:textId="77777777">
                    <w:pPr>
                      <w:pStyle w:val="Referentiegegevensbold"/>
                    </w:pPr>
                    <w:r>
                      <w:t>Onze referentie</w:t>
                    </w:r>
                  </w:p>
                  <w:p w:rsidR="00601DC1" w14:paraId="35F24E1F" w14:textId="77777777">
                    <w:pPr>
                      <w:pStyle w:val="Referentiegegevens"/>
                    </w:pPr>
                    <w:r>
                      <w:fldChar w:fldCharType="begin"/>
                    </w:r>
                    <w:r>
                      <w:instrText xml:space="preserve"> DOCPROPERTY  "Kenmerk"  \* MERGEFORMAT </w:instrText>
                    </w:r>
                    <w:r>
                      <w:fldChar w:fldCharType="separate"/>
                    </w:r>
                    <w:r>
                      <w:t>2025-0000660966</w:t>
                    </w:r>
                    <w:r>
                      <w:fldChar w:fldCharType="end"/>
                    </w:r>
                  </w:p>
                  <w:p w:rsidR="00D57500" w14:paraId="2BABCECF" w14:textId="77777777">
                    <w:pPr>
                      <w:pStyle w:val="WitregelW1"/>
                    </w:pPr>
                  </w:p>
                  <w:p w:rsidR="00D57500" w14:paraId="7929A2FA" w14:textId="77777777">
                    <w:pPr>
                      <w:pStyle w:val="Referentiegegevensbold"/>
                    </w:pPr>
                    <w:r>
                      <w:t>Bijlage(n)</w:t>
                    </w:r>
                  </w:p>
                  <w:p w:rsidR="00D57500" w14:paraId="4D5E5179" w14:textId="77777777">
                    <w:pPr>
                      <w:pStyle w:val="Referentiegegevens"/>
                    </w:pPr>
                    <w:r>
                      <w:t>3</w:t>
                    </w:r>
                  </w:p>
                  <w:p w:rsidR="00D57500" w14:paraId="36686427" w14:textId="77777777">
                    <w:pPr>
                      <w:pStyle w:val="WitregelW2"/>
                    </w:pPr>
                  </w:p>
                  <w:p w:rsidR="00D57500" w14:paraId="5DD6F3C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C1B0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C1B0F" w14:paraId="1BBF3B0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01DC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01DC1" w14:paraId="66DE95A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57500" w14:textId="77777777">
                          <w:pPr>
                            <w:spacing w:line="240" w:lineRule="auto"/>
                          </w:pPr>
                          <w:r>
                            <w:rPr>
                              <w:noProof/>
                            </w:rPr>
                            <w:drawing>
                              <wp:inline distT="0" distB="0" distL="0" distR="0">
                                <wp:extent cx="467995" cy="1583865"/>
                                <wp:effectExtent l="0" t="0" r="0" b="0"/>
                                <wp:docPr id="79774513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9774513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57500" w14:paraId="6D0BD8E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57500" w14:textId="77777777">
                          <w:pPr>
                            <w:spacing w:line="240" w:lineRule="auto"/>
                          </w:pPr>
                          <w:r>
                            <w:rPr>
                              <w:noProof/>
                            </w:rPr>
                            <w:drawing>
                              <wp:inline distT="0" distB="0" distL="0" distR="0">
                                <wp:extent cx="2339975" cy="1582834"/>
                                <wp:effectExtent l="0" t="0" r="0" b="0"/>
                                <wp:docPr id="22435498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2435498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57500" w14:paraId="13DB1AE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5750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57500" w14:paraId="2C4474E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4C2AF9C"/>
    <w:multiLevelType w:val="multilevel"/>
    <w:tmpl w:val="CF461BF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9547068"/>
    <w:multiLevelType w:val="multilevel"/>
    <w:tmpl w:val="DB28927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45835B8"/>
    <w:multiLevelType w:val="multilevel"/>
    <w:tmpl w:val="552319B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8B9968E"/>
    <w:multiLevelType w:val="multilevel"/>
    <w:tmpl w:val="DAAA65D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41368249">
    <w:abstractNumId w:val="1"/>
  </w:num>
  <w:num w:numId="2" w16cid:durableId="1165318871">
    <w:abstractNumId w:val="2"/>
  </w:num>
  <w:num w:numId="3" w16cid:durableId="1871724522">
    <w:abstractNumId w:val="0"/>
  </w:num>
  <w:num w:numId="4" w16cid:durableId="1320308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00"/>
    <w:rsid w:val="00082A2F"/>
    <w:rsid w:val="000C1B0F"/>
    <w:rsid w:val="00144059"/>
    <w:rsid w:val="00160A0D"/>
    <w:rsid w:val="00173944"/>
    <w:rsid w:val="00180986"/>
    <w:rsid w:val="00210F56"/>
    <w:rsid w:val="002416CD"/>
    <w:rsid w:val="002D2903"/>
    <w:rsid w:val="00343F97"/>
    <w:rsid w:val="00371563"/>
    <w:rsid w:val="003909AA"/>
    <w:rsid w:val="003976D3"/>
    <w:rsid w:val="003C261A"/>
    <w:rsid w:val="00402BD8"/>
    <w:rsid w:val="004074F9"/>
    <w:rsid w:val="00435D1F"/>
    <w:rsid w:val="004F3BBC"/>
    <w:rsid w:val="00517391"/>
    <w:rsid w:val="005F4831"/>
    <w:rsid w:val="00601DC1"/>
    <w:rsid w:val="00626AB2"/>
    <w:rsid w:val="0064210B"/>
    <w:rsid w:val="006A21DF"/>
    <w:rsid w:val="006B56A5"/>
    <w:rsid w:val="007B1C54"/>
    <w:rsid w:val="007F410E"/>
    <w:rsid w:val="00805B20"/>
    <w:rsid w:val="008477FA"/>
    <w:rsid w:val="00894CD8"/>
    <w:rsid w:val="00946FD1"/>
    <w:rsid w:val="0099542C"/>
    <w:rsid w:val="009D4A18"/>
    <w:rsid w:val="00A13DD2"/>
    <w:rsid w:val="00A41DD6"/>
    <w:rsid w:val="00A476B1"/>
    <w:rsid w:val="00A56DDB"/>
    <w:rsid w:val="00A85F83"/>
    <w:rsid w:val="00B27A94"/>
    <w:rsid w:val="00B40C23"/>
    <w:rsid w:val="00BC724D"/>
    <w:rsid w:val="00C1512A"/>
    <w:rsid w:val="00C50708"/>
    <w:rsid w:val="00CE1791"/>
    <w:rsid w:val="00D138FD"/>
    <w:rsid w:val="00D24D54"/>
    <w:rsid w:val="00D57500"/>
    <w:rsid w:val="00D62156"/>
    <w:rsid w:val="00DC2E9E"/>
    <w:rsid w:val="00DE3D81"/>
    <w:rsid w:val="00E2136E"/>
    <w:rsid w:val="00E34D0E"/>
    <w:rsid w:val="00E6745C"/>
    <w:rsid w:val="00E832FD"/>
    <w:rsid w:val="00EF35A1"/>
    <w:rsid w:val="00F16560"/>
    <w:rsid w:val="00F31FBF"/>
    <w:rsid w:val="00FA61C1"/>
    <w:rsid w:val="00FC0DB1"/>
    <w:rsid w:val="00FF102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06B6663"/>
  <w15:docId w15:val="{4646D855-4C0A-4936-9DFB-2E05BDB1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6745C"/>
    <w:pPr>
      <w:tabs>
        <w:tab w:val="center" w:pos="4536"/>
        <w:tab w:val="right" w:pos="9072"/>
      </w:tabs>
      <w:spacing w:line="240" w:lineRule="auto"/>
    </w:pPr>
  </w:style>
  <w:style w:type="character" w:customStyle="1" w:styleId="KoptekstChar">
    <w:name w:val="Koptekst Char"/>
    <w:basedOn w:val="DefaultParagraphFont"/>
    <w:link w:val="Header"/>
    <w:uiPriority w:val="99"/>
    <w:rsid w:val="00E6745C"/>
    <w:rPr>
      <w:rFonts w:ascii="Verdana" w:hAnsi="Verdana"/>
      <w:color w:val="000000"/>
      <w:sz w:val="18"/>
      <w:szCs w:val="18"/>
    </w:rPr>
  </w:style>
  <w:style w:type="paragraph" w:styleId="Footer">
    <w:name w:val="footer"/>
    <w:basedOn w:val="Normal"/>
    <w:link w:val="VoettekstChar"/>
    <w:uiPriority w:val="99"/>
    <w:unhideWhenUsed/>
    <w:rsid w:val="00E6745C"/>
    <w:pPr>
      <w:tabs>
        <w:tab w:val="center" w:pos="4536"/>
        <w:tab w:val="right" w:pos="9072"/>
      </w:tabs>
      <w:spacing w:line="240" w:lineRule="auto"/>
    </w:pPr>
  </w:style>
  <w:style w:type="character" w:customStyle="1" w:styleId="VoettekstChar">
    <w:name w:val="Voettekst Char"/>
    <w:basedOn w:val="DefaultParagraphFont"/>
    <w:link w:val="Footer"/>
    <w:uiPriority w:val="99"/>
    <w:rsid w:val="00E6745C"/>
    <w:rPr>
      <w:rFonts w:ascii="Verdana" w:hAnsi="Verdana"/>
      <w:color w:val="000000"/>
      <w:sz w:val="18"/>
      <w:szCs w:val="18"/>
    </w:rPr>
  </w:style>
  <w:style w:type="paragraph" w:styleId="FootnoteText">
    <w:name w:val="footnote text"/>
    <w:basedOn w:val="Normal"/>
    <w:link w:val="VoetnoottekstChar"/>
    <w:uiPriority w:val="99"/>
    <w:semiHidden/>
    <w:unhideWhenUsed/>
    <w:rsid w:val="00E6745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6745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6745C"/>
    <w:rPr>
      <w:vertAlign w:val="superscript"/>
    </w:rPr>
  </w:style>
  <w:style w:type="table" w:styleId="PlainTable2">
    <w:name w:val="Plain Table 2"/>
    <w:basedOn w:val="TableNormal"/>
    <w:uiPriority w:val="42"/>
    <w:rsid w:val="00E6745C"/>
    <w:pPr>
      <w:autoSpaceDN/>
      <w:textAlignment w:val="auto"/>
    </w:pPr>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626AB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D4A18"/>
    <w:rPr>
      <w:sz w:val="16"/>
      <w:szCs w:val="16"/>
    </w:rPr>
  </w:style>
  <w:style w:type="paragraph" w:styleId="CommentText">
    <w:name w:val="annotation text"/>
    <w:basedOn w:val="Normal"/>
    <w:link w:val="TekstopmerkingChar"/>
    <w:uiPriority w:val="99"/>
    <w:semiHidden/>
    <w:unhideWhenUsed/>
    <w:rsid w:val="009D4A18"/>
    <w:pPr>
      <w:spacing w:line="240" w:lineRule="auto"/>
    </w:pPr>
    <w:rPr>
      <w:sz w:val="20"/>
      <w:szCs w:val="20"/>
    </w:rPr>
  </w:style>
  <w:style w:type="character" w:customStyle="1" w:styleId="TekstopmerkingChar">
    <w:name w:val="Tekst opmerking Char"/>
    <w:basedOn w:val="DefaultParagraphFont"/>
    <w:link w:val="CommentText"/>
    <w:uiPriority w:val="99"/>
    <w:semiHidden/>
    <w:rsid w:val="009D4A18"/>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1459</ap:Words>
  <ap:Characters>8030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Vonnissen AoH- en ECT-arbitrage</vt:lpstr>
    </vt:vector>
  </ap:TitlesOfParts>
  <ap:LinksUpToDate>false</ap:LinksUpToDate>
  <ap:CharactersWithSpaces>9471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2025-11-19T13:20:00.0000000Z</dcterms:created>
  <dcterms:modified xsi:type="dcterms:W3CDTF">2025-11-27T11:31:00.0000000Z</dcterms:modified>
  <dc:creator/>
  <lastModifiedBy/>
  <dc:description>------------------------</dc:description>
  <dc:subject/>
  <keywords/>
  <version/>
  <category/>
</coreProperties>
</file>