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231" w:rsidP="00DE4103" w:rsidRDefault="00AD48E1" w14:paraId="6D9569AB" w14:textId="1B195C3E">
      <w:pPr>
        <w:spacing w:line="240" w:lineRule="auto"/>
      </w:pPr>
      <w:r>
        <w:t>Geachte voorzitter,</w:t>
      </w:r>
    </w:p>
    <w:p w:rsidR="00164231" w:rsidP="00DE4103" w:rsidRDefault="00164231" w14:paraId="6D9569AC" w14:textId="77777777">
      <w:pPr>
        <w:spacing w:line="240" w:lineRule="auto"/>
      </w:pPr>
    </w:p>
    <w:p w:rsidR="00360096" w:rsidP="00DE4103" w:rsidRDefault="00360096" w14:paraId="0688392B" w14:textId="45FA9C77">
      <w:pPr>
        <w:spacing w:line="240" w:lineRule="auto"/>
      </w:pPr>
      <w:r>
        <w:t xml:space="preserve">Met deze brief wil ik </w:t>
      </w:r>
      <w:r w:rsidR="00A8149E">
        <w:t>u</w:t>
      </w:r>
      <w:r>
        <w:t xml:space="preserve">w </w:t>
      </w:r>
      <w:r w:rsidR="002D04C0">
        <w:t>K</w:t>
      </w:r>
      <w:r>
        <w:t xml:space="preserve">amer informeren over </w:t>
      </w:r>
      <w:r w:rsidR="00EE57CD">
        <w:t xml:space="preserve">het </w:t>
      </w:r>
      <w:r>
        <w:t xml:space="preserve">besluit </w:t>
      </w:r>
      <w:r w:rsidR="00EE57CD">
        <w:t>van het kabinet</w:t>
      </w:r>
      <w:r>
        <w:t xml:space="preserve"> om een </w:t>
      </w:r>
      <w:r w:rsidRPr="00226571">
        <w:t xml:space="preserve">extra bijdrage te doen van EUR 10 miljoen aan het </w:t>
      </w:r>
      <w:r w:rsidRPr="00226571">
        <w:rPr>
          <w:i/>
          <w:iCs/>
        </w:rPr>
        <w:t>Sudan Humanitarian Fund</w:t>
      </w:r>
      <w:r w:rsidRPr="00226571">
        <w:t xml:space="preserve">. Deze </w:t>
      </w:r>
      <w:r w:rsidRPr="00226571" w:rsidR="005A06C7">
        <w:t xml:space="preserve">bijdrage is </w:t>
      </w:r>
      <w:r w:rsidRPr="00226571" w:rsidR="006677C2">
        <w:t>opgenomen in</w:t>
      </w:r>
      <w:r w:rsidRPr="00226571">
        <w:t xml:space="preserve"> de</w:t>
      </w:r>
      <w:r w:rsidRPr="00E21FF4">
        <w:t xml:space="preserve"> </w:t>
      </w:r>
      <w:r w:rsidRPr="00E21FF4" w:rsidR="005A06C7">
        <w:t>T</w:t>
      </w:r>
      <w:r w:rsidRPr="00E21FF4">
        <w:t>weede suppletoire begroting BHO</w:t>
      </w:r>
      <w:r w:rsidRPr="00E21FF4" w:rsidR="005A06C7">
        <w:t xml:space="preserve"> 2025 (Kamerstuk 36850-XVII)</w:t>
      </w:r>
      <w:r w:rsidRPr="00E21FF4">
        <w:t>.</w:t>
      </w:r>
      <w:r>
        <w:t xml:space="preserve"> </w:t>
      </w:r>
    </w:p>
    <w:p w:rsidR="00360096" w:rsidP="00DE4103" w:rsidRDefault="00360096" w14:paraId="010E73F5" w14:textId="77777777">
      <w:pPr>
        <w:spacing w:line="240" w:lineRule="auto"/>
      </w:pPr>
    </w:p>
    <w:p w:rsidR="00D806E1" w:rsidP="00DE4103" w:rsidRDefault="00F11D9D" w14:paraId="5A1D623B" w14:textId="656AF102">
      <w:pPr>
        <w:spacing w:line="240" w:lineRule="auto"/>
        <w:rPr>
          <w:highlight w:val="yellow"/>
        </w:rPr>
      </w:pPr>
      <w:r>
        <w:t xml:space="preserve">De </w:t>
      </w:r>
      <w:r w:rsidR="005165DC">
        <w:t xml:space="preserve">strijd tussen de </w:t>
      </w:r>
      <w:r w:rsidRPr="004C2777" w:rsidR="005165DC">
        <w:rPr>
          <w:i/>
        </w:rPr>
        <w:t>Rapid Support Forces</w:t>
      </w:r>
      <w:r w:rsidR="005165DC">
        <w:t xml:space="preserve"> en de </w:t>
      </w:r>
      <w:r w:rsidRPr="004C2777" w:rsidR="005165DC">
        <w:rPr>
          <w:i/>
        </w:rPr>
        <w:t>Sudan Armed Forces</w:t>
      </w:r>
      <w:r w:rsidR="005165DC">
        <w:t xml:space="preserve"> heeft in </w:t>
      </w:r>
      <w:r>
        <w:t xml:space="preserve">Soedan </w:t>
      </w:r>
      <w:r w:rsidR="00E204A9">
        <w:t xml:space="preserve">geleid </w:t>
      </w:r>
      <w:r w:rsidR="005165DC">
        <w:t xml:space="preserve">tot de grootste </w:t>
      </w:r>
      <w:r w:rsidR="00E204A9">
        <w:t xml:space="preserve">humanitaire </w:t>
      </w:r>
      <w:r w:rsidR="005165DC">
        <w:t>crisis van dit moment</w:t>
      </w:r>
      <w:r w:rsidR="00BA16E8">
        <w:t>. M</w:t>
      </w:r>
      <w:r w:rsidR="005165DC">
        <w:t>eer dan 21 miljoen mensen hebben te maken met acute voedselonzekerheid</w:t>
      </w:r>
      <w:r w:rsidR="002714C8">
        <w:t>. H</w:t>
      </w:r>
      <w:r w:rsidR="005165DC">
        <w:t xml:space="preserve">ongersnood is </w:t>
      </w:r>
      <w:r w:rsidR="00F92432">
        <w:t>door de internationaal erkende voedselzekerheidswaakhond IPC (</w:t>
      </w:r>
      <w:r w:rsidRPr="00F92432" w:rsidR="00F92432">
        <w:t xml:space="preserve">Integrated Food Security Phase Classification) </w:t>
      </w:r>
      <w:r w:rsidR="005165DC">
        <w:t xml:space="preserve">vastgesteld in delen </w:t>
      </w:r>
      <w:r w:rsidR="002D04C0">
        <w:t xml:space="preserve">van </w:t>
      </w:r>
      <w:r w:rsidR="005165DC">
        <w:t>Darfoer en Kordofan</w:t>
      </w:r>
      <w:r w:rsidR="00BA16E8">
        <w:t xml:space="preserve">. 9,5 miljoen Soedanezen zijn intern ontheemd en 4,5 miljoen zijn </w:t>
      </w:r>
      <w:r w:rsidR="00D72202">
        <w:t xml:space="preserve">over de grens </w:t>
      </w:r>
      <w:r w:rsidR="00BA16E8">
        <w:t>g</w:t>
      </w:r>
      <w:r w:rsidR="00AD48E1">
        <w:t>ev</w:t>
      </w:r>
      <w:r w:rsidR="00BA16E8">
        <w:t>lucht</w:t>
      </w:r>
      <w:r w:rsidR="00D72202">
        <w:t>,</w:t>
      </w:r>
      <w:r w:rsidR="00BA16E8">
        <w:t xml:space="preserve"> waarmee Soedan ook de grootste ontheemdingscrisis </w:t>
      </w:r>
      <w:r w:rsidR="00B87288">
        <w:t>ter</w:t>
      </w:r>
      <w:r w:rsidR="00BA16E8">
        <w:t xml:space="preserve"> wereld is.</w:t>
      </w:r>
      <w:r w:rsidR="00C33FF3">
        <w:t xml:space="preserve"> </w:t>
      </w:r>
      <w:r w:rsidRPr="00226571" w:rsidR="00737114">
        <w:t xml:space="preserve">Humanitaire toegang wordt </w:t>
      </w:r>
      <w:r w:rsidRPr="00226571" w:rsidR="00BB5D9A">
        <w:t>beperkt</w:t>
      </w:r>
      <w:r w:rsidRPr="00226571" w:rsidR="00737114">
        <w:t xml:space="preserve"> door bureaucratische belemmeringen, logistieke uitdagingen in de getroffen regio’s maar vooral ook door onveiligheid. Sinds de star</w:t>
      </w:r>
      <w:r w:rsidRPr="00226571" w:rsidR="00D806E1">
        <w:t>t</w:t>
      </w:r>
      <w:r w:rsidRPr="00226571" w:rsidR="00737114">
        <w:t xml:space="preserve"> van het conflict in april 2023 zijn volgens </w:t>
      </w:r>
      <w:r w:rsidRPr="00226571" w:rsidR="00BA0659">
        <w:t>de</w:t>
      </w:r>
      <w:r w:rsidRPr="00226571" w:rsidR="00737114">
        <w:t xml:space="preserve"> Aid Workers Security Database al meer dan 1</w:t>
      </w:r>
      <w:r w:rsidRPr="00226571" w:rsidR="002C4293">
        <w:t>2</w:t>
      </w:r>
      <w:r w:rsidRPr="00226571" w:rsidR="00737114">
        <w:t xml:space="preserve">0 humanitaire hulpverleners </w:t>
      </w:r>
      <w:r w:rsidRPr="00226571" w:rsidR="00D806E1">
        <w:t xml:space="preserve">in Soedan </w:t>
      </w:r>
      <w:r w:rsidRPr="00226571" w:rsidR="00737114">
        <w:t xml:space="preserve">gedood. </w:t>
      </w:r>
      <w:r w:rsidRPr="00226571" w:rsidR="009F550F">
        <w:t xml:space="preserve">De gesprekken over een staakt het vuren en de eenzijdige afkondiging hiervan door de RSF afgelopen maandag hebben (nog) niet tot </w:t>
      </w:r>
      <w:r w:rsidRPr="00226571" w:rsidR="00BA0659">
        <w:t>een afname van het geweld geleid</w:t>
      </w:r>
      <w:r w:rsidRPr="00226571" w:rsidR="009F550F">
        <w:t>.</w:t>
      </w:r>
    </w:p>
    <w:p w:rsidR="006B6DE1" w:rsidP="00DE4103" w:rsidRDefault="006B6DE1" w14:paraId="0783FF7C" w14:textId="77777777">
      <w:pPr>
        <w:spacing w:line="240" w:lineRule="auto"/>
        <w:rPr>
          <w:highlight w:val="yellow"/>
        </w:rPr>
      </w:pPr>
    </w:p>
    <w:p w:rsidR="00164231" w:rsidP="00DE4103" w:rsidRDefault="006677C2" w14:paraId="6D9569AD" w14:textId="2E48726C">
      <w:pPr>
        <w:spacing w:line="240" w:lineRule="auto"/>
      </w:pPr>
      <w:r w:rsidRPr="00226571">
        <w:t xml:space="preserve">De recente inname van de stad El Fasher in Darfoer ging gepaard met </w:t>
      </w:r>
      <w:r w:rsidRPr="00226571" w:rsidR="00426494">
        <w:t>grootschalige wreedheden, waaronder</w:t>
      </w:r>
      <w:r w:rsidRPr="00226571">
        <w:t xml:space="preserve"> het doden </w:t>
      </w:r>
      <w:r w:rsidRPr="00226571" w:rsidR="00426494">
        <w:t xml:space="preserve">en verwonden </w:t>
      </w:r>
      <w:r w:rsidRPr="00226571">
        <w:t>van ongewapende burgers</w:t>
      </w:r>
      <w:r w:rsidRPr="00226571" w:rsidR="00426494">
        <w:t xml:space="preserve"> en </w:t>
      </w:r>
      <w:r w:rsidRPr="00226571" w:rsidR="00BA0659">
        <w:t xml:space="preserve">systematisch </w:t>
      </w:r>
      <w:r w:rsidRPr="00226571" w:rsidR="00426494">
        <w:t>seksueel geweld, die in sommige gevallen door de daders zelf werden gefilmd en gedeeld via sociale media. Naar Tawila, zo’n 70 kilometer ten westen van El Fasher, zijn in</w:t>
      </w:r>
      <w:r w:rsidRPr="00226571" w:rsidR="00D806E1">
        <w:t xml:space="preserve"> de afgelopen maanden</w:t>
      </w:r>
      <w:r w:rsidRPr="00226571" w:rsidR="00426494">
        <w:t xml:space="preserve"> meer dan 650.000 </w:t>
      </w:r>
      <w:r w:rsidRPr="00226571" w:rsidR="00D806E1">
        <w:t>mensen gevlucht</w:t>
      </w:r>
      <w:r w:rsidRPr="00226571" w:rsidR="00737114">
        <w:t>. O</w:t>
      </w:r>
      <w:r w:rsidRPr="00226571" w:rsidR="00426494">
        <w:t>ndanks de inzet van h</w:t>
      </w:r>
      <w:r w:rsidRPr="00226571" w:rsidR="00737114">
        <w:t xml:space="preserve">umanitaire </w:t>
      </w:r>
      <w:r w:rsidRPr="00226571" w:rsidR="00426494">
        <w:t>organisaties</w:t>
      </w:r>
      <w:r w:rsidRPr="00226571" w:rsidR="00737114">
        <w:t xml:space="preserve"> ter plaatse</w:t>
      </w:r>
      <w:r w:rsidRPr="00226571" w:rsidR="00426494">
        <w:t xml:space="preserve"> </w:t>
      </w:r>
      <w:r w:rsidRPr="00226571" w:rsidR="00D806E1">
        <w:t xml:space="preserve">is de situatie schrijnend en </w:t>
      </w:r>
      <w:r w:rsidRPr="00226571" w:rsidR="00426494">
        <w:t xml:space="preserve">is er </w:t>
      </w:r>
      <w:r w:rsidRPr="00226571" w:rsidR="00737114">
        <w:t xml:space="preserve">dringend </w:t>
      </w:r>
      <w:r w:rsidRPr="00226571" w:rsidR="00426494">
        <w:t xml:space="preserve">behoefte aan </w:t>
      </w:r>
      <w:r w:rsidRPr="00226571" w:rsidR="00737114">
        <w:t>extra hulp, waaronder</w:t>
      </w:r>
      <w:r w:rsidRPr="00226571" w:rsidR="00426494">
        <w:t xml:space="preserve"> voedsel, water, tenten</w:t>
      </w:r>
      <w:r w:rsidRPr="00226571" w:rsidR="00737114">
        <w:t xml:space="preserve"> en</w:t>
      </w:r>
      <w:r w:rsidRPr="00226571" w:rsidR="00426494">
        <w:t xml:space="preserve"> medische zorg.</w:t>
      </w:r>
      <w:r w:rsidRPr="00226571" w:rsidR="00226571">
        <w:t xml:space="preserve"> </w:t>
      </w:r>
      <w:r w:rsidRPr="00226571" w:rsidR="00BA0659">
        <w:t>Ook in Kordofan nemen de gevechten toe, en daarmee de noden van de bevolking.</w:t>
      </w:r>
      <w:r w:rsidR="00BA0659">
        <w:t xml:space="preserve"> </w:t>
      </w:r>
      <w:r w:rsidR="00426494">
        <w:t>V</w:t>
      </w:r>
      <w:r w:rsidR="00360096">
        <w:t xml:space="preserve">oor een uitgebreidere uitleg over de situatie in Soedan, met name na de recente inname van de stad El Fasher in Darfoer door de </w:t>
      </w:r>
      <w:r w:rsidRPr="00A8149E" w:rsidR="00360096">
        <w:rPr>
          <w:i/>
        </w:rPr>
        <w:t>Rapid Support Forces</w:t>
      </w:r>
      <w:r w:rsidR="00360096">
        <w:t xml:space="preserve"> </w:t>
      </w:r>
      <w:r w:rsidR="00B87288">
        <w:t>en de bestaande Nederlandse diplomatieke en humanitaire inzet</w:t>
      </w:r>
      <w:r w:rsidR="00360096">
        <w:t xml:space="preserve">, verwijs ik naar de </w:t>
      </w:r>
      <w:r w:rsidR="00A8149E">
        <w:t>K</w:t>
      </w:r>
      <w:r w:rsidR="00360096">
        <w:t xml:space="preserve">amerbrieven </w:t>
      </w:r>
      <w:r w:rsidRPr="008A3672" w:rsidR="00360096">
        <w:t xml:space="preserve">van </w:t>
      </w:r>
      <w:r w:rsidRPr="008A3672" w:rsidR="008E3D00">
        <w:t>24</w:t>
      </w:r>
      <w:r w:rsidRPr="008A3672" w:rsidR="00360096">
        <w:t xml:space="preserve"> september </w:t>
      </w:r>
      <w:r w:rsidR="00A8149E">
        <w:t>jl.</w:t>
      </w:r>
      <w:r w:rsidRPr="008A3672" w:rsidR="00360096">
        <w:t xml:space="preserve"> (</w:t>
      </w:r>
      <w:r w:rsidRPr="00901F52" w:rsidR="008E3D00">
        <w:rPr>
          <w:i/>
          <w:iCs/>
        </w:rPr>
        <w:t>Humanitaire situatie Soedan en specifiek El Fasher</w:t>
      </w:r>
      <w:r w:rsidRPr="008A3672" w:rsidR="00360096">
        <w:t>)</w:t>
      </w:r>
      <w:r w:rsidR="00794A14">
        <w:rPr>
          <w:rStyle w:val="FootnoteReference"/>
        </w:rPr>
        <w:footnoteReference w:id="2"/>
      </w:r>
      <w:r w:rsidRPr="008A3672" w:rsidR="00360096">
        <w:t xml:space="preserve"> en</w:t>
      </w:r>
      <w:r w:rsidRPr="00A17E37" w:rsidR="00360096">
        <w:rPr>
          <w:color w:val="auto"/>
        </w:rPr>
        <w:t xml:space="preserve"> </w:t>
      </w:r>
      <w:r w:rsidRPr="00A17E37" w:rsidR="00A17E37">
        <w:rPr>
          <w:color w:val="auto"/>
        </w:rPr>
        <w:t>24</w:t>
      </w:r>
      <w:r w:rsidRPr="00A17E37" w:rsidR="00360096">
        <w:rPr>
          <w:color w:val="auto"/>
        </w:rPr>
        <w:t xml:space="preserve"> </w:t>
      </w:r>
      <w:r w:rsidR="00360096">
        <w:t xml:space="preserve">november </w:t>
      </w:r>
      <w:r w:rsidR="00A8149E">
        <w:t>jl.</w:t>
      </w:r>
      <w:r w:rsidR="00360096">
        <w:t xml:space="preserve"> </w:t>
      </w:r>
      <w:r w:rsidRPr="008A3672" w:rsidR="00360096">
        <w:t>(</w:t>
      </w:r>
      <w:r w:rsidRPr="00901F52" w:rsidR="008A3672">
        <w:rPr>
          <w:i/>
          <w:iCs/>
        </w:rPr>
        <w:t>Ontwikkelingen El Fasher Soeda</w:t>
      </w:r>
      <w:r w:rsidRPr="00A17E37" w:rsidR="008A3672">
        <w:rPr>
          <w:i/>
          <w:iCs/>
        </w:rPr>
        <w:t>n</w:t>
      </w:r>
      <w:r w:rsidRPr="00A17E37" w:rsidR="00A17E37">
        <w:rPr>
          <w:i/>
          <w:iCs/>
        </w:rPr>
        <w:t>)</w:t>
      </w:r>
      <w:r w:rsidRPr="00A17E37" w:rsidR="00360096">
        <w:rPr>
          <w:i/>
          <w:iCs/>
        </w:rPr>
        <w:t>.</w:t>
      </w:r>
    </w:p>
    <w:p w:rsidR="00164231" w:rsidP="00DE4103" w:rsidRDefault="00164231" w14:paraId="6D9569AE" w14:textId="77777777">
      <w:pPr>
        <w:spacing w:line="240" w:lineRule="auto"/>
      </w:pPr>
    </w:p>
    <w:p w:rsidR="00981072" w:rsidP="00DE4103" w:rsidRDefault="00BA16E8" w14:paraId="70BD10CE" w14:textId="2C5A6237">
      <w:pPr>
        <w:spacing w:line="240" w:lineRule="auto"/>
      </w:pPr>
      <w:r>
        <w:lastRenderedPageBreak/>
        <w:t xml:space="preserve">Om deze noden het hoofd te bieden is extra geld nodig. </w:t>
      </w:r>
      <w:r w:rsidR="00C33FF3">
        <w:t xml:space="preserve">Het </w:t>
      </w:r>
      <w:r w:rsidR="00C937CF">
        <w:t>h</w:t>
      </w:r>
      <w:r w:rsidR="00C33FF3">
        <w:t xml:space="preserve">umanitaire </w:t>
      </w:r>
      <w:r w:rsidR="00C937CF">
        <w:t>r</w:t>
      </w:r>
      <w:r w:rsidR="00C33FF3">
        <w:t>espons</w:t>
      </w:r>
      <w:r w:rsidR="00C937CF">
        <w:t>p</w:t>
      </w:r>
      <w:r w:rsidR="00C33FF3">
        <w:t xml:space="preserve">lan </w:t>
      </w:r>
      <w:r w:rsidR="00AD48E1">
        <w:t>voor S</w:t>
      </w:r>
      <w:r w:rsidR="00B87288">
        <w:t>oe</w:t>
      </w:r>
      <w:r w:rsidR="00AD48E1">
        <w:t xml:space="preserve">dan over </w:t>
      </w:r>
      <w:r w:rsidR="00C33FF3">
        <w:t xml:space="preserve">2025 is </w:t>
      </w:r>
      <w:r w:rsidR="002D04C0">
        <w:t xml:space="preserve">tegen </w:t>
      </w:r>
      <w:r w:rsidR="00C33FF3">
        <w:t xml:space="preserve">het eind van het jaar maar voor 28% gefinancierd. </w:t>
      </w:r>
      <w:r w:rsidRPr="00901F52" w:rsidR="00901F52">
        <w:t>Conform motie-</w:t>
      </w:r>
      <w:r w:rsidR="002714C8">
        <w:t xml:space="preserve">van </w:t>
      </w:r>
      <w:r w:rsidRPr="00901F52" w:rsidR="00901F52">
        <w:t>Baarle</w:t>
      </w:r>
      <w:r w:rsidR="00794A14">
        <w:rPr>
          <w:rStyle w:val="FootnoteReference"/>
        </w:rPr>
        <w:footnoteReference w:id="3"/>
      </w:r>
      <w:r w:rsidRPr="00901F52" w:rsidR="00901F52">
        <w:t xml:space="preserve"> heeft Nederland tijdens de Raad Buitenlandse Zaken </w:t>
      </w:r>
      <w:r w:rsidR="002714C8">
        <w:t>op 20</w:t>
      </w:r>
      <w:r w:rsidRPr="00901F52" w:rsidR="00901F52">
        <w:t xml:space="preserve"> november jl. gepleit voor het verder verhogen van de humanitaire hulp vanuit de EU voor Soedan. </w:t>
      </w:r>
      <w:r w:rsidR="00901F52">
        <w:t>Nederland</w:t>
      </w:r>
      <w:r w:rsidR="00B87288">
        <w:t xml:space="preserve"> draagt reeds bij aan de humanitaire respons in Soedan via de ongeoormerkte, flexibele en meerjarige financiering aan humanitaire partnerorganisaties</w:t>
      </w:r>
      <w:r w:rsidR="00794A14">
        <w:t>.</w:t>
      </w:r>
      <w:r w:rsidR="00794A14">
        <w:rPr>
          <w:rStyle w:val="FootnoteReference"/>
        </w:rPr>
        <w:footnoteReference w:id="4"/>
      </w:r>
      <w:r w:rsidR="00B87288">
        <w:t xml:space="preserve"> </w:t>
      </w:r>
      <w:r w:rsidR="00901F52">
        <w:t>Daarnaast heeft het kabinet</w:t>
      </w:r>
      <w:r w:rsidRPr="00901F52" w:rsidR="00333AB3">
        <w:t xml:space="preserve"> </w:t>
      </w:r>
      <w:r w:rsidR="002714C8">
        <w:t xml:space="preserve">nu </w:t>
      </w:r>
      <w:r w:rsidR="00901F52">
        <w:t>besloten</w:t>
      </w:r>
      <w:r w:rsidRPr="00901F52" w:rsidR="00B87288">
        <w:t xml:space="preserve"> </w:t>
      </w:r>
      <w:r w:rsidRPr="00901F52" w:rsidR="004F63B7">
        <w:t xml:space="preserve">EUR </w:t>
      </w:r>
      <w:r w:rsidRPr="00901F52" w:rsidR="0052287B">
        <w:t>10 miljoen extra bij</w:t>
      </w:r>
      <w:r w:rsidR="00901F52">
        <w:t xml:space="preserve"> te </w:t>
      </w:r>
      <w:r w:rsidRPr="00901F52" w:rsidR="0052287B">
        <w:t xml:space="preserve">dragen aan het </w:t>
      </w:r>
      <w:r w:rsidRPr="00A8149E" w:rsidR="0052287B">
        <w:rPr>
          <w:i/>
        </w:rPr>
        <w:t>S</w:t>
      </w:r>
      <w:r w:rsidRPr="00A8149E" w:rsidR="00B87288">
        <w:rPr>
          <w:i/>
        </w:rPr>
        <w:t>u</w:t>
      </w:r>
      <w:r w:rsidRPr="00A8149E" w:rsidR="0052287B">
        <w:rPr>
          <w:i/>
        </w:rPr>
        <w:t>dan Humanitarian Fund</w:t>
      </w:r>
      <w:r w:rsidRPr="00901F52" w:rsidR="0052287B">
        <w:t xml:space="preserve"> van de Verenigde Naties</w:t>
      </w:r>
      <w:r w:rsidRPr="00901F52" w:rsidR="00B87288">
        <w:t>, boven</w:t>
      </w:r>
      <w:r w:rsidRPr="00901F52" w:rsidR="001A61FF">
        <w:t xml:space="preserve"> </w:t>
      </w:r>
      <w:r w:rsidRPr="00901F52" w:rsidR="00B87288">
        <w:t xml:space="preserve">op de </w:t>
      </w:r>
      <w:r w:rsidRPr="00901F52" w:rsidR="001B2466">
        <w:t>EUR 16</w:t>
      </w:r>
      <w:r w:rsidRPr="00901F52" w:rsidR="00B87288">
        <w:t xml:space="preserve"> miljoen die Nederland eerder dit jaar heeft bijgedragen</w:t>
      </w:r>
      <w:r w:rsidRPr="00901F52" w:rsidR="0052287B">
        <w:t>.</w:t>
      </w:r>
      <w:r w:rsidRPr="00901F52" w:rsidR="00981072">
        <w:t xml:space="preserve"> </w:t>
      </w:r>
      <w:r w:rsidR="00B141A4">
        <w:t>Hiermee wordt tevens voldaan aan de motie-van der Werf c</w:t>
      </w:r>
      <w:r w:rsidR="00794A14">
        <w:t>.</w:t>
      </w:r>
      <w:r w:rsidR="00B141A4">
        <w:t>s</w:t>
      </w:r>
      <w:r w:rsidR="00D35548">
        <w:t>.</w:t>
      </w:r>
      <w:r w:rsidR="00794A14">
        <w:rPr>
          <w:rStyle w:val="FootnoteReference"/>
        </w:rPr>
        <w:footnoteReference w:id="5"/>
      </w:r>
      <w:r w:rsidR="00D35548">
        <w:t xml:space="preserve"> </w:t>
      </w:r>
      <w:r w:rsidRPr="00901F52" w:rsidR="00981072">
        <w:t xml:space="preserve">Het </w:t>
      </w:r>
      <w:r w:rsidRPr="00A8149E" w:rsidR="00981072">
        <w:rPr>
          <w:i/>
        </w:rPr>
        <w:t>S</w:t>
      </w:r>
      <w:r w:rsidRPr="00A8149E" w:rsidR="008A3672">
        <w:rPr>
          <w:i/>
        </w:rPr>
        <w:t xml:space="preserve">udan </w:t>
      </w:r>
      <w:r w:rsidRPr="00A8149E" w:rsidR="00981072">
        <w:rPr>
          <w:i/>
        </w:rPr>
        <w:t>H</w:t>
      </w:r>
      <w:r w:rsidRPr="00A8149E" w:rsidR="008A3672">
        <w:rPr>
          <w:i/>
        </w:rPr>
        <w:t xml:space="preserve">umanitarian </w:t>
      </w:r>
      <w:r w:rsidRPr="00A8149E" w:rsidR="00981072">
        <w:rPr>
          <w:i/>
        </w:rPr>
        <w:t>F</w:t>
      </w:r>
      <w:r w:rsidRPr="00A8149E" w:rsidR="008A3672">
        <w:rPr>
          <w:i/>
        </w:rPr>
        <w:t>und</w:t>
      </w:r>
      <w:r w:rsidRPr="00901F52" w:rsidR="00981072">
        <w:t xml:space="preserve"> heeft </w:t>
      </w:r>
      <w:r w:rsidR="002714C8">
        <w:t>in 2025</w:t>
      </w:r>
      <w:r w:rsidR="00981072">
        <w:t xml:space="preserve"> al </w:t>
      </w:r>
      <w:r w:rsidR="00802AE0">
        <w:t xml:space="preserve">USD </w:t>
      </w:r>
      <w:r w:rsidR="00981072">
        <w:t xml:space="preserve">48 miljoen </w:t>
      </w:r>
      <w:r w:rsidRPr="00226571" w:rsidR="00D806E1">
        <w:t xml:space="preserve">toegewezen aan </w:t>
      </w:r>
      <w:r w:rsidRPr="00226571" w:rsidR="00981072">
        <w:t>de nu zwaar</w:t>
      </w:r>
      <w:r w:rsidR="00981072">
        <w:t xml:space="preserve"> getroffen delen van Darfoer en Kordofan en zal dit verder opschalen.</w:t>
      </w:r>
    </w:p>
    <w:p w:rsidR="00794A14" w:rsidP="00DE4103" w:rsidRDefault="00794A14" w14:paraId="57F01543" w14:textId="77777777">
      <w:pPr>
        <w:spacing w:line="240" w:lineRule="auto"/>
      </w:pPr>
    </w:p>
    <w:p w:rsidR="00981072" w:rsidP="00DE4103" w:rsidRDefault="00A8149E" w14:paraId="482C5F7B" w14:textId="6CDF91FA">
      <w:pPr>
        <w:spacing w:line="240" w:lineRule="auto"/>
      </w:pPr>
      <w:r>
        <w:t>Het kabinet kiest</w:t>
      </w:r>
      <w:r w:rsidR="004F63B7">
        <w:t xml:space="preserve"> </w:t>
      </w:r>
      <w:r w:rsidRPr="00901F52" w:rsidR="004F63B7">
        <w:t xml:space="preserve">voor het </w:t>
      </w:r>
      <w:r w:rsidRPr="00A8149E" w:rsidR="00335065">
        <w:rPr>
          <w:i/>
        </w:rPr>
        <w:t>S</w:t>
      </w:r>
      <w:r w:rsidRPr="00A8149E" w:rsidR="008A3672">
        <w:rPr>
          <w:i/>
        </w:rPr>
        <w:t xml:space="preserve">udan </w:t>
      </w:r>
      <w:r w:rsidRPr="00A8149E" w:rsidR="00335065">
        <w:rPr>
          <w:i/>
        </w:rPr>
        <w:t>H</w:t>
      </w:r>
      <w:r w:rsidRPr="00A8149E" w:rsidR="008A3672">
        <w:rPr>
          <w:i/>
        </w:rPr>
        <w:t xml:space="preserve">umanitarian </w:t>
      </w:r>
      <w:r w:rsidRPr="00A8149E" w:rsidR="00335065">
        <w:rPr>
          <w:i/>
        </w:rPr>
        <w:t>F</w:t>
      </w:r>
      <w:r w:rsidRPr="00A8149E" w:rsidR="008A3672">
        <w:rPr>
          <w:i/>
        </w:rPr>
        <w:t>und</w:t>
      </w:r>
      <w:r w:rsidRPr="00901F52" w:rsidR="00335065">
        <w:t xml:space="preserve"> </w:t>
      </w:r>
      <w:r w:rsidRPr="00901F52" w:rsidR="004F63B7">
        <w:t>omd</w:t>
      </w:r>
      <w:r w:rsidRPr="00901F52" w:rsidR="00335065">
        <w:t xml:space="preserve">at het een effectief kanaal is gebleken tijdens de crisis in Soedan. </w:t>
      </w:r>
      <w:r w:rsidRPr="00901F52" w:rsidR="00C33FF3">
        <w:t>Door de flexibiliteit van de financiering kan v</w:t>
      </w:r>
      <w:r w:rsidRPr="00901F52" w:rsidR="004F63B7">
        <w:t xml:space="preserve">anuit </w:t>
      </w:r>
      <w:r w:rsidRPr="00901F52" w:rsidR="00335065">
        <w:t xml:space="preserve">het </w:t>
      </w:r>
      <w:r w:rsidR="002714C8">
        <w:rPr>
          <w:i/>
          <w:iCs/>
        </w:rPr>
        <w:t>Sudan Humanitarian Fund</w:t>
      </w:r>
      <w:r w:rsidR="00335065">
        <w:t xml:space="preserve"> </w:t>
      </w:r>
      <w:r w:rsidRPr="00901F52" w:rsidR="004F63B7">
        <w:t xml:space="preserve">voortdurend </w:t>
      </w:r>
      <w:r w:rsidRPr="00901F52" w:rsidR="00C33FF3">
        <w:t xml:space="preserve">worden </w:t>
      </w:r>
      <w:r w:rsidRPr="00901F52" w:rsidR="004F63B7">
        <w:t>ingespeeld op de veranderende noden in samenhang met beschikbare financiering.</w:t>
      </w:r>
      <w:r w:rsidRPr="00901F52" w:rsidR="00335065">
        <w:t xml:space="preserve"> Daarbij wordt tevens gelet op </w:t>
      </w:r>
      <w:r w:rsidRPr="00901F52" w:rsidR="00C33FF3">
        <w:t xml:space="preserve">complementariteit en </w:t>
      </w:r>
      <w:r w:rsidRPr="00901F52" w:rsidR="00335065">
        <w:t>welke organisaties het best in staat zijn om hulp te verlenen</w:t>
      </w:r>
      <w:r w:rsidRPr="00901F52" w:rsidR="005B07F6">
        <w:t xml:space="preserve">. Dit zijn vaak </w:t>
      </w:r>
      <w:r w:rsidRPr="00901F52" w:rsidR="00335065">
        <w:t>lokale organisaties</w:t>
      </w:r>
      <w:r>
        <w:t>.</w:t>
      </w:r>
      <w:r w:rsidR="005B07F6">
        <w:t xml:space="preserve"> </w:t>
      </w:r>
      <w:r>
        <w:t>V</w:t>
      </w:r>
      <w:r w:rsidR="00335065">
        <w:t>ia</w:t>
      </w:r>
      <w:r w:rsidRPr="00901F52" w:rsidR="00335065">
        <w:t xml:space="preserve"> het </w:t>
      </w:r>
      <w:r w:rsidRPr="00A8149E" w:rsidR="00335065">
        <w:rPr>
          <w:i/>
        </w:rPr>
        <w:t>S</w:t>
      </w:r>
      <w:r w:rsidRPr="00A8149E" w:rsidR="008A3672">
        <w:rPr>
          <w:i/>
        </w:rPr>
        <w:t>udan Humanitarian Fund</w:t>
      </w:r>
      <w:r w:rsidRPr="00901F52" w:rsidR="00335065">
        <w:t xml:space="preserve"> worden </w:t>
      </w:r>
      <w:r w:rsidRPr="00901F52" w:rsidR="005B07F6">
        <w:t>dan oo</w:t>
      </w:r>
      <w:r w:rsidR="005B07F6">
        <w:t xml:space="preserve">k </w:t>
      </w:r>
      <w:r w:rsidRPr="00C91A9D" w:rsidR="00335065">
        <w:rPr>
          <w:i/>
        </w:rPr>
        <w:t>Emergency Response Rooms</w:t>
      </w:r>
      <w:r w:rsidR="005B07F6">
        <w:t xml:space="preserve"> </w:t>
      </w:r>
      <w:r w:rsidR="00335065">
        <w:t>gefinancierd</w:t>
      </w:r>
      <w:r w:rsidRPr="00901F52" w:rsidR="00335065">
        <w:t>.</w:t>
      </w:r>
      <w:r w:rsidRPr="00901F52" w:rsidR="005B07F6">
        <w:t xml:space="preserve"> </w:t>
      </w:r>
      <w:r w:rsidRPr="00A8149E" w:rsidR="005B07F6">
        <w:rPr>
          <w:i/>
        </w:rPr>
        <w:t>Emergency Response Rooms</w:t>
      </w:r>
      <w:r w:rsidRPr="00901F52" w:rsidR="005B07F6">
        <w:t xml:space="preserve"> </w:t>
      </w:r>
      <w:r w:rsidRPr="00901F52" w:rsidR="00335065">
        <w:t xml:space="preserve">zijn kleine </w:t>
      </w:r>
      <w:r w:rsidRPr="00901F52" w:rsidR="00D72202">
        <w:t xml:space="preserve">vrijwilligersinitiatieven </w:t>
      </w:r>
      <w:r w:rsidRPr="00901F52" w:rsidR="00335065">
        <w:t>die een cruciale rol spelen in het verlenen van levensreddende hulp, ook in moeilijk bereikbare plaatsen</w:t>
      </w:r>
      <w:r w:rsidRPr="00901F52" w:rsidR="0089451D">
        <w:t xml:space="preserve"> zoals </w:t>
      </w:r>
      <w:r w:rsidR="00C937CF">
        <w:t xml:space="preserve">in </w:t>
      </w:r>
      <w:r w:rsidR="0089451D">
        <w:t>El Fasher</w:t>
      </w:r>
      <w:r>
        <w:t xml:space="preserve"> voor de overname van de </w:t>
      </w:r>
      <w:r>
        <w:rPr>
          <w:i/>
        </w:rPr>
        <w:t>Rapid Support Forces</w:t>
      </w:r>
      <w:r w:rsidR="00335065">
        <w:t>.</w:t>
      </w:r>
      <w:r w:rsidRPr="00901F52" w:rsidR="00335065">
        <w:t xml:space="preserve"> </w:t>
      </w:r>
      <w:r w:rsidRPr="00901F52" w:rsidR="00981072">
        <w:t xml:space="preserve">Tijdens de </w:t>
      </w:r>
      <w:r>
        <w:rPr>
          <w:i/>
          <w:iCs/>
        </w:rPr>
        <w:t>High Level Week</w:t>
      </w:r>
      <w:r>
        <w:t xml:space="preserve"> van de</w:t>
      </w:r>
      <w:r w:rsidR="00981072">
        <w:t xml:space="preserve"> </w:t>
      </w:r>
      <w:r w:rsidRPr="00901F52" w:rsidR="00981072">
        <w:t>Algemene Vergadering van de Verenigde Naties in september 2025 heeft</w:t>
      </w:r>
      <w:r w:rsidRPr="00901F52" w:rsidR="00DA7545">
        <w:t xml:space="preserve"> </w:t>
      </w:r>
      <w:r w:rsidRPr="00901F52" w:rsidR="00981072">
        <w:t xml:space="preserve">Nederland een </w:t>
      </w:r>
      <w:r w:rsidR="002714C8">
        <w:t>evenement</w:t>
      </w:r>
      <w:r w:rsidR="00981072">
        <w:t xml:space="preserve"> </w:t>
      </w:r>
      <w:r w:rsidRPr="00901F52" w:rsidR="00981072">
        <w:t xml:space="preserve">georganiseerd over </w:t>
      </w:r>
      <w:r w:rsidR="004D57F4">
        <w:t xml:space="preserve">onder andere </w:t>
      </w:r>
      <w:r w:rsidRPr="00901F52" w:rsidR="00981072">
        <w:t xml:space="preserve">het </w:t>
      </w:r>
      <w:r w:rsidRPr="00A8149E">
        <w:t>belang van lokale burgerinitiatieven inclusief</w:t>
      </w:r>
      <w:r w:rsidRPr="00901F52" w:rsidR="00981072">
        <w:t xml:space="preserve"> </w:t>
      </w:r>
      <w:r w:rsidRPr="00A8149E" w:rsidR="00981072">
        <w:rPr>
          <w:i/>
        </w:rPr>
        <w:t>Emergency Response Rooms</w:t>
      </w:r>
      <w:r w:rsidRPr="00901F52" w:rsidR="00981072">
        <w:t>, samen met het Verenigd Koninkrijk en Liberia. Een van de doelen van dit evenement</w:t>
      </w:r>
      <w:r w:rsidR="00981072">
        <w:t xml:space="preserve"> was het oproepen tot internationale financiering van deze lokale humanitaire organisaties.</w:t>
      </w:r>
    </w:p>
    <w:p w:rsidR="002E45F0" w:rsidP="00DE4103" w:rsidRDefault="002E45F0" w14:paraId="4C3EBBA4" w14:textId="77777777">
      <w:pPr>
        <w:spacing w:line="240" w:lineRule="auto"/>
      </w:pPr>
    </w:p>
    <w:p w:rsidR="00BA16E8" w:rsidP="00DE4103" w:rsidRDefault="002714C8" w14:paraId="3B6816AE" w14:textId="6219BB2A">
      <w:pPr>
        <w:spacing w:line="240" w:lineRule="auto"/>
      </w:pPr>
      <w:r>
        <w:t>H</w:t>
      </w:r>
      <w:r w:rsidR="00747807">
        <w:t xml:space="preserve">et kabinet </w:t>
      </w:r>
      <w:r>
        <w:t>deelt</w:t>
      </w:r>
      <w:r w:rsidR="00747807">
        <w:t xml:space="preserve"> de </w:t>
      </w:r>
      <w:r w:rsidR="00BF6A3C">
        <w:t xml:space="preserve">grote </w:t>
      </w:r>
      <w:r w:rsidR="00C33FF3">
        <w:t xml:space="preserve">zorgen </w:t>
      </w:r>
      <w:r>
        <w:t xml:space="preserve">van uw Kamer </w:t>
      </w:r>
      <w:r w:rsidR="00C33FF3">
        <w:t>over de situatie in Soedan en het lijden van de Soedanese bevolking. Met deze extra bijdrage doe</w:t>
      </w:r>
      <w:r w:rsidR="00747807">
        <w:t>t</w:t>
      </w:r>
      <w:r w:rsidR="00C33FF3">
        <w:t xml:space="preserve"> </w:t>
      </w:r>
      <w:r w:rsidR="00747807">
        <w:t xml:space="preserve">het kabinet </w:t>
      </w:r>
      <w:r w:rsidR="00C33FF3">
        <w:t xml:space="preserve">recht aan de </w:t>
      </w:r>
      <w:r w:rsidR="00932AB0">
        <w:t xml:space="preserve">gedeelde wens om meer te doen aan de </w:t>
      </w:r>
      <w:r w:rsidR="00C33FF3">
        <w:t xml:space="preserve">grote </w:t>
      </w:r>
      <w:r w:rsidR="00747807">
        <w:t xml:space="preserve">oplopende </w:t>
      </w:r>
      <w:r w:rsidR="00C33FF3">
        <w:t xml:space="preserve">noden in Soedan. </w:t>
      </w:r>
    </w:p>
    <w:p w:rsidR="00DE4103" w:rsidP="00DE4103" w:rsidRDefault="00DE4103" w14:paraId="080D538E" w14:textId="77777777">
      <w:pPr>
        <w:spacing w:line="240" w:lineRule="auto"/>
      </w:pPr>
    </w:p>
    <w:p w:rsidR="00DE4103" w:rsidP="00DE4103" w:rsidRDefault="00DE4103" w14:paraId="15CB83FB" w14:textId="77777777">
      <w:pPr>
        <w:spacing w:line="240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64231" w14:paraId="6D9569B1" w14:textId="77777777">
        <w:tc>
          <w:tcPr>
            <w:tcW w:w="3620" w:type="dxa"/>
          </w:tcPr>
          <w:p w:rsidR="001E07EB" w:rsidP="00DE4103" w:rsidRDefault="00AD48E1" w14:paraId="3E7B0D90" w14:textId="57DE6647">
            <w:pPr>
              <w:spacing w:line="240" w:lineRule="auto"/>
            </w:pPr>
            <w:r>
              <w:t>Staatssecretaris Buitenlandse Handel en Ontwikkelingshulp</w:t>
            </w:r>
            <w:r w:rsidR="002606AF">
              <w:t>,</w:t>
            </w:r>
            <w:r>
              <w:br/>
            </w:r>
          </w:p>
          <w:p w:rsidR="00DE4103" w:rsidP="00DE4103" w:rsidRDefault="00DE4103" w14:paraId="48DD57F9" w14:textId="77777777">
            <w:pPr>
              <w:spacing w:line="240" w:lineRule="auto"/>
            </w:pPr>
          </w:p>
          <w:p w:rsidR="00DE4103" w:rsidP="00DE4103" w:rsidRDefault="00DE4103" w14:paraId="776C3C73" w14:textId="77777777">
            <w:pPr>
              <w:spacing w:line="240" w:lineRule="auto"/>
            </w:pPr>
          </w:p>
          <w:p w:rsidR="00DE4103" w:rsidP="00DE4103" w:rsidRDefault="00DE4103" w14:paraId="613A054F" w14:textId="77777777">
            <w:pPr>
              <w:spacing w:line="240" w:lineRule="auto"/>
            </w:pPr>
          </w:p>
          <w:p w:rsidR="00164231" w:rsidP="00DE4103" w:rsidRDefault="00AD48E1" w14:paraId="6D9569AF" w14:textId="55A88ECC">
            <w:pPr>
              <w:spacing w:line="240" w:lineRule="auto"/>
            </w:pPr>
            <w:r>
              <w:br/>
              <w:t>Aukje de Vries</w:t>
            </w:r>
          </w:p>
        </w:tc>
        <w:tc>
          <w:tcPr>
            <w:tcW w:w="3921" w:type="dxa"/>
          </w:tcPr>
          <w:p w:rsidR="00164231" w:rsidP="00DE4103" w:rsidRDefault="00164231" w14:paraId="6D9569B0" w14:textId="77777777">
            <w:pPr>
              <w:spacing w:line="240" w:lineRule="auto"/>
            </w:pPr>
          </w:p>
        </w:tc>
      </w:tr>
    </w:tbl>
    <w:p w:rsidR="00164231" w:rsidP="00DE4103" w:rsidRDefault="00164231" w14:paraId="6D9569B2" w14:textId="77777777">
      <w:pPr>
        <w:spacing w:line="240" w:lineRule="auto"/>
      </w:pPr>
    </w:p>
    <w:sectPr w:rsidR="00164231" w:rsidSect="002F6B5D">
      <w:headerReference w:type="default" r:id="rId14"/>
      <w:footerReference w:type="default" r:id="rId15"/>
      <w:headerReference w:type="first" r:id="rId16"/>
      <w:footerReference w:type="first" r:id="rId17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20F7" w14:textId="77777777" w:rsidR="00AD48E1" w:rsidRDefault="00AD48E1">
      <w:pPr>
        <w:spacing w:line="240" w:lineRule="auto"/>
      </w:pPr>
      <w:r>
        <w:separator/>
      </w:r>
    </w:p>
  </w:endnote>
  <w:endnote w:type="continuationSeparator" w:id="0">
    <w:p w14:paraId="17A872CA" w14:textId="77777777" w:rsidR="00AD48E1" w:rsidRDefault="00AD48E1">
      <w:pPr>
        <w:spacing w:line="240" w:lineRule="auto"/>
      </w:pPr>
      <w:r>
        <w:continuationSeparator/>
      </w:r>
    </w:p>
  </w:endnote>
  <w:endnote w:type="continuationNotice" w:id="1">
    <w:p w14:paraId="5B583D50" w14:textId="77777777" w:rsidR="000955EB" w:rsidRDefault="000955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305120"/>
      <w:docPartObj>
        <w:docPartGallery w:val="Page Numbers (Bottom of Page)"/>
        <w:docPartUnique/>
      </w:docPartObj>
    </w:sdtPr>
    <w:sdtEndPr/>
    <w:sdtContent>
      <w:p w14:paraId="161C4769" w14:textId="77ADBF50" w:rsidR="002606AF" w:rsidRDefault="002606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206D0" w14:textId="77777777" w:rsidR="002606AF" w:rsidRDefault="00260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358240"/>
      <w:docPartObj>
        <w:docPartGallery w:val="Page Numbers (Bottom of Page)"/>
        <w:docPartUnique/>
      </w:docPartObj>
    </w:sdtPr>
    <w:sdtEndPr/>
    <w:sdtContent>
      <w:p w14:paraId="235DAC2A" w14:textId="5A35C350" w:rsidR="002606AF" w:rsidRDefault="002606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A2EB9" w14:textId="77777777" w:rsidR="002606AF" w:rsidRDefault="00260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13CB" w14:textId="77777777" w:rsidR="00AD48E1" w:rsidRDefault="00AD48E1">
      <w:pPr>
        <w:spacing w:line="240" w:lineRule="auto"/>
      </w:pPr>
      <w:r>
        <w:separator/>
      </w:r>
    </w:p>
  </w:footnote>
  <w:footnote w:type="continuationSeparator" w:id="0">
    <w:p w14:paraId="740A684A" w14:textId="77777777" w:rsidR="00AD48E1" w:rsidRDefault="00AD48E1">
      <w:pPr>
        <w:spacing w:line="240" w:lineRule="auto"/>
      </w:pPr>
      <w:r>
        <w:continuationSeparator/>
      </w:r>
    </w:p>
  </w:footnote>
  <w:footnote w:type="continuationNotice" w:id="1">
    <w:p w14:paraId="69BAFA53" w14:textId="77777777" w:rsidR="000955EB" w:rsidRDefault="000955EB">
      <w:pPr>
        <w:spacing w:line="240" w:lineRule="auto"/>
      </w:pPr>
    </w:p>
  </w:footnote>
  <w:footnote w:id="2">
    <w:p w14:paraId="29DE134A" w14:textId="468479F5" w:rsidR="00794A14" w:rsidRPr="00A17E37" w:rsidRDefault="00794A14">
      <w:pPr>
        <w:pStyle w:val="FootnoteText"/>
        <w:rPr>
          <w:sz w:val="16"/>
          <w:szCs w:val="16"/>
        </w:rPr>
      </w:pPr>
      <w:r w:rsidRPr="00794A14">
        <w:rPr>
          <w:rStyle w:val="FootnoteReference"/>
          <w:sz w:val="16"/>
          <w:szCs w:val="16"/>
        </w:rPr>
        <w:footnoteRef/>
      </w:r>
      <w:r w:rsidRPr="00794A14">
        <w:rPr>
          <w:sz w:val="16"/>
          <w:szCs w:val="16"/>
        </w:rPr>
        <w:t xml:space="preserve"> </w:t>
      </w:r>
      <w:r w:rsidRPr="00A17E37">
        <w:rPr>
          <w:sz w:val="16"/>
          <w:szCs w:val="16"/>
        </w:rPr>
        <w:t>Kamerstuk Nr. 29237-234</w:t>
      </w:r>
    </w:p>
  </w:footnote>
  <w:footnote w:id="3">
    <w:p w14:paraId="1DD073F7" w14:textId="46D84F8D" w:rsidR="00794A14" w:rsidRPr="00A17E37" w:rsidRDefault="00794A14">
      <w:pPr>
        <w:pStyle w:val="FootnoteText"/>
        <w:rPr>
          <w:sz w:val="16"/>
          <w:szCs w:val="16"/>
        </w:rPr>
      </w:pPr>
      <w:r w:rsidRPr="00794A14">
        <w:rPr>
          <w:rStyle w:val="FootnoteReference"/>
          <w:sz w:val="16"/>
          <w:szCs w:val="16"/>
        </w:rPr>
        <w:footnoteRef/>
      </w:r>
      <w:r w:rsidRPr="00794A14">
        <w:rPr>
          <w:sz w:val="16"/>
          <w:szCs w:val="16"/>
        </w:rPr>
        <w:t xml:space="preserve"> Kamerstuk 21501-02 Nr. 3279</w:t>
      </w:r>
    </w:p>
  </w:footnote>
  <w:footnote w:id="4">
    <w:p w14:paraId="05FE100F" w14:textId="4B774AA1" w:rsidR="00794A14" w:rsidRPr="00794A14" w:rsidRDefault="00794A14">
      <w:pPr>
        <w:pStyle w:val="FootnoteText"/>
        <w:rPr>
          <w:sz w:val="16"/>
          <w:szCs w:val="16"/>
        </w:rPr>
      </w:pPr>
      <w:r w:rsidRPr="00794A14">
        <w:rPr>
          <w:rStyle w:val="FootnoteReference"/>
          <w:sz w:val="16"/>
          <w:szCs w:val="16"/>
        </w:rPr>
        <w:footnoteRef/>
      </w:r>
      <w:r w:rsidRPr="00794A14">
        <w:rPr>
          <w:sz w:val="16"/>
          <w:szCs w:val="16"/>
        </w:rPr>
        <w:t xml:space="preserve"> Kamerbrief humanitaire hulp 2025, Kamerstuk Nr. 36180-136</w:t>
      </w:r>
    </w:p>
  </w:footnote>
  <w:footnote w:id="5">
    <w:p w14:paraId="2D6A700E" w14:textId="24DA7C4E" w:rsidR="00794A14" w:rsidRPr="00794A14" w:rsidRDefault="00794A14">
      <w:pPr>
        <w:pStyle w:val="FootnoteText"/>
        <w:rPr>
          <w:lang w:val="en-US"/>
        </w:rPr>
      </w:pPr>
      <w:r w:rsidRPr="00794A14">
        <w:rPr>
          <w:rStyle w:val="FootnoteReference"/>
          <w:sz w:val="16"/>
          <w:szCs w:val="16"/>
        </w:rPr>
        <w:footnoteRef/>
      </w:r>
      <w:r w:rsidRPr="00794A14">
        <w:rPr>
          <w:sz w:val="16"/>
          <w:szCs w:val="16"/>
        </w:rPr>
        <w:t xml:space="preserve"> Kamerstuk 21501-02 Nr. 3277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69B3" w14:textId="1A818E34" w:rsidR="00164231" w:rsidRDefault="00AD48E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9569B7" wp14:editId="1353D60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E5" w14:textId="77777777" w:rsidR="00164231" w:rsidRDefault="00AD48E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9569E6" w14:textId="77777777" w:rsidR="00164231" w:rsidRDefault="00164231">
                          <w:pPr>
                            <w:pStyle w:val="WitregelW2"/>
                          </w:pPr>
                        </w:p>
                        <w:p w14:paraId="6D9569E7" w14:textId="77777777" w:rsidR="00164231" w:rsidRDefault="00AD48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9569E8" w14:textId="77777777" w:rsidR="00164231" w:rsidRDefault="00AD48E1">
                          <w:pPr>
                            <w:pStyle w:val="Referentiegegevens"/>
                          </w:pPr>
                          <w:r>
                            <w:t>BZ2522575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9569B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7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" filled="f" stroked="f">
              <v:textbox inset="0,0,0,0">
                <w:txbxContent>
                  <w:p w14:paraId="6D9569E5" w14:textId="77777777" w:rsidR="00164231" w:rsidRDefault="00AD48E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9569E6" w14:textId="77777777" w:rsidR="00164231" w:rsidRDefault="00164231">
                    <w:pPr>
                      <w:pStyle w:val="WitregelW2"/>
                    </w:pPr>
                  </w:p>
                  <w:p w14:paraId="6D9569E7" w14:textId="77777777" w:rsidR="00164231" w:rsidRDefault="00AD48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9569E8" w14:textId="77777777" w:rsidR="00164231" w:rsidRDefault="00AD48E1">
                    <w:pPr>
                      <w:pStyle w:val="Referentiegegevens"/>
                    </w:pPr>
                    <w:r>
                      <w:t>BZ2522575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D9569BB" wp14:editId="77391C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F7" w14:textId="77777777" w:rsidR="00AD48E1" w:rsidRDefault="00AD48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BB" id="41b1115b-80a4-11ea-b356-6230a4311406" o:spid="_x0000_s1027" type="#_x0000_t202" style="position:absolute;margin-left:466.25pt;margin-top:802.75pt;width:101.25pt;height:12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6D9569F7" w14:textId="77777777" w:rsidR="00AD48E1" w:rsidRDefault="00AD48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69B5" w14:textId="5F1CF9F9" w:rsidR="00164231" w:rsidRDefault="00AD48E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D9569BD" wp14:editId="6D9569B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EA" w14:textId="77777777" w:rsidR="00AD48E1" w:rsidRDefault="00AD48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9569B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9569EA" w14:textId="77777777" w:rsidR="00AD48E1" w:rsidRDefault="00AD48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D9569BF" wp14:editId="6D9569C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CE" w14:textId="77777777" w:rsidR="00164231" w:rsidRDefault="00AD48E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BF" id="41b10c0b-80a4-11ea-b356-6230a4311406" o:spid="_x0000_s1029" type="#_x0000_t202" style="position:absolute;margin-left:79.35pt;margin-top:153.9pt;width:377pt;height:87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D9569CE" w14:textId="77777777" w:rsidR="00164231" w:rsidRDefault="00AD48E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D9569C1" wp14:editId="6D9569C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64231" w14:paraId="6D9569D1" w14:textId="77777777">
                            <w:tc>
                              <w:tcPr>
                                <w:tcW w:w="678" w:type="dxa"/>
                              </w:tcPr>
                              <w:p w14:paraId="6D9569CF" w14:textId="77777777" w:rsidR="00164231" w:rsidRDefault="00AD48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D9569D0" w14:textId="372C9FC8" w:rsidR="00164231" w:rsidRDefault="00226571">
                                <w:r>
                                  <w:t>28</w:t>
                                </w:r>
                                <w:r w:rsidR="00AD48E1">
                                  <w:t xml:space="preserve"> november 2025</w:t>
                                </w:r>
                              </w:p>
                            </w:tc>
                          </w:tr>
                          <w:tr w:rsidR="00164231" w14:paraId="6D9569D6" w14:textId="77777777">
                            <w:tc>
                              <w:tcPr>
                                <w:tcW w:w="678" w:type="dxa"/>
                              </w:tcPr>
                              <w:p w14:paraId="6D9569D2" w14:textId="77777777" w:rsidR="00164231" w:rsidRDefault="00AD48E1">
                                <w:r>
                                  <w:t>Betreft</w:t>
                                </w:r>
                              </w:p>
                              <w:p w14:paraId="6D9569D3" w14:textId="77777777" w:rsidR="00164231" w:rsidRDefault="00164231"/>
                            </w:tc>
                            <w:tc>
                              <w:tcPr>
                                <w:tcW w:w="6851" w:type="dxa"/>
                              </w:tcPr>
                              <w:p w14:paraId="6D9569D4" w14:textId="77777777" w:rsidR="00164231" w:rsidRDefault="00AD48E1">
                                <w:r>
                                  <w:t>Extra bijdrage Soedan</w:t>
                                </w:r>
                              </w:p>
                              <w:p w14:paraId="6D9569D5" w14:textId="77777777" w:rsidR="00164231" w:rsidRDefault="00164231"/>
                            </w:tc>
                          </w:tr>
                        </w:tbl>
                        <w:p w14:paraId="6D9569D7" w14:textId="77777777" w:rsidR="00164231" w:rsidRDefault="00164231"/>
                        <w:p w14:paraId="6D9569D8" w14:textId="77777777" w:rsidR="00164231" w:rsidRDefault="001642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C1" id="41b10c7e-80a4-11ea-b356-6230a4311406" o:spid="_x0000_s1030" type="#_x0000_t202" style="position:absolute;margin-left:79.35pt;margin-top:296.5pt;width:376.45pt;height:47.9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64231" w14:paraId="6D9569D1" w14:textId="77777777">
                      <w:tc>
                        <w:tcPr>
                          <w:tcW w:w="678" w:type="dxa"/>
                        </w:tcPr>
                        <w:p w14:paraId="6D9569CF" w14:textId="77777777" w:rsidR="00164231" w:rsidRDefault="00AD48E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D9569D0" w14:textId="372C9FC8" w:rsidR="00164231" w:rsidRDefault="00226571">
                          <w:r>
                            <w:t>28</w:t>
                          </w:r>
                          <w:r w:rsidR="00AD48E1">
                            <w:t xml:space="preserve"> november 2025</w:t>
                          </w:r>
                        </w:p>
                      </w:tc>
                    </w:tr>
                    <w:tr w:rsidR="00164231" w14:paraId="6D9569D6" w14:textId="77777777">
                      <w:tc>
                        <w:tcPr>
                          <w:tcW w:w="678" w:type="dxa"/>
                        </w:tcPr>
                        <w:p w14:paraId="6D9569D2" w14:textId="77777777" w:rsidR="00164231" w:rsidRDefault="00AD48E1">
                          <w:r>
                            <w:t>Betreft</w:t>
                          </w:r>
                        </w:p>
                        <w:p w14:paraId="6D9569D3" w14:textId="77777777" w:rsidR="00164231" w:rsidRDefault="00164231"/>
                      </w:tc>
                      <w:tc>
                        <w:tcPr>
                          <w:tcW w:w="6851" w:type="dxa"/>
                        </w:tcPr>
                        <w:p w14:paraId="6D9569D4" w14:textId="77777777" w:rsidR="00164231" w:rsidRDefault="00AD48E1">
                          <w:r>
                            <w:t>Extra bijdrage Soedan</w:t>
                          </w:r>
                        </w:p>
                        <w:p w14:paraId="6D9569D5" w14:textId="77777777" w:rsidR="00164231" w:rsidRDefault="00164231"/>
                      </w:tc>
                    </w:tr>
                  </w:tbl>
                  <w:p w14:paraId="6D9569D7" w14:textId="77777777" w:rsidR="00164231" w:rsidRDefault="00164231"/>
                  <w:p w14:paraId="6D9569D8" w14:textId="77777777" w:rsidR="00164231" w:rsidRDefault="001642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D9569C3" wp14:editId="5A27A91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7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C28FAAC" w14:textId="77777777" w:rsidR="002606AF" w:rsidRPr="00F51C07" w:rsidRDefault="002606AF" w:rsidP="002606A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B257E9D" w14:textId="77777777" w:rsidR="002606AF" w:rsidRPr="00EE5E5D" w:rsidRDefault="002606AF" w:rsidP="002606A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877169E" w14:textId="77777777" w:rsidR="002606AF" w:rsidRPr="0059764A" w:rsidRDefault="002606AF" w:rsidP="00260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BAB6D1C" w14:textId="77777777" w:rsidR="002606AF" w:rsidRPr="0059764A" w:rsidRDefault="002606AF" w:rsidP="00260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A85B07A" w14:textId="77777777" w:rsidR="002606AF" w:rsidRPr="0059764A" w:rsidRDefault="002606AF" w:rsidP="00260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D9569DA" w14:textId="77777777" w:rsidR="00164231" w:rsidRDefault="00164231">
                          <w:pPr>
                            <w:pStyle w:val="WitregelW1"/>
                          </w:pPr>
                        </w:p>
                        <w:p w14:paraId="6D9569DB" w14:textId="77777777" w:rsidR="00164231" w:rsidRDefault="00AD48E1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D9569DC" w14:textId="77777777" w:rsidR="00164231" w:rsidRDefault="00AD48E1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D9569DD" w14:textId="77777777" w:rsidR="00164231" w:rsidRDefault="00164231">
                          <w:pPr>
                            <w:pStyle w:val="WitregelW2"/>
                          </w:pPr>
                        </w:p>
                        <w:p w14:paraId="6D9569DE" w14:textId="77777777" w:rsidR="00164231" w:rsidRDefault="00AD48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9569DF" w14:textId="77777777" w:rsidR="00164231" w:rsidRDefault="00AD48E1">
                          <w:pPr>
                            <w:pStyle w:val="Referentiegegevens"/>
                          </w:pPr>
                          <w:r>
                            <w:t>BZ2522575</w:t>
                          </w:r>
                        </w:p>
                        <w:p w14:paraId="6D9569E0" w14:textId="77777777" w:rsidR="00164231" w:rsidRDefault="00164231">
                          <w:pPr>
                            <w:pStyle w:val="WitregelW1"/>
                          </w:pPr>
                        </w:p>
                        <w:p w14:paraId="6D9569E1" w14:textId="77777777" w:rsidR="00164231" w:rsidRDefault="00AD48E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9569E2" w14:textId="77777777" w:rsidR="00164231" w:rsidRDefault="00AD48E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9569C3" id="41b10cd4-80a4-11ea-b356-6230a4311406" o:spid="_x0000_s1031" type="#_x0000_t202" style="position:absolute;margin-left:466.5pt;margin-top:155pt;width:114pt;height:630.7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RL&#10;iBqix6fkAXhZ8P8ryl8AAAD//wMAUEsBAi0AFAAGAAgAAAAhALaDOJL+AAAA4QEAABMAAAAAAAAA&#10;AAAAAAAAAAAAAFtDb250ZW50X1R5cGVzXS54bWxQSwECLQAUAAYACAAAACEAOP0h/9YAAACUAQAA&#10;CwAAAAAAAAAAAAAAAAAvAQAAX3JlbHMvLnJlbHNQSwECLQAUAAYACAAAACEAKYMbeJMBAAAVAwAA&#10;DgAAAAAAAAAAAAAAAAAuAgAAZHJzL2Uyb0RvYy54bWxQSwECLQAUAAYACAAAACEAjBaMp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C28FAAC" w14:textId="77777777" w:rsidR="002606AF" w:rsidRPr="00F51C07" w:rsidRDefault="002606AF" w:rsidP="002606A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B257E9D" w14:textId="77777777" w:rsidR="002606AF" w:rsidRPr="00EE5E5D" w:rsidRDefault="002606AF" w:rsidP="002606A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877169E" w14:textId="77777777" w:rsidR="002606AF" w:rsidRPr="0059764A" w:rsidRDefault="002606AF" w:rsidP="00260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BAB6D1C" w14:textId="77777777" w:rsidR="002606AF" w:rsidRPr="0059764A" w:rsidRDefault="002606AF" w:rsidP="00260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A85B07A" w14:textId="77777777" w:rsidR="002606AF" w:rsidRPr="0059764A" w:rsidRDefault="002606AF" w:rsidP="00260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D9569DA" w14:textId="77777777" w:rsidR="00164231" w:rsidRDefault="00164231">
                    <w:pPr>
                      <w:pStyle w:val="WitregelW1"/>
                    </w:pPr>
                  </w:p>
                  <w:p w14:paraId="6D9569DB" w14:textId="77777777" w:rsidR="00164231" w:rsidRDefault="00AD48E1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D9569DC" w14:textId="77777777" w:rsidR="00164231" w:rsidRDefault="00AD48E1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D9569DD" w14:textId="77777777" w:rsidR="00164231" w:rsidRDefault="00164231">
                    <w:pPr>
                      <w:pStyle w:val="WitregelW2"/>
                    </w:pPr>
                  </w:p>
                  <w:p w14:paraId="6D9569DE" w14:textId="77777777" w:rsidR="00164231" w:rsidRDefault="00AD48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9569DF" w14:textId="77777777" w:rsidR="00164231" w:rsidRDefault="00AD48E1">
                    <w:pPr>
                      <w:pStyle w:val="Referentiegegevens"/>
                    </w:pPr>
                    <w:r>
                      <w:t>BZ2522575</w:t>
                    </w:r>
                  </w:p>
                  <w:p w14:paraId="6D9569E0" w14:textId="77777777" w:rsidR="00164231" w:rsidRDefault="00164231">
                    <w:pPr>
                      <w:pStyle w:val="WitregelW1"/>
                    </w:pPr>
                  </w:p>
                  <w:p w14:paraId="6D9569E1" w14:textId="77777777" w:rsidR="00164231" w:rsidRDefault="00AD48E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9569E2" w14:textId="77777777" w:rsidR="00164231" w:rsidRDefault="00AD48E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D9569C7" wp14:editId="75AEA8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F0" w14:textId="77777777" w:rsidR="00AD48E1" w:rsidRDefault="00AD48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C7" id="41b10d73-80a4-11ea-b356-6230a4311406" o:spid="_x0000_s1032" type="#_x0000_t202" style="position:absolute;margin-left:466.25pt;margin-top:802.75pt;width:101.25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9569F0" w14:textId="77777777" w:rsidR="00AD48E1" w:rsidRDefault="00AD48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6D9569C9" wp14:editId="6D9569C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F2" w14:textId="77777777" w:rsidR="00AD48E1" w:rsidRDefault="00AD48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C9" id="41b10dc3-80a4-11ea-b356-6230a4311406" o:spid="_x0000_s1033" type="#_x0000_t202" style="position:absolute;margin-left:279.2pt;margin-top:0;width:36.85pt;height:124.6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D9569F2" w14:textId="77777777" w:rsidR="00AD48E1" w:rsidRDefault="00AD48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D9569CB" wp14:editId="6D9569C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569E4" w14:textId="77777777" w:rsidR="00164231" w:rsidRDefault="00AD48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9569EA" wp14:editId="6D9569E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569CB" id="41b10edc-80a4-11ea-b356-6230a4311406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D9569E4" w14:textId="77777777" w:rsidR="00164231" w:rsidRDefault="00AD48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9569EA" wp14:editId="6D9569E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F1927"/>
    <w:multiLevelType w:val="multilevel"/>
    <w:tmpl w:val="23761D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3743E43"/>
    <w:multiLevelType w:val="multilevel"/>
    <w:tmpl w:val="4011336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1A090D"/>
    <w:multiLevelType w:val="multilevel"/>
    <w:tmpl w:val="968AA2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696BCEE"/>
    <w:multiLevelType w:val="multilevel"/>
    <w:tmpl w:val="EA74DDE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039F15EC"/>
    <w:multiLevelType w:val="multilevel"/>
    <w:tmpl w:val="68EB16C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59B70EE"/>
    <w:multiLevelType w:val="hybridMultilevel"/>
    <w:tmpl w:val="E03286C6"/>
    <w:lvl w:ilvl="0" w:tplc="71B0E3B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8085">
    <w:abstractNumId w:val="3"/>
  </w:num>
  <w:num w:numId="2" w16cid:durableId="640959846">
    <w:abstractNumId w:val="2"/>
  </w:num>
  <w:num w:numId="3" w16cid:durableId="973027103">
    <w:abstractNumId w:val="0"/>
  </w:num>
  <w:num w:numId="4" w16cid:durableId="1314875696">
    <w:abstractNumId w:val="4"/>
  </w:num>
  <w:num w:numId="5" w16cid:durableId="751585822">
    <w:abstractNumId w:val="1"/>
  </w:num>
  <w:num w:numId="6" w16cid:durableId="1640719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31"/>
    <w:rsid w:val="00086014"/>
    <w:rsid w:val="000955EB"/>
    <w:rsid w:val="001055C0"/>
    <w:rsid w:val="001256A2"/>
    <w:rsid w:val="00140685"/>
    <w:rsid w:val="001519E2"/>
    <w:rsid w:val="00162952"/>
    <w:rsid w:val="00164231"/>
    <w:rsid w:val="001A61FF"/>
    <w:rsid w:val="001A646D"/>
    <w:rsid w:val="001B2466"/>
    <w:rsid w:val="001C7D99"/>
    <w:rsid w:val="001E07EB"/>
    <w:rsid w:val="002246D3"/>
    <w:rsid w:val="00226571"/>
    <w:rsid w:val="00253354"/>
    <w:rsid w:val="00253C37"/>
    <w:rsid w:val="002606AF"/>
    <w:rsid w:val="0026474D"/>
    <w:rsid w:val="002714C8"/>
    <w:rsid w:val="002C4293"/>
    <w:rsid w:val="002C79AF"/>
    <w:rsid w:val="002D04C0"/>
    <w:rsid w:val="002D199C"/>
    <w:rsid w:val="002E1A06"/>
    <w:rsid w:val="002E45F0"/>
    <w:rsid w:val="002E7DF0"/>
    <w:rsid w:val="002F6B5D"/>
    <w:rsid w:val="00333AB3"/>
    <w:rsid w:val="00335065"/>
    <w:rsid w:val="00360096"/>
    <w:rsid w:val="00380979"/>
    <w:rsid w:val="00396150"/>
    <w:rsid w:val="00415212"/>
    <w:rsid w:val="00426494"/>
    <w:rsid w:val="00471398"/>
    <w:rsid w:val="004C2777"/>
    <w:rsid w:val="004D57F4"/>
    <w:rsid w:val="004F391C"/>
    <w:rsid w:val="004F63B7"/>
    <w:rsid w:val="005165DC"/>
    <w:rsid w:val="0052287B"/>
    <w:rsid w:val="005465CE"/>
    <w:rsid w:val="005A06C7"/>
    <w:rsid w:val="005B07F6"/>
    <w:rsid w:val="005D18D6"/>
    <w:rsid w:val="005F2450"/>
    <w:rsid w:val="006035EF"/>
    <w:rsid w:val="006209D7"/>
    <w:rsid w:val="006677C2"/>
    <w:rsid w:val="0067122A"/>
    <w:rsid w:val="0067748F"/>
    <w:rsid w:val="006860CC"/>
    <w:rsid w:val="0068796B"/>
    <w:rsid w:val="006B6DE1"/>
    <w:rsid w:val="006C54BB"/>
    <w:rsid w:val="00733B69"/>
    <w:rsid w:val="00737114"/>
    <w:rsid w:val="007404FA"/>
    <w:rsid w:val="00747807"/>
    <w:rsid w:val="00782F04"/>
    <w:rsid w:val="00784BD9"/>
    <w:rsid w:val="00794A14"/>
    <w:rsid w:val="007B52BD"/>
    <w:rsid w:val="007D4941"/>
    <w:rsid w:val="007F0894"/>
    <w:rsid w:val="00802AE0"/>
    <w:rsid w:val="0083478D"/>
    <w:rsid w:val="00875446"/>
    <w:rsid w:val="0089451D"/>
    <w:rsid w:val="008A3672"/>
    <w:rsid w:val="008E3D00"/>
    <w:rsid w:val="00901F52"/>
    <w:rsid w:val="0090318D"/>
    <w:rsid w:val="0090673B"/>
    <w:rsid w:val="00932AB0"/>
    <w:rsid w:val="009700E6"/>
    <w:rsid w:val="00981072"/>
    <w:rsid w:val="00981785"/>
    <w:rsid w:val="009E47B3"/>
    <w:rsid w:val="009F550F"/>
    <w:rsid w:val="00A17E37"/>
    <w:rsid w:val="00A25F8B"/>
    <w:rsid w:val="00A7437F"/>
    <w:rsid w:val="00A8149E"/>
    <w:rsid w:val="00AD48E1"/>
    <w:rsid w:val="00AF4342"/>
    <w:rsid w:val="00B141A4"/>
    <w:rsid w:val="00B81C8A"/>
    <w:rsid w:val="00B863AA"/>
    <w:rsid w:val="00B87288"/>
    <w:rsid w:val="00B97B06"/>
    <w:rsid w:val="00BA0659"/>
    <w:rsid w:val="00BA13E5"/>
    <w:rsid w:val="00BA16E8"/>
    <w:rsid w:val="00BB5D9A"/>
    <w:rsid w:val="00BF130E"/>
    <w:rsid w:val="00BF6A3C"/>
    <w:rsid w:val="00C33FF3"/>
    <w:rsid w:val="00C500E3"/>
    <w:rsid w:val="00C51226"/>
    <w:rsid w:val="00C55E80"/>
    <w:rsid w:val="00C91A9D"/>
    <w:rsid w:val="00C937CF"/>
    <w:rsid w:val="00CC1C2A"/>
    <w:rsid w:val="00D2735A"/>
    <w:rsid w:val="00D35548"/>
    <w:rsid w:val="00D5572D"/>
    <w:rsid w:val="00D645E8"/>
    <w:rsid w:val="00D72202"/>
    <w:rsid w:val="00D806E1"/>
    <w:rsid w:val="00D8457D"/>
    <w:rsid w:val="00DA62DB"/>
    <w:rsid w:val="00DA7545"/>
    <w:rsid w:val="00DD4AB9"/>
    <w:rsid w:val="00DE4103"/>
    <w:rsid w:val="00E204A9"/>
    <w:rsid w:val="00E21FF4"/>
    <w:rsid w:val="00E76EA8"/>
    <w:rsid w:val="00ED29B8"/>
    <w:rsid w:val="00EE57CD"/>
    <w:rsid w:val="00F01F2E"/>
    <w:rsid w:val="00F11D9D"/>
    <w:rsid w:val="00F435D2"/>
    <w:rsid w:val="00F72402"/>
    <w:rsid w:val="00F72E4F"/>
    <w:rsid w:val="00F92432"/>
    <w:rsid w:val="00FE236B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9569AB"/>
  <w15:docId w15:val="{131B5710-7636-4968-A9C4-F62C7DE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36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09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096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BA16E8"/>
    <w:pPr>
      <w:ind w:left="720"/>
      <w:contextualSpacing/>
    </w:pPr>
  </w:style>
  <w:style w:type="paragraph" w:styleId="Revision">
    <w:name w:val="Revision"/>
    <w:hidden/>
    <w:uiPriority w:val="99"/>
    <w:semiHidden/>
    <w:rsid w:val="00D7220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5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E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55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E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A1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A1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94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webSettings" Target="webSetting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728</ap:Words>
  <ap:Characters>4010</ap:Characters>
  <ap:DocSecurity>0</ap:DocSecurity>
  <ap:Lines>33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Extra bijdrage Soedan</vt:lpstr>
    </vt:vector>
  </ap:TitlesOfParts>
  <ap:LinksUpToDate>false</ap:LinksUpToDate>
  <ap:CharactersWithSpaces>4729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2025-11-27T09:39:00.0000000Z</lastPrinted>
  <dcterms:created xsi:type="dcterms:W3CDTF">2025-11-28T10:30:00.0000000Z</dcterms:created>
  <dcterms:modified xsi:type="dcterms:W3CDTF">2025-11-28T10:30:00.0000000Z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3cc43d63-354b-4622-b650-9a19fb954ded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