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2025Z20795</w:t>
        <w:br/>
      </w:r>
      <w:proofErr w:type="spellEnd"/>
    </w:p>
    <w:p>
      <w:pPr>
        <w:pStyle w:val="Normal"/>
        <w:rPr>
          <w:b w:val="1"/>
          <w:bCs w:val="1"/>
        </w:rPr>
      </w:pPr>
      <w:r w:rsidR="250AE766">
        <w:rPr>
          <w:b w:val="0"/>
          <w:bCs w:val="0"/>
        </w:rPr>
        <w:t>(ingezonden 28 november 2025)</w:t>
        <w:br/>
      </w:r>
    </w:p>
    <w:p>
      <w:r>
        <w:t xml:space="preserve">Vragen van het lid Teunissen (PvdD) aan de minister en de staatssecretaris van Buitenlandse Zaken over de herbeoordeling van F-35-export Israël</w:t>
      </w:r>
      <w:r>
        <w:br/>
      </w:r>
    </w:p>
    <w:p>
      <w:r>
        <w:t xml:space="preserve"> </w:t>
      </w:r>
      <w:r>
        <w:br/>
      </w:r>
    </w:p>
    <w:p>
      <w:pPr>
        <w:pStyle w:val="ListParagraph"/>
        <w:numPr>
          <w:ilvl w:val="0"/>
          <w:numId w:val="100491040"/>
        </w:numPr>
        <w:ind w:left="360"/>
      </w:pPr>
      <w:r>
        <w:t xml:space="preserve">Kunt u aangeven of de herbeoordeling van de uit- en doorvoer van F-35-onderdelen naar Israël is gedaan aan de hand van de acht criteria die in het EU Gemeenschappelijk Standpunt zijn opgenomen? Zo nee, waarom niet? [1]</w:t>
      </w:r>
      <w:r>
        <w:br/>
      </w:r>
    </w:p>
    <w:p>
      <w:pPr>
        <w:pStyle w:val="ListParagraph"/>
        <w:numPr>
          <w:ilvl w:val="0"/>
          <w:numId w:val="100491040"/>
        </w:numPr>
        <w:ind w:left="360"/>
      </w:pPr>
      <w:r>
        <w:t xml:space="preserve">Kunt u per criterium de Kamer informeren hoe u tot het oordeel bent gekomen de uitsluiting van Israël als eindbestemming voor de algemene vergunning AV009 te handhaven? Kunt u, kortom, de exporttoets zelf met de Kamer delen, niet enkel de uitkomst ervan, zodat de Kamer haar controlerende taak kan uitvoeren? Zo nee, waarom niet?</w:t>
      </w:r>
      <w:r>
        <w:br/>
      </w:r>
    </w:p>
    <w:p>
      <w:pPr>
        <w:pStyle w:val="ListParagraph"/>
        <w:numPr>
          <w:ilvl w:val="0"/>
          <w:numId w:val="100491040"/>
        </w:numPr>
        <w:ind w:left="360"/>
      </w:pPr>
      <w:r>
        <w:t xml:space="preserve">Waarom heeft u besloten tot een volgende herbeoordeling binnen een uiterlijke termijn van zes maanden?</w:t>
      </w:r>
      <w:r>
        <w:br/>
      </w:r>
    </w:p>
    <w:p>
      <w:pPr>
        <w:pStyle w:val="ListParagraph"/>
        <w:numPr>
          <w:ilvl w:val="0"/>
          <w:numId w:val="100491040"/>
        </w:numPr>
        <w:ind w:left="360"/>
      </w:pPr>
      <w:r>
        <w:t xml:space="preserve">Waarom schrijft u dat het staakt-het-vuren standhoudt? Bent u ermee bekend dat Israël vrijwel dagelijks het staakt-het-vuren schendt en talloze aanvallen op Gaza zijn uitgevoerd, waarbij honderden Palestijnen zijn gedood sinds 10 oktober, waaronder veel burgers?</w:t>
      </w:r>
      <w:r>
        <w:br/>
      </w:r>
    </w:p>
    <w:p>
      <w:pPr>
        <w:pStyle w:val="ListParagraph"/>
        <w:numPr>
          <w:ilvl w:val="0"/>
          <w:numId w:val="100491040"/>
        </w:numPr>
        <w:ind w:left="360"/>
      </w:pPr>
      <w:r>
        <w:t xml:space="preserve">Erkent het kabinet dat ook in de nieuwe situatie op de grond die het kabinet beschrijft in de Kamerbrief het lijden van Palestijnse burgers in Gaza onverminderd doorgaat als gevolg van de totale verwoesting, ontheemding, en tekorten aan levensreddende goederen?</w:t>
      </w:r>
      <w:r>
        <w:br/>
      </w:r>
    </w:p>
    <w:p>
      <w:pPr>
        <w:pStyle w:val="ListParagraph"/>
        <w:numPr>
          <w:ilvl w:val="0"/>
          <w:numId w:val="100491040"/>
        </w:numPr>
        <w:ind w:left="360"/>
      </w:pPr>
      <w:r>
        <w:t xml:space="preserve">Hoe beoordeelt u het gegeven dat Israël momenteel ongeveer de helft van Gaza bezet houdt?</w:t>
      </w:r>
      <w:r>
        <w:br/>
      </w:r>
    </w:p>
    <w:p>
      <w:pPr>
        <w:pStyle w:val="ListParagraph"/>
        <w:numPr>
          <w:ilvl w:val="0"/>
          <w:numId w:val="100491040"/>
        </w:numPr>
        <w:ind w:left="360"/>
      </w:pPr>
      <w:r>
        <w:t xml:space="preserve">Deelt u de opvatting dat export van onderdelen van de F-35 naar Israël uitgesloten dient te blijven zolang de dreiging blijft bestaan dat dit wapensysteem ingezet wordt voor mensenrechtenschendingen of oorlogsmisdaden in Gaza (of elders in de regio) en Israël de kuststrook deels bezet? Zo nee, waarom niet?</w:t>
      </w:r>
      <w:r>
        <w:br/>
      </w:r>
    </w:p>
    <w:p>
      <w:pPr>
        <w:pStyle w:val="ListParagraph"/>
        <w:numPr>
          <w:ilvl w:val="0"/>
          <w:numId w:val="100491040"/>
        </w:numPr>
        <w:ind w:left="360"/>
      </w:pPr>
      <w:r>
        <w:t xml:space="preserve">Bent u, nu u tot het oordeel komt dat de levering van F-35-onderdelen aan Israël voorlopig niet plaats mag vinden, eveneens van mening dat landen die dergelijke onderdelen van of via Nederland geleverd krijgen, deze onderdelen ook niet zouden moeten doorleveren aan Israël? Kunt u uw antwoord toelichten?</w:t>
      </w:r>
      <w:r>
        <w:br/>
      </w:r>
    </w:p>
    <w:p>
      <w:pPr>
        <w:pStyle w:val="ListParagraph"/>
        <w:numPr>
          <w:ilvl w:val="0"/>
          <w:numId w:val="100491040"/>
        </w:numPr>
        <w:ind w:left="360"/>
      </w:pPr>
      <w:r>
        <w:t xml:space="preserve">Kunt u deze vragen beantwoorden voorafgaand aan het commissiedebat op 11 december over de Raad Buitenlandse Zaken van 15 december?</w:t>
      </w:r>
      <w:r>
        <w:br/>
      </w:r>
    </w:p>
    <w:p>
      <w:r>
        <w:t xml:space="preserve"> </w:t>
      </w:r>
      <w:r>
        <w:br/>
      </w:r>
    </w:p>
    <w:p>
      <w:r>
        <w:t xml:space="preserve">[1] Kamerstuk 22054, nr. 469.</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