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2025Z20812</w:t>
        <w:br/>
      </w:r>
      <w:proofErr w:type="spellEnd"/>
    </w:p>
    <w:p>
      <w:pPr>
        <w:pStyle w:val="Normal"/>
        <w:rPr>
          <w:b w:val="1"/>
          <w:bCs w:val="1"/>
        </w:rPr>
      </w:pPr>
      <w:r w:rsidR="250AE766">
        <w:rPr>
          <w:b w:val="0"/>
          <w:bCs w:val="0"/>
        </w:rPr>
        <w:t>(ingezonden 28 november 2025)</w:t>
        <w:br/>
      </w:r>
    </w:p>
    <w:p>
      <w:r>
        <w:t xml:space="preserve">Vragen van het lid Coenradie (JA21) aan de staatssecretarissen van Justitie en Veiligheid en van Sociale Zaken en Werkgelegenheid over het bericht ‘Broers vermoorde Ryan voor de rechter, eergerelateerd geweld lijkt toe te nemen’</w:t>
      </w:r>
      <w:r>
        <w:br/>
      </w:r>
    </w:p>
    <w:p>
      <w:r>
        <w:t xml:space="preserve"> </w:t>
      </w:r>
      <w:r>
        <w:br/>
      </w:r>
    </w:p>
    <w:p>
      <w:pPr>
        <w:pStyle w:val="ListParagraph"/>
        <w:numPr>
          <w:ilvl w:val="0"/>
          <w:numId w:val="100491620"/>
        </w:numPr>
        <w:ind w:left="360"/>
      </w:pPr>
      <w:r>
        <w:t xml:space="preserve">Zijn er cijfers, gespecificeerd naar achtergrond, rondom eerwraak? Zo ja, kunt u deze delen? Zo nee, bent u bereid om dit in de toekomst wél bij te houden teneinde hier scherp beleid op te kunnen voeren? 1)</w:t>
      </w:r>
      <w:r>
        <w:br/>
      </w:r>
    </w:p>
    <w:p>
      <w:pPr>
        <w:pStyle w:val="ListParagraph"/>
        <w:numPr>
          <w:ilvl w:val="0"/>
          <w:numId w:val="100491620"/>
        </w:numPr>
        <w:ind w:left="360"/>
      </w:pPr>
      <w:r>
        <w:t xml:space="preserve">Onderzoekt u de correlatie tussen de komst van (met name) islamitische migranten uit diverse landen uit het Midden-Oosten en Afrika van de afgelopen tien/vijftien jaar en de ontwikkeling van eerwraak van de afgelopen tien/vijftien jaar? Zo ja, wat zijn de resultaten? Zo nee, bent u bereid om dit te onderzoeken?</w:t>
      </w:r>
      <w:r>
        <w:br/>
      </w:r>
    </w:p>
    <w:p>
      <w:pPr>
        <w:pStyle w:val="ListParagraph"/>
        <w:numPr>
          <w:ilvl w:val="0"/>
          <w:numId w:val="100491620"/>
        </w:numPr>
        <w:ind w:left="360"/>
      </w:pPr>
      <w:r>
        <w:t xml:space="preserve">Aangezien het hoofd van het Landelijk Expertise Centrum Eer Gerelateerd Geweld (LEC EGG) stelt dat verandering in gesloten gemeenschappen van binnenuit moet komen en dat we moeten “meegeven hoe we met elkaar omgaan”: in hoeverre denkt u dat het in het belang van de goedwillende Nederlandse samenleving is dat we mensen in ons land verwelkomen die bepaalde cultureel gedreven gedragingen hebben, zoals eerwraak, die zó ontzettend haaks staan op onze verworvenheden die gebaseerd zijn op de moderniteit en de verlichting?</w:t>
      </w:r>
      <w:r>
        <w:br/>
      </w:r>
    </w:p>
    <w:p>
      <w:pPr>
        <w:pStyle w:val="ListParagraph"/>
        <w:numPr>
          <w:ilvl w:val="0"/>
          <w:numId w:val="100491620"/>
        </w:numPr>
        <w:ind w:left="360"/>
      </w:pPr>
      <w:r>
        <w:t xml:space="preserve">Wat is de stand van zaken van de aangenomen motie Eerdmans, waarin het kabinet wordt verzocht in geval van eerwraak altijd de verblijfsvergunning in te trekken? 2) Wanneer kunnen we concreet beleid hierop verwachten?</w:t>
      </w:r>
      <w:r>
        <w:br/>
      </w:r>
    </w:p>
    <w:p>
      <w:pPr>
        <w:pStyle w:val="ListParagraph"/>
        <w:numPr>
          <w:ilvl w:val="0"/>
          <w:numId w:val="100491620"/>
        </w:numPr>
        <w:ind w:left="360"/>
      </w:pPr>
      <w:r>
        <w:t xml:space="preserve">In hoeverre is bij de inburgering inmiddels ingebed dat er expliciet aandacht wordt besteed aan eergerelateerd geweld, conform de motie Eerdmans? 3) Hoe ziet deze expliciete aandacht tijdens de inburgering er in de praktijk uit?</w:t>
      </w:r>
      <w:r>
        <w:br/>
      </w:r>
    </w:p>
    <w:p>
      <w:pPr>
        <w:pStyle w:val="ListParagraph"/>
        <w:numPr>
          <w:ilvl w:val="0"/>
          <w:numId w:val="100491620"/>
        </w:numPr>
        <w:ind w:left="360"/>
      </w:pPr>
      <w:r>
        <w:t xml:space="preserve">Hoe verklaart u het dat in een 303 pagina’s tellend rapport “Kwalitatief onderzoek tweede fase Wet inburgering 2021” 4) over inburgering en integratie het woord ‘eerwraak’ slechts een keer voorkomt, terwijl er door de Kamer meermaals moties aangenomen zijn over het belang hiervan bij de inburgering en omdat de praktijk inmiddels heeft bewezen hoe ingrijpend de gevolgen van eerwraak kunnen zijn?</w:t>
      </w:r>
      <w:r>
        <w:br/>
      </w:r>
    </w:p>
    <w:p>
      <w:pPr>
        <w:pStyle w:val="ListParagraph"/>
        <w:numPr>
          <w:ilvl w:val="0"/>
          <w:numId w:val="100491620"/>
        </w:numPr>
        <w:ind w:left="360"/>
      </w:pPr>
      <w:r>
        <w:t xml:space="preserve">In ditzelfde rapport lezen we dat eerwraak enkel wordt genoemd in de context van de Z-route; hoeveel inburgeraars krijgen op dit moment jaarlijks voorlichtingen over eerwraak?</w:t>
      </w:r>
      <w:r>
        <w:br/>
      </w:r>
    </w:p>
    <w:p>
      <w:pPr>
        <w:pStyle w:val="ListParagraph"/>
        <w:numPr>
          <w:ilvl w:val="0"/>
          <w:numId w:val="100491620"/>
        </w:numPr>
        <w:ind w:left="360"/>
      </w:pPr>
      <w:r>
        <w:t xml:space="preserve">In hoeverre toetsen we hoe inburgeraars aankijken tegen de Nederlandse normen en waarden als het gaat om de gelijkwaardigheid tussen man en vrouw en het gebruiken/toestaan van geweld?</w:t>
      </w:r>
      <w:r>
        <w:br/>
      </w:r>
    </w:p>
    <w:p>
      <w:pPr>
        <w:pStyle w:val="ListParagraph"/>
        <w:numPr>
          <w:ilvl w:val="0"/>
          <w:numId w:val="100491620"/>
        </w:numPr>
        <w:ind w:left="360"/>
      </w:pPr>
      <w:r>
        <w:t xml:space="preserve">Gelden deze voorlichtingen over eerwraak enkel voor de Z-route of breder? Indien breder, hoe zijn de verhoudingen tussen de diverse trajecten en de desbetreffende voorlichting?</w:t>
      </w:r>
      <w:r>
        <w:br/>
      </w:r>
    </w:p>
    <w:p>
      <w:pPr>
        <w:pStyle w:val="ListParagraph"/>
        <w:numPr>
          <w:ilvl w:val="0"/>
          <w:numId w:val="100491620"/>
        </w:numPr>
        <w:ind w:left="360"/>
      </w:pPr>
      <w:r>
        <w:t xml:space="preserve">Houdt men bij het beleid rondom voorlichting over eerwraak bij inburgeraars ook specifieke rekening met de correlatie tussen culturen met een verhoogd risico op eerwraak? Zo ja, hoe ziet dit in de praktijk eruit? Zo nee, waarom niet?</w:t>
      </w:r>
      <w:r>
        <w:br/>
      </w:r>
    </w:p>
    <w:p>
      <w:r>
        <w:t xml:space="preserve"> </w:t>
      </w:r>
      <w:r>
        <w:br/>
      </w:r>
    </w:p>
    <w:p>
      <w:r>
        <w:t xml:space="preserve">1) RTL, 27 november 2025, Broers vermoorde Ryan voor de rechter, eergerelateerd geweld lijkt toe te nemen (https://www.rtl.nl/nieuws/binnenland/artikel/5540925/ryan-joure-vermoord-eergerelateerd-geweld).</w:t>
      </w:r>
      <w:r>
        <w:br/>
      </w:r>
    </w:p>
    <w:p>
      <w:r>
        <w:t xml:space="preserve">2) Kamerstuk 32824, nr. 470.</w:t>
      </w:r>
      <w:r>
        <w:br/>
      </w:r>
    </w:p>
    <w:p>
      <w:r>
        <w:t xml:space="preserve">3) Kamerstuk 33552, nr. 145.</w:t>
      </w:r>
      <w:r>
        <w:br/>
      </w:r>
    </w:p>
    <w:p>
      <w:r>
        <w:t xml:space="preserve">4) Kamerstuk 32824, nr. 475.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40">
    <w:abstractNumId w:val="10049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