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2075" w:rsidR="00BB2075" w:rsidRDefault="005B5607" w14:paraId="743FE64F" w14:textId="417DE6B7">
      <w:pPr>
        <w:rPr>
          <w:rFonts w:ascii="Calibri" w:hAnsi="Calibri" w:cs="Calibri"/>
        </w:rPr>
      </w:pPr>
      <w:bookmarkStart w:name="_Hlk214465617" w:id="0"/>
      <w:r w:rsidRPr="00BB2075">
        <w:rPr>
          <w:rFonts w:ascii="Calibri" w:hAnsi="Calibri" w:cs="Calibri"/>
        </w:rPr>
        <w:t>31</w:t>
      </w:r>
      <w:r w:rsidRPr="00BB2075" w:rsidR="00BB2075">
        <w:rPr>
          <w:rFonts w:ascii="Calibri" w:hAnsi="Calibri" w:cs="Calibri"/>
        </w:rPr>
        <w:t xml:space="preserve"> </w:t>
      </w:r>
      <w:r w:rsidRPr="00BB2075">
        <w:rPr>
          <w:rFonts w:ascii="Calibri" w:hAnsi="Calibri" w:cs="Calibri"/>
        </w:rPr>
        <w:t>109</w:t>
      </w:r>
      <w:r w:rsidRPr="00BB2075" w:rsidR="00BB2075">
        <w:rPr>
          <w:rFonts w:ascii="Calibri" w:hAnsi="Calibri" w:cs="Calibri"/>
        </w:rPr>
        <w:tab/>
      </w:r>
      <w:r w:rsidRPr="00BB2075" w:rsidR="00BB2075">
        <w:rPr>
          <w:rFonts w:ascii="Calibri" w:hAnsi="Calibri" w:cs="Calibri"/>
        </w:rPr>
        <w:tab/>
        <w:t>Evaluatie Wet BIBOB</w:t>
      </w:r>
    </w:p>
    <w:p w:rsidRPr="00BB2075" w:rsidR="00BB2075" w:rsidP="00BB2075" w:rsidRDefault="00BB2075" w14:paraId="306A9CFC" w14:textId="1608C08B">
      <w:pPr>
        <w:ind w:left="1410" w:hanging="1410"/>
        <w:rPr>
          <w:rFonts w:ascii="Calibri" w:hAnsi="Calibri" w:cs="Calibri"/>
        </w:rPr>
      </w:pPr>
      <w:r w:rsidRPr="00BB2075">
        <w:rPr>
          <w:rFonts w:ascii="Calibri" w:hAnsi="Calibri" w:cs="Calibri"/>
        </w:rPr>
        <w:t>35</w:t>
      </w:r>
      <w:r w:rsidRPr="00BB2075">
        <w:rPr>
          <w:rFonts w:ascii="Calibri" w:hAnsi="Calibri" w:cs="Calibri"/>
        </w:rPr>
        <w:t xml:space="preserve"> </w:t>
      </w:r>
      <w:r w:rsidRPr="00BB2075">
        <w:rPr>
          <w:rFonts w:ascii="Calibri" w:hAnsi="Calibri" w:cs="Calibri"/>
        </w:rPr>
        <w:t>152</w:t>
      </w:r>
      <w:r w:rsidRPr="00BB2075">
        <w:rPr>
          <w:rFonts w:ascii="Calibri" w:hAnsi="Calibri" w:cs="Calibri"/>
        </w:rPr>
        <w:tab/>
      </w:r>
      <w:r w:rsidRPr="00BB2075">
        <w:rPr>
          <w:rFonts w:ascii="Calibri" w:hAnsi="Calibri" w:cs="Calibri"/>
        </w:rPr>
        <w:tab/>
        <w:t>Wijziging van de Wet bevordering integriteitsbeoordelingen door het openbaar bestuur in verband met diverse uitbreidingen van de toepassingsmogelijkheden daarvan alsmede enkele overige wijzigingen</w:t>
      </w:r>
    </w:p>
    <w:p w:rsidRPr="00BB2075" w:rsidR="00BB2075" w:rsidP="00BB2075" w:rsidRDefault="00BB2075" w14:paraId="051531A3" w14:textId="68CF419A">
      <w:pPr>
        <w:ind w:left="1410" w:hanging="1410"/>
        <w:rPr>
          <w:rFonts w:ascii="Calibri" w:hAnsi="Calibri" w:cs="Calibri"/>
        </w:rPr>
      </w:pPr>
      <w:r w:rsidRPr="00BB2075">
        <w:rPr>
          <w:rFonts w:ascii="Calibri" w:hAnsi="Calibri" w:cs="Calibri"/>
        </w:rPr>
        <w:t>35</w:t>
      </w:r>
      <w:r w:rsidRPr="00BB2075">
        <w:rPr>
          <w:rFonts w:ascii="Calibri" w:hAnsi="Calibri" w:cs="Calibri"/>
        </w:rPr>
        <w:t xml:space="preserve"> </w:t>
      </w:r>
      <w:r w:rsidRPr="00BB2075">
        <w:rPr>
          <w:rFonts w:ascii="Calibri" w:hAnsi="Calibri" w:cs="Calibri"/>
        </w:rPr>
        <w:t>764</w:t>
      </w:r>
      <w:r w:rsidRPr="00BB2075">
        <w:rPr>
          <w:rFonts w:ascii="Calibri" w:hAnsi="Calibri" w:cs="Calibri"/>
        </w:rPr>
        <w:tab/>
      </w:r>
      <w:r w:rsidRPr="00BB2075">
        <w:rPr>
          <w:rFonts w:ascii="Calibri" w:hAnsi="Calibri" w:cs="Calibri"/>
        </w:rPr>
        <w:tab/>
        <w:t>Wijziging van de Wet bevordering integriteitsbeoordelingen door het openbaar bestuur in verband met informatiedeling tussen bestuursorganen en rechtspersonen met een overheidstaak en enige overige wijzigingen</w:t>
      </w:r>
    </w:p>
    <w:p w:rsidRPr="00BB2075" w:rsidR="00BB2075" w:rsidP="00BB2075" w:rsidRDefault="00BB2075" w14:paraId="7536277A" w14:textId="08C9D1AF">
      <w:pPr>
        <w:rPr>
          <w:rFonts w:ascii="Calibri" w:hAnsi="Calibri" w:cs="Calibri"/>
          <w:color w:val="000000"/>
        </w:rPr>
      </w:pPr>
      <w:r w:rsidRPr="00BB2075">
        <w:rPr>
          <w:rFonts w:ascii="Calibri" w:hAnsi="Calibri" w:cs="Calibri"/>
        </w:rPr>
        <w:t xml:space="preserve">Nr. </w:t>
      </w:r>
      <w:r w:rsidRPr="00BB2075" w:rsidR="005B5607">
        <w:rPr>
          <w:rFonts w:ascii="Calibri" w:hAnsi="Calibri" w:cs="Calibri"/>
        </w:rPr>
        <w:t>37</w:t>
      </w:r>
      <w:r w:rsidRPr="00BB2075">
        <w:rPr>
          <w:rFonts w:ascii="Calibri" w:hAnsi="Calibri" w:cs="Calibri"/>
        </w:rPr>
        <w:tab/>
      </w:r>
      <w:r w:rsidRPr="00BB2075">
        <w:rPr>
          <w:rFonts w:ascii="Calibri" w:hAnsi="Calibri" w:cs="Calibri"/>
        </w:rPr>
        <w:tab/>
        <w:t>Brief van de minister van Justitie en Veiligheid</w:t>
      </w:r>
    </w:p>
    <w:p w:rsidRPr="00BB2075" w:rsidR="00BB2075" w:rsidP="00BB2075" w:rsidRDefault="00BB2075" w14:paraId="69E3E387" w14:textId="77777777">
      <w:pPr>
        <w:rPr>
          <w:rFonts w:ascii="Calibri" w:hAnsi="Calibri" w:cs="Calibri"/>
        </w:rPr>
      </w:pPr>
      <w:r w:rsidRPr="00BB2075">
        <w:rPr>
          <w:rFonts w:ascii="Calibri" w:hAnsi="Calibri" w:cs="Calibri"/>
        </w:rPr>
        <w:t>Aan de Voorzitter van de Tweede Kamer der Staten-Generaal</w:t>
      </w:r>
    </w:p>
    <w:p w:rsidRPr="00BB2075" w:rsidR="00BB2075" w:rsidP="00BB2075" w:rsidRDefault="00BB2075" w14:paraId="7570CB82" w14:textId="54A3F13D">
      <w:pPr>
        <w:rPr>
          <w:rFonts w:ascii="Calibri" w:hAnsi="Calibri" w:cs="Calibri"/>
        </w:rPr>
      </w:pPr>
      <w:r w:rsidRPr="00BB2075">
        <w:rPr>
          <w:rFonts w:ascii="Calibri" w:hAnsi="Calibri" w:cs="Calibri"/>
        </w:rPr>
        <w:t>Den Haag, 1 december 2025</w:t>
      </w:r>
      <w:r w:rsidRPr="00BB2075" w:rsidR="005B5607">
        <w:rPr>
          <w:rFonts w:ascii="Calibri" w:hAnsi="Calibri" w:cs="Calibri"/>
        </w:rPr>
        <w:br/>
      </w:r>
    </w:p>
    <w:p w:rsidRPr="00BB2075" w:rsidR="005B5607" w:rsidP="005B5607" w:rsidRDefault="005B5607" w14:paraId="452F4BEB" w14:textId="09886CDA">
      <w:pPr>
        <w:spacing w:after="0"/>
        <w:rPr>
          <w:rFonts w:ascii="Calibri" w:hAnsi="Calibri" w:cs="Calibri"/>
        </w:rPr>
      </w:pPr>
      <w:r w:rsidRPr="00BB2075">
        <w:rPr>
          <w:rFonts w:ascii="Calibri" w:hAnsi="Calibri" w:cs="Calibri"/>
        </w:rPr>
        <w:t xml:space="preserve">Hierbij ontvangt uw Kamer het rapport “Onderzoek aanpassingen en gebruik van de Wet Bibob sinds 2020”. De Wet Bibob is in 2020 en 2022 in twee tranches aangepast om bestuursorganen en rechtspersonen met een overheidstaak (nog) beter in staat te stellen de eigen integriteit te beschermen tegen het ongewild faciliteren van criminele activiteiten. Met de wetswijzigingen zijn onder meer de onderzoeksbevoegdheden van bestuursorganen en het Landelijk Bureau Bibob verruimd, en is het toepassingsbereik van de wet uitgebreid. </w:t>
      </w:r>
    </w:p>
    <w:p w:rsidRPr="00BB2075" w:rsidR="005B5607" w:rsidP="005B5607" w:rsidRDefault="005B5607" w14:paraId="42804CEA" w14:textId="77777777">
      <w:pPr>
        <w:spacing w:after="0"/>
        <w:rPr>
          <w:rFonts w:ascii="Calibri" w:hAnsi="Calibri" w:cs="Calibri"/>
        </w:rPr>
      </w:pPr>
    </w:p>
    <w:p w:rsidRPr="00BB2075" w:rsidR="005B5607" w:rsidP="005B5607" w:rsidRDefault="005B5607" w14:paraId="4F137EFB" w14:textId="77777777">
      <w:pPr>
        <w:spacing w:after="0"/>
        <w:rPr>
          <w:rFonts w:ascii="Calibri" w:hAnsi="Calibri" w:cs="Calibri"/>
        </w:rPr>
      </w:pPr>
      <w:r w:rsidRPr="00BB2075">
        <w:rPr>
          <w:rFonts w:ascii="Calibri" w:hAnsi="Calibri" w:cs="Calibri"/>
        </w:rPr>
        <w:t>Dit onderzoek is uitgevoerd naar aanleiding van toezeggingen van de toenmalige opvolgende ministers van Justitie en Veiligheid, die elk tijdens de plenaire behandeling van respectievelijk de eerste</w:t>
      </w:r>
      <w:r w:rsidRPr="00BB2075">
        <w:rPr>
          <w:rStyle w:val="Voetnootmarkering"/>
          <w:rFonts w:ascii="Calibri" w:hAnsi="Calibri" w:cs="Calibri"/>
        </w:rPr>
        <w:footnoteReference w:id="1"/>
      </w:r>
      <w:r w:rsidRPr="00BB2075">
        <w:rPr>
          <w:rFonts w:ascii="Calibri" w:hAnsi="Calibri" w:cs="Calibri"/>
        </w:rPr>
        <w:t xml:space="preserve"> en tweede tranche</w:t>
      </w:r>
      <w:r w:rsidRPr="00BB2075">
        <w:rPr>
          <w:rStyle w:val="Voetnootmarkering"/>
          <w:rFonts w:ascii="Calibri" w:hAnsi="Calibri" w:cs="Calibri"/>
        </w:rPr>
        <w:footnoteReference w:id="2"/>
      </w:r>
      <w:r w:rsidRPr="00BB2075">
        <w:rPr>
          <w:rFonts w:ascii="Calibri" w:hAnsi="Calibri" w:cs="Calibri"/>
        </w:rPr>
        <w:t xml:space="preserve"> van de Wet Bibob zijn gedaan. Daarbij is toegezegd zowel de wetswijzigingen als de toepassing daarvan te evalueren. Deze evaluatie is thans uitgevoerd in opdracht van het WODC, waarmee tevens uitvoering is gegeven aan de motie Van Nispen/Sneller en de motie Van Nispen/Bikker.</w:t>
      </w:r>
      <w:r w:rsidRPr="00BB2075">
        <w:rPr>
          <w:rStyle w:val="Voetnootmarkering"/>
          <w:rFonts w:ascii="Calibri" w:hAnsi="Calibri" w:cs="Calibri"/>
        </w:rPr>
        <w:footnoteReference w:id="3"/>
      </w:r>
      <w:r w:rsidRPr="00BB2075">
        <w:rPr>
          <w:rFonts w:ascii="Calibri" w:hAnsi="Calibri" w:cs="Calibri"/>
        </w:rPr>
        <w:t xml:space="preserve"> Het onderzoek besteedt eveneens aandacht aan de vraag of en met welke redenen bestuursorganen Bibob-beleid inzetten in relatie tot levensbeschouwelijke instellingen, conform een aanbeveling van de Nationaal Coördinator Discriminatie en Racisme.</w:t>
      </w:r>
      <w:r w:rsidRPr="00BB2075">
        <w:rPr>
          <w:rStyle w:val="Voetnootmarkering"/>
          <w:rFonts w:ascii="Calibri" w:hAnsi="Calibri" w:cs="Calibri"/>
        </w:rPr>
        <w:footnoteReference w:id="4"/>
      </w:r>
      <w:r w:rsidRPr="00BB2075">
        <w:rPr>
          <w:rFonts w:ascii="Calibri" w:hAnsi="Calibri" w:cs="Calibri"/>
        </w:rPr>
        <w:t xml:space="preserve"> </w:t>
      </w:r>
    </w:p>
    <w:p w:rsidRPr="00BB2075" w:rsidR="005B5607" w:rsidP="005B5607" w:rsidRDefault="005B5607" w14:paraId="39FB3215" w14:textId="77777777">
      <w:pPr>
        <w:spacing w:after="0"/>
        <w:rPr>
          <w:rFonts w:ascii="Calibri" w:hAnsi="Calibri" w:cs="Calibri"/>
        </w:rPr>
      </w:pPr>
    </w:p>
    <w:p w:rsidRPr="00BB2075" w:rsidR="005B5607" w:rsidP="005B5607" w:rsidRDefault="005B5607" w14:paraId="74BD33BB" w14:textId="77777777">
      <w:pPr>
        <w:spacing w:after="0"/>
        <w:rPr>
          <w:rFonts w:ascii="Calibri" w:hAnsi="Calibri" w:cs="Calibri"/>
        </w:rPr>
      </w:pPr>
      <w:r w:rsidRPr="00BB2075">
        <w:rPr>
          <w:rFonts w:ascii="Calibri" w:hAnsi="Calibri" w:cs="Calibri"/>
        </w:rPr>
        <w:t xml:space="preserve">Uit het onderzoek blijkt dat de wetswijzigingen uit 2020 en 2022 de effectiviteit van de Wet Bibob hebben versterkt, in het bijzonder vanwege de versterking van het eigen onderzoek en verruimde mogelijkheden voor informatiedeling. Tegelijkertijd laat het onderzoek zien dat maar relatief weinig bestuursorganen gebruik maken </w:t>
      </w:r>
      <w:r w:rsidRPr="00BB2075">
        <w:rPr>
          <w:rFonts w:ascii="Calibri" w:hAnsi="Calibri" w:cs="Calibri"/>
        </w:rPr>
        <w:lastRenderedPageBreak/>
        <w:t xml:space="preserve">van de verruimde toepassingsmogelijkheden. Een tekort aan capaciteit, kennis en ervaring worden genoemd als belangrijkste knelpunten. Voor de komende jaren zien de onderzoekers vooral kansen in het beter benutten van de bestaande mogelijkheden van de Wet Bibob, waarbij verdere uitbreiding momenteel niet voor de hand lijkt te liggen. </w:t>
      </w:r>
    </w:p>
    <w:p w:rsidRPr="00BB2075" w:rsidR="005B5607" w:rsidP="005B5607" w:rsidRDefault="005B5607" w14:paraId="1976808D" w14:textId="77777777">
      <w:pPr>
        <w:spacing w:after="0"/>
        <w:rPr>
          <w:rFonts w:ascii="Calibri" w:hAnsi="Calibri" w:cs="Calibri"/>
        </w:rPr>
      </w:pPr>
    </w:p>
    <w:p w:rsidRPr="00BB2075" w:rsidR="005B5607" w:rsidP="005B5607" w:rsidRDefault="005B5607" w14:paraId="30A0F526" w14:textId="77777777">
      <w:pPr>
        <w:spacing w:after="0"/>
        <w:rPr>
          <w:rFonts w:ascii="Calibri" w:hAnsi="Calibri" w:cs="Calibri"/>
        </w:rPr>
      </w:pPr>
      <w:r w:rsidRPr="00BB2075">
        <w:rPr>
          <w:rFonts w:ascii="Calibri" w:hAnsi="Calibri" w:cs="Calibri"/>
        </w:rPr>
        <w:t>Het vraagt enige tijd om de conclusies en aanbevelingen uit het rapport van een reactie te kunnen voorzien. Het is mijn intentie om uw Kamer in het eerste kwartaal van 2026 een inhoudelijke beleidsreactie op het onderzoeksrapport te doen toekomen.</w:t>
      </w:r>
    </w:p>
    <w:bookmarkEnd w:id="0"/>
    <w:p w:rsidRPr="00BB2075" w:rsidR="005B5607" w:rsidP="00BB2075" w:rsidRDefault="005B5607" w14:paraId="7C10D24A" w14:textId="77777777">
      <w:pPr>
        <w:pStyle w:val="Geenafstand"/>
        <w:rPr>
          <w:rFonts w:ascii="Calibri" w:hAnsi="Calibri" w:cs="Calibri"/>
        </w:rPr>
      </w:pPr>
    </w:p>
    <w:p w:rsidRPr="00BB2075" w:rsidR="005B5607" w:rsidP="00BB2075" w:rsidRDefault="005B5607" w14:paraId="2C604B82" w14:textId="527F76EA">
      <w:pPr>
        <w:pStyle w:val="Geenafstand"/>
        <w:rPr>
          <w:rFonts w:ascii="Calibri" w:hAnsi="Calibri" w:cs="Calibri"/>
          <w:iCs/>
        </w:rPr>
      </w:pPr>
      <w:r w:rsidRPr="00BB2075">
        <w:rPr>
          <w:rFonts w:ascii="Calibri" w:hAnsi="Calibri" w:cs="Calibri"/>
          <w:iCs/>
        </w:rPr>
        <w:t xml:space="preserve">De </w:t>
      </w:r>
      <w:r w:rsidRPr="00BB2075" w:rsidR="00BB2075">
        <w:rPr>
          <w:rFonts w:ascii="Calibri" w:hAnsi="Calibri" w:cs="Calibri"/>
          <w:iCs/>
        </w:rPr>
        <w:t>m</w:t>
      </w:r>
      <w:r w:rsidRPr="00BB2075">
        <w:rPr>
          <w:rFonts w:ascii="Calibri" w:hAnsi="Calibri" w:cs="Calibri"/>
          <w:iCs/>
        </w:rPr>
        <w:t>inister van Justitie en Veiligheid,</w:t>
      </w:r>
    </w:p>
    <w:p w:rsidRPr="00BB2075" w:rsidR="005B5607" w:rsidP="00BB2075" w:rsidRDefault="005B5607" w14:paraId="606B90AF" w14:textId="6E46088F">
      <w:pPr>
        <w:pStyle w:val="Geenafstand"/>
        <w:rPr>
          <w:rFonts w:ascii="Calibri" w:hAnsi="Calibri" w:cs="Calibri"/>
        </w:rPr>
      </w:pPr>
      <w:r w:rsidRPr="00BB2075">
        <w:rPr>
          <w:rFonts w:ascii="Calibri" w:hAnsi="Calibri" w:cs="Calibri"/>
        </w:rPr>
        <w:t>F</w:t>
      </w:r>
      <w:r w:rsidRPr="00BB2075" w:rsidR="00BB2075">
        <w:rPr>
          <w:rFonts w:ascii="Calibri" w:hAnsi="Calibri" w:cs="Calibri"/>
        </w:rPr>
        <w:t>.</w:t>
      </w:r>
      <w:r w:rsidRPr="00BB2075">
        <w:rPr>
          <w:rFonts w:ascii="Calibri" w:hAnsi="Calibri" w:cs="Calibri"/>
        </w:rPr>
        <w:t xml:space="preserve"> van Oosten</w:t>
      </w:r>
    </w:p>
    <w:p w:rsidRPr="00BB2075" w:rsidR="00F80165" w:rsidP="00BB2075" w:rsidRDefault="00F80165" w14:paraId="56430461" w14:textId="77777777">
      <w:pPr>
        <w:pStyle w:val="Geenafstand"/>
        <w:rPr>
          <w:rFonts w:ascii="Calibri" w:hAnsi="Calibri" w:cs="Calibri"/>
        </w:rPr>
      </w:pPr>
    </w:p>
    <w:sectPr w:rsidRPr="00BB2075" w:rsidR="00F80165" w:rsidSect="008E610E">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9F5C6" w14:textId="77777777" w:rsidR="005B5607" w:rsidRDefault="005B5607" w:rsidP="005B5607">
      <w:pPr>
        <w:spacing w:after="0" w:line="240" w:lineRule="auto"/>
      </w:pPr>
      <w:r>
        <w:separator/>
      </w:r>
    </w:p>
  </w:endnote>
  <w:endnote w:type="continuationSeparator" w:id="0">
    <w:p w14:paraId="78F1D08C" w14:textId="77777777" w:rsidR="005B5607" w:rsidRDefault="005B5607" w:rsidP="005B5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5E4A" w14:textId="77777777" w:rsidR="005B5607" w:rsidRPr="005B5607" w:rsidRDefault="005B5607" w:rsidP="005B56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4A5D8" w14:textId="77777777" w:rsidR="005B5607" w:rsidRPr="005B5607" w:rsidRDefault="005B5607" w:rsidP="005B56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98FE" w14:textId="77777777" w:rsidR="005B5607" w:rsidRPr="005B5607" w:rsidRDefault="005B5607" w:rsidP="005B56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7552D" w14:textId="77777777" w:rsidR="005B5607" w:rsidRDefault="005B5607" w:rsidP="005B5607">
      <w:pPr>
        <w:spacing w:after="0" w:line="240" w:lineRule="auto"/>
      </w:pPr>
      <w:r>
        <w:separator/>
      </w:r>
    </w:p>
  </w:footnote>
  <w:footnote w:type="continuationSeparator" w:id="0">
    <w:p w14:paraId="418EB7BD" w14:textId="77777777" w:rsidR="005B5607" w:rsidRDefault="005B5607" w:rsidP="005B5607">
      <w:pPr>
        <w:spacing w:after="0" w:line="240" w:lineRule="auto"/>
      </w:pPr>
      <w:r>
        <w:continuationSeparator/>
      </w:r>
    </w:p>
  </w:footnote>
  <w:footnote w:id="1">
    <w:p w14:paraId="626B0E34" w14:textId="7D0D7F01" w:rsidR="005B5607" w:rsidRPr="00BB2075" w:rsidRDefault="005B5607" w:rsidP="005B5607">
      <w:pPr>
        <w:pStyle w:val="Voetnoottekst"/>
        <w:rPr>
          <w:rFonts w:ascii="Calibri" w:hAnsi="Calibri" w:cs="Calibri"/>
        </w:rPr>
      </w:pPr>
      <w:r w:rsidRPr="00BB2075">
        <w:rPr>
          <w:rStyle w:val="Voetnootmarkering"/>
          <w:rFonts w:ascii="Calibri" w:hAnsi="Calibri" w:cs="Calibri"/>
        </w:rPr>
        <w:footnoteRef/>
      </w:r>
      <w:r w:rsidRPr="00BB2075">
        <w:rPr>
          <w:rFonts w:ascii="Calibri" w:hAnsi="Calibri" w:cs="Calibri"/>
        </w:rPr>
        <w:t xml:space="preserve"> Kamerstukken I, 2019-2020, 35 152, nr. B.</w:t>
      </w:r>
    </w:p>
  </w:footnote>
  <w:footnote w:id="2">
    <w:p w14:paraId="400CC778" w14:textId="7607A1E8" w:rsidR="005B5607" w:rsidRPr="00BB2075" w:rsidRDefault="005B5607" w:rsidP="005B5607">
      <w:pPr>
        <w:pStyle w:val="Voetnoottekst"/>
        <w:rPr>
          <w:rFonts w:ascii="Calibri" w:hAnsi="Calibri" w:cs="Calibri"/>
        </w:rPr>
      </w:pPr>
      <w:r w:rsidRPr="00BB2075">
        <w:rPr>
          <w:rStyle w:val="Voetnootmarkering"/>
          <w:rFonts w:ascii="Calibri" w:hAnsi="Calibri" w:cs="Calibri"/>
        </w:rPr>
        <w:footnoteRef/>
      </w:r>
      <w:r w:rsidRPr="00BB2075">
        <w:rPr>
          <w:rFonts w:ascii="Calibri" w:hAnsi="Calibri" w:cs="Calibri"/>
        </w:rPr>
        <w:t xml:space="preserve"> Handelingen II, 2021/22, nr. 64, item 10.</w:t>
      </w:r>
    </w:p>
  </w:footnote>
  <w:footnote w:id="3">
    <w:p w14:paraId="454D139F" w14:textId="09CE3C4F" w:rsidR="005B5607" w:rsidRPr="00BB2075" w:rsidRDefault="005B5607" w:rsidP="005B5607">
      <w:pPr>
        <w:pStyle w:val="Voetnoottekst"/>
        <w:rPr>
          <w:rFonts w:ascii="Calibri" w:hAnsi="Calibri" w:cs="Calibri"/>
        </w:rPr>
      </w:pPr>
      <w:r w:rsidRPr="00BB2075">
        <w:rPr>
          <w:rStyle w:val="Voetnootmarkering"/>
          <w:rFonts w:ascii="Calibri" w:hAnsi="Calibri" w:cs="Calibri"/>
        </w:rPr>
        <w:footnoteRef/>
      </w:r>
      <w:r w:rsidRPr="00BB2075">
        <w:rPr>
          <w:rFonts w:ascii="Calibri" w:hAnsi="Calibri" w:cs="Calibri"/>
        </w:rPr>
        <w:t xml:space="preserve"> Kamerstukken II, 2021-2022, 35 764, nrs. 15 en 17. </w:t>
      </w:r>
    </w:p>
  </w:footnote>
  <w:footnote w:id="4">
    <w:p w14:paraId="38F68A1D" w14:textId="77777777" w:rsidR="005B5607" w:rsidRPr="00BB2075" w:rsidRDefault="005B5607" w:rsidP="005B5607">
      <w:pPr>
        <w:pStyle w:val="Voetnoottekst"/>
        <w:rPr>
          <w:rFonts w:ascii="Calibri" w:hAnsi="Calibri" w:cs="Calibri"/>
        </w:rPr>
      </w:pPr>
      <w:r w:rsidRPr="00BB2075">
        <w:rPr>
          <w:rStyle w:val="Voetnootmarkering"/>
          <w:rFonts w:ascii="Calibri" w:hAnsi="Calibri" w:cs="Calibri"/>
        </w:rPr>
        <w:footnoteRef/>
      </w:r>
      <w:r w:rsidRPr="00BB2075">
        <w:rPr>
          <w:rFonts w:ascii="Calibri" w:hAnsi="Calibri" w:cs="Calibri"/>
        </w:rPr>
        <w:t xml:space="preserve"> </w:t>
      </w:r>
      <w:hyperlink r:id="rId1" w:history="1">
        <w:r w:rsidRPr="00BB2075">
          <w:rPr>
            <w:rStyle w:val="Hyperlink"/>
            <w:rFonts w:ascii="Calibri" w:hAnsi="Calibri" w:cs="Calibri"/>
          </w:rPr>
          <w:t>Programma NCDR 2022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0238" w14:textId="77777777" w:rsidR="005B5607" w:rsidRPr="005B5607" w:rsidRDefault="005B5607" w:rsidP="005B56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0923C" w14:textId="77777777" w:rsidR="005B5607" w:rsidRPr="005B5607" w:rsidRDefault="005B5607" w:rsidP="005B56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07DF" w14:textId="77777777" w:rsidR="005B5607" w:rsidRPr="005B5607" w:rsidRDefault="005B5607" w:rsidP="005B560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607"/>
    <w:rsid w:val="005B5607"/>
    <w:rsid w:val="00744342"/>
    <w:rsid w:val="008E610E"/>
    <w:rsid w:val="00BB2075"/>
    <w:rsid w:val="00CB4C45"/>
    <w:rsid w:val="00CD38F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7188"/>
  <w15:chartTrackingRefBased/>
  <w15:docId w15:val="{6B6695B1-11E1-4299-BC8F-E6DB19AE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56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56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56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56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56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56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56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56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56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56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56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56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56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56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56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56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56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5607"/>
    <w:rPr>
      <w:rFonts w:eastAsiaTheme="majorEastAsia" w:cstheme="majorBidi"/>
      <w:color w:val="272727" w:themeColor="text1" w:themeTint="D8"/>
    </w:rPr>
  </w:style>
  <w:style w:type="paragraph" w:styleId="Titel">
    <w:name w:val="Title"/>
    <w:basedOn w:val="Standaard"/>
    <w:next w:val="Standaard"/>
    <w:link w:val="TitelChar"/>
    <w:uiPriority w:val="10"/>
    <w:qFormat/>
    <w:rsid w:val="005B56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56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56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56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56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5607"/>
    <w:rPr>
      <w:i/>
      <w:iCs/>
      <w:color w:val="404040" w:themeColor="text1" w:themeTint="BF"/>
    </w:rPr>
  </w:style>
  <w:style w:type="paragraph" w:styleId="Lijstalinea">
    <w:name w:val="List Paragraph"/>
    <w:basedOn w:val="Standaard"/>
    <w:uiPriority w:val="34"/>
    <w:qFormat/>
    <w:rsid w:val="005B5607"/>
    <w:pPr>
      <w:ind w:left="720"/>
      <w:contextualSpacing/>
    </w:pPr>
  </w:style>
  <w:style w:type="character" w:styleId="Intensievebenadrukking">
    <w:name w:val="Intense Emphasis"/>
    <w:basedOn w:val="Standaardalinea-lettertype"/>
    <w:uiPriority w:val="21"/>
    <w:qFormat/>
    <w:rsid w:val="005B5607"/>
    <w:rPr>
      <w:i/>
      <w:iCs/>
      <w:color w:val="0F4761" w:themeColor="accent1" w:themeShade="BF"/>
    </w:rPr>
  </w:style>
  <w:style w:type="paragraph" w:styleId="Duidelijkcitaat">
    <w:name w:val="Intense Quote"/>
    <w:basedOn w:val="Standaard"/>
    <w:next w:val="Standaard"/>
    <w:link w:val="DuidelijkcitaatChar"/>
    <w:uiPriority w:val="30"/>
    <w:qFormat/>
    <w:rsid w:val="005B56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5607"/>
    <w:rPr>
      <w:i/>
      <w:iCs/>
      <w:color w:val="0F4761" w:themeColor="accent1" w:themeShade="BF"/>
    </w:rPr>
  </w:style>
  <w:style w:type="character" w:styleId="Intensieveverwijzing">
    <w:name w:val="Intense Reference"/>
    <w:basedOn w:val="Standaardalinea-lettertype"/>
    <w:uiPriority w:val="32"/>
    <w:qFormat/>
    <w:rsid w:val="005B5607"/>
    <w:rPr>
      <w:b/>
      <w:bCs/>
      <w:smallCaps/>
      <w:color w:val="0F4761" w:themeColor="accent1" w:themeShade="BF"/>
      <w:spacing w:val="5"/>
    </w:rPr>
  </w:style>
  <w:style w:type="character" w:styleId="Hyperlink">
    <w:name w:val="Hyperlink"/>
    <w:basedOn w:val="Standaardalinea-lettertype"/>
    <w:uiPriority w:val="99"/>
    <w:unhideWhenUsed/>
    <w:rsid w:val="005B5607"/>
    <w:rPr>
      <w:color w:val="467886" w:themeColor="hyperlink"/>
      <w:u w:val="single"/>
    </w:rPr>
  </w:style>
  <w:style w:type="paragraph" w:styleId="Voetnoottekst">
    <w:name w:val="footnote text"/>
    <w:basedOn w:val="Standaard"/>
    <w:link w:val="VoetnoottekstChar"/>
    <w:uiPriority w:val="99"/>
    <w:semiHidden/>
    <w:unhideWhenUsed/>
    <w:rsid w:val="005B560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B560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B5607"/>
    <w:rPr>
      <w:vertAlign w:val="superscript"/>
    </w:rPr>
  </w:style>
  <w:style w:type="paragraph" w:styleId="Koptekst">
    <w:name w:val="header"/>
    <w:basedOn w:val="Standaard"/>
    <w:link w:val="KoptekstChar"/>
    <w:uiPriority w:val="99"/>
    <w:unhideWhenUsed/>
    <w:rsid w:val="005B56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5607"/>
  </w:style>
  <w:style w:type="paragraph" w:styleId="Voettekst">
    <w:name w:val="footer"/>
    <w:basedOn w:val="Standaard"/>
    <w:link w:val="VoettekstChar"/>
    <w:uiPriority w:val="99"/>
    <w:unhideWhenUsed/>
    <w:rsid w:val="005B56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5607"/>
  </w:style>
  <w:style w:type="paragraph" w:styleId="Geenafstand">
    <w:name w:val="No Spacing"/>
    <w:uiPriority w:val="1"/>
    <w:qFormat/>
    <w:rsid w:val="00BB20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file:///H:\Mijn%20documenten\Programma%20NCDR%20202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434</ap:Words>
  <ap:Characters>2393</ap:Characters>
  <ap:DocSecurity>0</ap:DocSecurity>
  <ap:Lines>19</ap:Lines>
  <ap:Paragraphs>5</ap:Paragraphs>
  <ap:ScaleCrop>false</ap:ScaleCrop>
  <ap:LinksUpToDate>false</ap:LinksUpToDate>
  <ap:CharactersWithSpaces>2822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2025-12-03T11:15:00.0000000Z</dcterms:created>
  <dcterms:modified xsi:type="dcterms:W3CDTF">2025-12-03T11:15:00.0000000Z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