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46B7" w:rsidR="00CE46B7" w:rsidP="00CE46B7" w:rsidRDefault="00DD5FF5" w14:paraId="307CAD19" w14:textId="15E4FF27">
      <w:pPr>
        <w:ind w:left="1410" w:hanging="1410"/>
        <w:rPr>
          <w:rFonts w:ascii="Calibri" w:hAnsi="Calibri" w:cs="Calibri"/>
        </w:rPr>
      </w:pPr>
      <w:bookmarkStart w:name="OLE_LINK18" w:id="0"/>
      <w:r w:rsidRPr="00CE46B7">
        <w:rPr>
          <w:rFonts w:ascii="Calibri" w:hAnsi="Calibri" w:cs="Calibri"/>
        </w:rPr>
        <w:t>35</w:t>
      </w:r>
      <w:r w:rsidRPr="00CE46B7" w:rsidR="00CE46B7">
        <w:rPr>
          <w:rFonts w:ascii="Calibri" w:hAnsi="Calibri" w:cs="Calibri"/>
        </w:rPr>
        <w:t xml:space="preserve"> </w:t>
      </w:r>
      <w:r w:rsidRPr="00CE46B7">
        <w:rPr>
          <w:rFonts w:ascii="Calibri" w:hAnsi="Calibri" w:cs="Calibri"/>
        </w:rPr>
        <w:t>123</w:t>
      </w:r>
      <w:r w:rsidRPr="00CE46B7" w:rsidR="00CE46B7">
        <w:rPr>
          <w:rFonts w:ascii="Calibri" w:hAnsi="Calibri" w:cs="Calibri"/>
        </w:rPr>
        <w:tab/>
      </w:r>
      <w:r w:rsidRPr="00CE46B7" w:rsidR="00CE46B7">
        <w:rPr>
          <w:rFonts w:ascii="Calibri" w:hAnsi="Calibri" w:cs="Calibri"/>
        </w:rPr>
        <w:tab/>
      </w:r>
      <w:bookmarkStart w:name="_GoBack" w:id="1"/>
      <w:bookmarkEnd w:id="1"/>
      <w:r w:rsidRPr="00CE46B7" w:rsidR="00CE46B7">
        <w:rPr>
          <w:rFonts w:ascii="Calibri" w:hAnsi="Calibri" w:cs="Calibri"/>
        </w:rPr>
        <w:t>Machtiging tot oprichting van de Nederlandse financierings- en ontwikkelingsinstelling Invest-NL (Machtigingswet oprichting Invest-NL)</w:t>
      </w:r>
    </w:p>
    <w:p w:rsidRPr="00CE46B7" w:rsidR="00DD5FF5" w:rsidP="00DD5FF5" w:rsidRDefault="00CE46B7" w14:paraId="25C3D051" w14:textId="6D6B1276">
      <w:pPr>
        <w:rPr>
          <w:rFonts w:ascii="Calibri" w:hAnsi="Calibri" w:cs="Calibri"/>
        </w:rPr>
      </w:pPr>
      <w:r w:rsidRPr="00CE46B7">
        <w:rPr>
          <w:rFonts w:ascii="Calibri" w:hAnsi="Calibri" w:cs="Calibri"/>
        </w:rPr>
        <w:t xml:space="preserve">Nr. </w:t>
      </w:r>
      <w:r w:rsidRPr="00CE46B7" w:rsidR="00DD5FF5">
        <w:rPr>
          <w:rFonts w:ascii="Calibri" w:hAnsi="Calibri" w:cs="Calibri"/>
        </w:rPr>
        <w:t>46</w:t>
      </w:r>
      <w:r w:rsidRPr="00CE46B7">
        <w:rPr>
          <w:rFonts w:ascii="Calibri" w:hAnsi="Calibri" w:cs="Calibri"/>
        </w:rPr>
        <w:tab/>
      </w:r>
      <w:r w:rsidRPr="00CE46B7">
        <w:rPr>
          <w:rFonts w:ascii="Calibri" w:hAnsi="Calibri" w:cs="Calibri"/>
        </w:rPr>
        <w:tab/>
        <w:t>Brief van de minister van Economische Zaken</w:t>
      </w:r>
    </w:p>
    <w:p w:rsidRPr="00CE46B7" w:rsidR="00CE46B7" w:rsidP="00DD5FF5" w:rsidRDefault="00CE46B7" w14:paraId="63991B2B" w14:textId="079E608E">
      <w:pPr>
        <w:rPr>
          <w:rFonts w:ascii="Calibri" w:hAnsi="Calibri" w:cs="Calibri"/>
        </w:rPr>
      </w:pPr>
      <w:r w:rsidRPr="00CE46B7">
        <w:rPr>
          <w:rFonts w:ascii="Calibri" w:hAnsi="Calibri" w:cs="Calibri"/>
        </w:rPr>
        <w:t>Aan de Voorzitter van de Tweede Kamer der Staten-Generaal</w:t>
      </w:r>
    </w:p>
    <w:p w:rsidRPr="00CE46B7" w:rsidR="00CE46B7" w:rsidP="00DD5FF5" w:rsidRDefault="00CE46B7" w14:paraId="090B3030" w14:textId="0B55FBA0">
      <w:pPr>
        <w:rPr>
          <w:rFonts w:ascii="Calibri" w:hAnsi="Calibri" w:cs="Calibri"/>
        </w:rPr>
      </w:pPr>
      <w:r w:rsidRPr="00CE46B7">
        <w:rPr>
          <w:rFonts w:ascii="Calibri" w:hAnsi="Calibri" w:cs="Calibri"/>
        </w:rPr>
        <w:t>Den Haag, 1 december 2025</w:t>
      </w:r>
    </w:p>
    <w:p w:rsidRPr="00CE46B7" w:rsidR="00DD5FF5" w:rsidP="00DD5FF5" w:rsidRDefault="00DD5FF5" w14:paraId="0B8F2EDA" w14:textId="77777777">
      <w:pPr>
        <w:rPr>
          <w:rFonts w:ascii="Calibri" w:hAnsi="Calibri" w:cs="Calibri"/>
        </w:rPr>
      </w:pPr>
    </w:p>
    <w:p w:rsidRPr="00CE46B7" w:rsidR="00DD5FF5" w:rsidP="00DD5FF5" w:rsidRDefault="00DD5FF5" w14:paraId="34E0C77A" w14:textId="641B6F71">
      <w:pPr>
        <w:rPr>
          <w:rFonts w:ascii="Calibri" w:hAnsi="Calibri" w:cs="Calibri"/>
        </w:rPr>
      </w:pPr>
      <w:r w:rsidRPr="00CE46B7">
        <w:rPr>
          <w:rFonts w:ascii="Calibri" w:hAnsi="Calibri" w:cs="Calibri"/>
        </w:rPr>
        <w:t>Hierbij bied ik uw Kamer het Voortgangsverslag 2024 aan, waarin Invest-NL rapporteert over de voortgang op haar taken en doelstellingen die in het voorbije jaar zijn gerealiseerd.</w:t>
      </w:r>
    </w:p>
    <w:bookmarkEnd w:id="0"/>
    <w:p w:rsidRPr="00CE46B7" w:rsidR="00DD5FF5" w:rsidP="00DD5FF5" w:rsidRDefault="00DD5FF5" w14:paraId="2E515D33" w14:textId="77777777">
      <w:pPr>
        <w:rPr>
          <w:rFonts w:ascii="Calibri" w:hAnsi="Calibri" w:cs="Calibri"/>
        </w:rPr>
      </w:pPr>
    </w:p>
    <w:p w:rsidRPr="00CE46B7" w:rsidR="00DD5FF5" w:rsidP="00DD5FF5" w:rsidRDefault="00DD5FF5" w14:paraId="02714B1E" w14:textId="77777777">
      <w:pPr>
        <w:rPr>
          <w:rFonts w:ascii="Calibri" w:hAnsi="Calibri" w:cs="Calibri"/>
        </w:rPr>
      </w:pPr>
      <w:bookmarkStart w:name="OLE_LINK61" w:id="2"/>
      <w:r w:rsidRPr="00CE46B7">
        <w:rPr>
          <w:rFonts w:ascii="Calibri" w:hAnsi="Calibri" w:cs="Calibri"/>
        </w:rPr>
        <w:t xml:space="preserve">Het Voortgangsverslag vloeit voort uit de aanvullende overeenkomst die, naast de machtigingswet, is gesloten tussen de Staat en Invest-NL. Hierin is afgesproken dat Invest-NL na afloop van elk boekjaar een voortgangsrapportage opstelt die inzicht biedt in de mate waarin de activiteiten binnen de afgesproken doeleinden en investeringsdomeinen vallen en voldoen aan de beoogde resultaten. </w:t>
      </w:r>
      <w:bookmarkStart w:name="OLE_LINK80" w:id="3"/>
      <w:r w:rsidRPr="00CE46B7">
        <w:rPr>
          <w:rFonts w:ascii="Calibri" w:hAnsi="Calibri" w:cs="Calibri"/>
        </w:rPr>
        <w:t>Tijdens de wetsbehandeling van de machtigingswet voor de oprichting van Invest-NL is toegezegd dat uw Kamer deze jaarlijks ontvangt.</w:t>
      </w:r>
    </w:p>
    <w:bookmarkEnd w:id="2"/>
    <w:bookmarkEnd w:id="3"/>
    <w:p w:rsidRPr="00CE46B7" w:rsidR="00DD5FF5" w:rsidP="00DD5FF5" w:rsidRDefault="00DD5FF5" w14:paraId="4F5B6C5A" w14:textId="77777777">
      <w:pPr>
        <w:rPr>
          <w:rFonts w:ascii="Calibri" w:hAnsi="Calibri" w:cs="Calibri"/>
        </w:rPr>
      </w:pPr>
    </w:p>
    <w:p w:rsidRPr="00CE46B7" w:rsidR="00DD5FF5" w:rsidP="00DD5FF5" w:rsidRDefault="00DD5FF5" w14:paraId="0158AA38" w14:textId="77777777">
      <w:pPr>
        <w:rPr>
          <w:rFonts w:ascii="Calibri" w:hAnsi="Calibri" w:eastAsia="Verdana" w:cs="Calibri"/>
        </w:rPr>
      </w:pPr>
      <w:r w:rsidRPr="00CE46B7">
        <w:rPr>
          <w:rFonts w:ascii="Calibri" w:hAnsi="Calibri" w:cs="Calibri"/>
        </w:rPr>
        <w:t xml:space="preserve">Invest-NL heeft bij de oprichting als doel meegekregen om, </w:t>
      </w:r>
      <w:r w:rsidRPr="00CE46B7">
        <w:rPr>
          <w:rFonts w:ascii="Calibri" w:hAnsi="Calibri" w:eastAsia="Verdana" w:cs="Calibri"/>
        </w:rPr>
        <w:t xml:space="preserve">indien de markt hierin onvoldoende voorziet, bij te dragen aan het financieren en realiseren van maatschappelijke transitieopgaven door het aanbieden van toegang tot ondernemingsfinanciering. </w:t>
      </w:r>
      <w:bookmarkStart w:name="OLE_LINK73" w:id="4"/>
      <w:r w:rsidRPr="00CE46B7">
        <w:rPr>
          <w:rFonts w:ascii="Calibri" w:hAnsi="Calibri" w:eastAsia="Verdana" w:cs="Calibri"/>
        </w:rPr>
        <w:t xml:space="preserve">Binnen de kaders van de wet en de aanvullende overeenkomst heeft Invest-NL haar eigen strategie geformuleerd, waarbij vanaf de start prioriteit is gegeven aan de energietransitie, circulaire economie, life sciences &amp; health en de financiering van het innovatieve en snelgroeiende mkb (startups en scale-ups). </w:t>
      </w:r>
    </w:p>
    <w:bookmarkEnd w:id="4"/>
    <w:p w:rsidRPr="00CE46B7" w:rsidR="00DD5FF5" w:rsidP="00DD5FF5" w:rsidRDefault="00DD5FF5" w14:paraId="4186D194" w14:textId="77777777">
      <w:pPr>
        <w:rPr>
          <w:rFonts w:ascii="Calibri" w:hAnsi="Calibri" w:cs="Calibri"/>
        </w:rPr>
      </w:pPr>
    </w:p>
    <w:p w:rsidRPr="00CE46B7" w:rsidR="00DD5FF5" w:rsidP="00DD5FF5" w:rsidRDefault="00DD5FF5" w14:paraId="6C22ED2F" w14:textId="77777777">
      <w:pPr>
        <w:rPr>
          <w:rFonts w:ascii="Calibri" w:hAnsi="Calibri" w:eastAsia="Verdana" w:cs="Calibri"/>
        </w:rPr>
      </w:pPr>
      <w:r w:rsidRPr="00CE46B7">
        <w:rPr>
          <w:rFonts w:ascii="Calibri" w:hAnsi="Calibri" w:eastAsia="Verdana" w:cs="Calibri"/>
        </w:rPr>
        <w:t>In deze brief geef ik een appreciatie op het Voortgangsverslag en ga ik nader in op de activiteiten en ontwikkelingen van Invest-NL in 2024.</w:t>
      </w:r>
    </w:p>
    <w:p w:rsidRPr="00CE46B7" w:rsidR="00DD5FF5" w:rsidP="00DD5FF5" w:rsidRDefault="00DD5FF5" w14:paraId="12F22840" w14:textId="77777777">
      <w:pPr>
        <w:rPr>
          <w:rFonts w:ascii="Calibri" w:hAnsi="Calibri" w:eastAsia="Verdana" w:cs="Calibri"/>
        </w:rPr>
      </w:pPr>
    </w:p>
    <w:p w:rsidRPr="00CE46B7" w:rsidR="00DD5FF5" w:rsidP="00DD5FF5" w:rsidRDefault="00DD5FF5" w14:paraId="6EFEE29C" w14:textId="77777777">
      <w:pPr>
        <w:rPr>
          <w:rFonts w:ascii="Calibri" w:hAnsi="Calibri" w:eastAsia="Verdana" w:cs="Calibri"/>
          <w:i/>
          <w:iCs/>
        </w:rPr>
      </w:pPr>
      <w:r w:rsidRPr="00CE46B7">
        <w:rPr>
          <w:rFonts w:ascii="Calibri" w:hAnsi="Calibri" w:eastAsia="Verdana" w:cs="Calibri"/>
          <w:i/>
          <w:iCs/>
        </w:rPr>
        <w:t>Algemeen</w:t>
      </w:r>
    </w:p>
    <w:p w:rsidRPr="00CE46B7" w:rsidR="00DD5FF5" w:rsidP="00DD5FF5" w:rsidRDefault="00DD5FF5" w14:paraId="43485FD3" w14:textId="77777777">
      <w:pPr>
        <w:rPr>
          <w:rFonts w:ascii="Calibri" w:hAnsi="Calibri" w:eastAsia="Verdana" w:cs="Calibri"/>
          <w:i/>
          <w:iCs/>
        </w:rPr>
      </w:pPr>
    </w:p>
    <w:p w:rsidRPr="00CE46B7" w:rsidR="00DD5FF5" w:rsidP="00DD5FF5" w:rsidRDefault="00DD5FF5" w14:paraId="4A9103E2" w14:textId="77777777">
      <w:pPr>
        <w:rPr>
          <w:rFonts w:ascii="Calibri" w:hAnsi="Calibri" w:eastAsia="Verdana" w:cs="Calibri"/>
        </w:rPr>
      </w:pPr>
      <w:bookmarkStart w:name="OLE_LINK78" w:id="5"/>
      <w:bookmarkStart w:name="OLE_LINK15" w:id="6"/>
      <w:r w:rsidRPr="00CE46B7">
        <w:rPr>
          <w:rFonts w:ascii="Calibri" w:hAnsi="Calibri" w:eastAsia="Verdana" w:cs="Calibri"/>
        </w:rPr>
        <w:t xml:space="preserve">Het jaar 2024 markeert het vijfde bestaansjaar van Invest-NL sinds de oprichting in januari 2020. Het was wederom een jaar waarin volop ontwikkelingen hebben plaatsgevonden. In een tijd van forse bezuinigingen kreeg Invest-NL tot en met 2029 juist additionele middelen toegekend; een belangrijke stimulans voor haar verdere </w:t>
      </w:r>
      <w:r w:rsidRPr="00CE46B7">
        <w:rPr>
          <w:rFonts w:ascii="Calibri" w:hAnsi="Calibri" w:eastAsia="Verdana" w:cs="Calibri"/>
        </w:rPr>
        <w:lastRenderedPageBreak/>
        <w:t xml:space="preserve">ontwikkeling als nationale financierings- en ontwikkelingsinstelling. In 2024 committeerde Invest-NL €236 miljoen aan nieuwe investeringen, waarmee </w:t>
      </w:r>
      <w:bookmarkStart w:name="OLE_LINK39" w:id="7"/>
      <w:r w:rsidRPr="00CE46B7">
        <w:rPr>
          <w:rFonts w:ascii="Calibri" w:hAnsi="Calibri" w:eastAsia="Verdana" w:cs="Calibri"/>
        </w:rPr>
        <w:t>de mijlpaal van €1 miljard aan bruto gecommitteerde investeringen werd gepasseerd</w:t>
      </w:r>
      <w:bookmarkEnd w:id="7"/>
      <w:r w:rsidRPr="00CE46B7">
        <w:rPr>
          <w:rFonts w:ascii="Calibri" w:hAnsi="Calibri" w:eastAsia="Verdana" w:cs="Calibri"/>
        </w:rPr>
        <w:t xml:space="preserve">. Daarnaast is Invest-NL als organisatie sterk in beweging. Zo was 2024 het derde volledige jaar dat het </w:t>
      </w:r>
      <w:r w:rsidRPr="00CE46B7">
        <w:rPr>
          <w:rFonts w:ascii="Calibri" w:hAnsi="Calibri" w:eastAsia="Verdana" w:cs="Calibri"/>
          <w:i/>
          <w:iCs/>
        </w:rPr>
        <w:t xml:space="preserve">Deep Tech Fund </w:t>
      </w:r>
      <w:r w:rsidRPr="00CE46B7">
        <w:rPr>
          <w:rFonts w:ascii="Calibri" w:hAnsi="Calibri" w:eastAsia="Verdana" w:cs="Calibri"/>
        </w:rPr>
        <w:t>operationeel was en wordt gewerkt aan de introductie van nieuwe financieringsinstrumenten, waaronder een mogelijk fonds-in-fonds</w:t>
      </w:r>
      <w:r w:rsidRPr="00CE46B7">
        <w:rPr>
          <w:rFonts w:ascii="Calibri" w:hAnsi="Calibri" w:eastAsia="Verdana" w:cs="Calibri"/>
          <w:i/>
          <w:iCs/>
        </w:rPr>
        <w:t xml:space="preserve"> </w:t>
      </w:r>
      <w:r w:rsidRPr="00CE46B7">
        <w:rPr>
          <w:rFonts w:ascii="Calibri" w:hAnsi="Calibri" w:eastAsia="Verdana" w:cs="Calibri"/>
        </w:rPr>
        <w:t xml:space="preserve">in samenwerking met de pensioenfondsen. Ook is er €250 miljoen beschikbaar gemaakt voor een </w:t>
      </w:r>
      <w:bookmarkStart w:name="OLE_LINK37" w:id="8"/>
      <w:r w:rsidRPr="00CE46B7">
        <w:rPr>
          <w:rFonts w:ascii="Calibri" w:hAnsi="Calibri" w:eastAsia="Verdana" w:cs="Calibri"/>
        </w:rPr>
        <w:t xml:space="preserve">nieuw </w:t>
      </w:r>
      <w:r w:rsidRPr="00CE46B7">
        <w:rPr>
          <w:rFonts w:ascii="Calibri" w:hAnsi="Calibri" w:eastAsia="Verdana" w:cs="Calibri"/>
          <w:i/>
          <w:iCs/>
        </w:rPr>
        <w:t>blended finance</w:t>
      </w:r>
      <w:r w:rsidRPr="00CE46B7">
        <w:rPr>
          <w:rFonts w:ascii="Calibri" w:hAnsi="Calibri" w:eastAsia="Verdana" w:cs="Calibri"/>
        </w:rPr>
        <w:t xml:space="preserve">-instrument en wordt de rol van Invest-NL op het gebied van </w:t>
      </w:r>
      <w:r w:rsidRPr="00CE46B7">
        <w:rPr>
          <w:rFonts w:ascii="Calibri" w:hAnsi="Calibri" w:eastAsia="Verdana" w:cs="Calibri"/>
          <w:i/>
          <w:iCs/>
        </w:rPr>
        <w:t>dual use</w:t>
      </w:r>
      <w:r w:rsidRPr="00CE46B7">
        <w:rPr>
          <w:rFonts w:ascii="Calibri" w:hAnsi="Calibri" w:eastAsia="Verdana" w:cs="Calibri"/>
        </w:rPr>
        <w:t xml:space="preserve"> en defensiegerelateerde investeringen verkend.</w:t>
      </w:r>
    </w:p>
    <w:p w:rsidRPr="00CE46B7" w:rsidR="00DD5FF5" w:rsidP="00DD5FF5" w:rsidRDefault="00DD5FF5" w14:paraId="384ED3F6" w14:textId="77777777">
      <w:pPr>
        <w:pStyle w:val="Normaalweb"/>
        <w:spacing w:after="0" w:afterAutospacing="0" w:line="240" w:lineRule="atLeast"/>
        <w:rPr>
          <w:rFonts w:ascii="Calibri" w:hAnsi="Calibri" w:cs="Calibri"/>
          <w:sz w:val="22"/>
          <w:szCs w:val="22"/>
        </w:rPr>
      </w:pPr>
      <w:r w:rsidRPr="00CE46B7">
        <w:rPr>
          <w:rFonts w:ascii="Calibri" w:hAnsi="Calibri" w:cs="Calibri"/>
          <w:sz w:val="22"/>
          <w:szCs w:val="22"/>
        </w:rPr>
        <w:t xml:space="preserve">Verder is van belang dat is gestart met de voorbereiding van de operationele, financiële en organisatorische integratie van Invest-NL en Invest International. Het doel is om per 1 januari 2028 één krachtige nationale investeringsinstelling te vormen. </w:t>
      </w:r>
      <w:bookmarkEnd w:id="5"/>
      <w:bookmarkEnd w:id="8"/>
      <w:r w:rsidRPr="00CE46B7">
        <w:rPr>
          <w:rFonts w:ascii="Calibri" w:hAnsi="Calibri" w:cs="Calibri"/>
          <w:sz w:val="22"/>
          <w:szCs w:val="22"/>
        </w:rPr>
        <w:br/>
      </w:r>
    </w:p>
    <w:p w:rsidRPr="00CE46B7" w:rsidR="00CE46B7" w:rsidP="00DD5FF5" w:rsidRDefault="00CE46B7" w14:paraId="3450F914" w14:textId="77777777">
      <w:pPr>
        <w:pStyle w:val="Normaalweb"/>
        <w:spacing w:after="0" w:afterAutospacing="0" w:line="240" w:lineRule="atLeast"/>
        <w:rPr>
          <w:rFonts w:ascii="Calibri" w:hAnsi="Calibri" w:cs="Calibri"/>
          <w:sz w:val="22"/>
          <w:szCs w:val="22"/>
        </w:rPr>
      </w:pPr>
    </w:p>
    <w:p w:rsidRPr="00CE46B7" w:rsidR="00DD5FF5" w:rsidP="00DD5FF5" w:rsidRDefault="00DD5FF5" w14:paraId="43265C8F" w14:textId="77777777">
      <w:pPr>
        <w:rPr>
          <w:rFonts w:ascii="Calibri" w:hAnsi="Calibri" w:eastAsia="Verdana" w:cs="Calibri"/>
          <w:b/>
          <w:bCs/>
        </w:rPr>
      </w:pPr>
      <w:r w:rsidRPr="00CE46B7">
        <w:rPr>
          <w:rFonts w:ascii="Calibri" w:hAnsi="Calibri" w:eastAsia="Verdana" w:cs="Calibri"/>
          <w:b/>
          <w:bCs/>
        </w:rPr>
        <w:t>i. Investeringsactiviteiten</w:t>
      </w:r>
    </w:p>
    <w:p w:rsidRPr="00CE46B7" w:rsidR="00DD5FF5" w:rsidP="00DD5FF5" w:rsidRDefault="00DD5FF5" w14:paraId="31B9ABC6" w14:textId="77777777">
      <w:pPr>
        <w:rPr>
          <w:rFonts w:ascii="Calibri" w:hAnsi="Calibri" w:eastAsia="Verdana" w:cs="Calibri"/>
          <w:b/>
          <w:bCs/>
        </w:rPr>
      </w:pPr>
    </w:p>
    <w:p w:rsidRPr="00CE46B7" w:rsidR="00DD5FF5" w:rsidP="00DD5FF5" w:rsidRDefault="00DD5FF5" w14:paraId="3AFF8BE5" w14:textId="77777777">
      <w:pPr>
        <w:rPr>
          <w:rFonts w:ascii="Calibri" w:hAnsi="Calibri" w:eastAsia="Verdana" w:cs="Calibri"/>
          <w:i/>
          <w:iCs/>
        </w:rPr>
      </w:pPr>
      <w:r w:rsidRPr="00CE46B7">
        <w:rPr>
          <w:rFonts w:ascii="Calibri" w:hAnsi="Calibri" w:eastAsia="Verdana" w:cs="Calibri"/>
          <w:i/>
          <w:iCs/>
        </w:rPr>
        <w:t>Investeringen</w:t>
      </w:r>
    </w:p>
    <w:p w:rsidRPr="00CE46B7" w:rsidR="00DD5FF5" w:rsidP="00DD5FF5" w:rsidRDefault="00DD5FF5" w14:paraId="29DC08DA" w14:textId="77777777">
      <w:pPr>
        <w:pStyle w:val="Geenafstand"/>
        <w:spacing w:line="240" w:lineRule="atLeast"/>
        <w:rPr>
          <w:rFonts w:ascii="Calibri" w:hAnsi="Calibri" w:eastAsia="Verdana" w:cs="Calibri"/>
          <w:sz w:val="22"/>
          <w:szCs w:val="22"/>
        </w:rPr>
      </w:pPr>
      <w:bookmarkStart w:name="OLE_LINK74" w:id="9"/>
      <w:bookmarkStart w:name="OLE_LINK75" w:id="10"/>
      <w:r w:rsidRPr="00CE46B7">
        <w:rPr>
          <w:rFonts w:ascii="Calibri" w:hAnsi="Calibri" w:eastAsia="Verdana" w:cs="Calibri"/>
          <w:sz w:val="22"/>
          <w:szCs w:val="22"/>
        </w:rPr>
        <w:t xml:space="preserve">Het doel van de investeringstak is om direct te investeren in bedrijven en projecten en indirect via fondsen, juist daar waar de markt hier niet of slechts beperkt in voorziet. </w:t>
      </w:r>
      <w:bookmarkEnd w:id="9"/>
      <w:bookmarkEnd w:id="10"/>
      <w:r w:rsidRPr="00CE46B7">
        <w:rPr>
          <w:rFonts w:ascii="Calibri" w:hAnsi="Calibri" w:eastAsia="Verdana" w:cs="Calibri"/>
          <w:sz w:val="22"/>
          <w:szCs w:val="22"/>
        </w:rPr>
        <w:t xml:space="preserve">Naast een goede business case zijn maatschappelijk rendement, impact en ESG belangrijke elementen waar Invest-NL naar kijkt bij een (mogelijke) investering. Zo zijn er in 2024 investeringen gedaan in Battolyser en AquaBattery, twee innovatieve spelers op het gebied van duurzame energieopslag. Ook is er geïnvesteerd in Carbyon, een hightechbedrijf dat directe luchtvangst van </w:t>
      </w:r>
      <w:r w:rsidRPr="00CE46B7">
        <w:rPr>
          <w:rFonts w:ascii="Calibri" w:hAnsi="Calibri" w:cs="Calibri"/>
          <w:sz w:val="22"/>
          <w:szCs w:val="22"/>
        </w:rPr>
        <w:t>CO₂</w:t>
      </w:r>
      <w:r w:rsidRPr="00CE46B7">
        <w:rPr>
          <w:rFonts w:ascii="Calibri" w:hAnsi="Calibri" w:eastAsia="Verdana" w:cs="Calibri"/>
          <w:sz w:val="22"/>
          <w:szCs w:val="22"/>
        </w:rPr>
        <w:t xml:space="preserve"> opschaalt om emissies te reduceren, en in RIFT, dat industriële warmteprocessen verduurzaamt met ijzerbrandstof. Daarnaast droeg Invest-NL onder meer bij aan de versnelde elektrificatie van het openbaar vervoer via de financiering van Qbuzz. Bij deze en tal van andere investeringen heeft Invest-NL een cruciale rol gespeeld in het rondkrijgen van de benodigde financiering voor de betrokken bedrijven. </w:t>
      </w:r>
    </w:p>
    <w:p w:rsidRPr="00CE46B7" w:rsidR="00DD5FF5" w:rsidP="00DD5FF5" w:rsidRDefault="00DD5FF5" w14:paraId="794C5833" w14:textId="77777777">
      <w:pPr>
        <w:pStyle w:val="Geenafstand"/>
        <w:spacing w:line="240" w:lineRule="atLeast"/>
        <w:rPr>
          <w:rFonts w:ascii="Calibri" w:hAnsi="Calibri" w:eastAsia="Verdana" w:cs="Calibri"/>
          <w:sz w:val="22"/>
          <w:szCs w:val="22"/>
        </w:rPr>
      </w:pPr>
    </w:p>
    <w:p w:rsidRPr="00CE46B7" w:rsidR="00DD5FF5" w:rsidP="00DD5FF5" w:rsidRDefault="00DD5FF5" w14:paraId="00E0A7E6" w14:textId="77777777">
      <w:pPr>
        <w:pStyle w:val="Geenafstand"/>
        <w:spacing w:line="240" w:lineRule="atLeast"/>
        <w:rPr>
          <w:rFonts w:ascii="Calibri" w:hAnsi="Calibri" w:eastAsia="Verdana" w:cs="Calibri"/>
          <w:sz w:val="22"/>
          <w:szCs w:val="22"/>
        </w:rPr>
      </w:pPr>
      <w:r w:rsidRPr="00CE46B7">
        <w:rPr>
          <w:rFonts w:ascii="Calibri" w:hAnsi="Calibri" w:eastAsia="Verdana" w:cs="Calibri"/>
          <w:sz w:val="22"/>
          <w:szCs w:val="22"/>
        </w:rPr>
        <w:t xml:space="preserve">Zoals eerder benoemd, heeft Invest-NL in 2024 voor €236 miljoen aan nieuwe investeringen gecommitteerd. Hiervan is €171 miljoen </w:t>
      </w:r>
      <w:bookmarkStart w:name="OLE_LINK36" w:id="11"/>
      <w:r w:rsidRPr="00CE46B7">
        <w:rPr>
          <w:rFonts w:ascii="Calibri" w:hAnsi="Calibri" w:eastAsia="Verdana" w:cs="Calibri"/>
          <w:sz w:val="22"/>
          <w:szCs w:val="22"/>
        </w:rPr>
        <w:t xml:space="preserve">gecommitteerd aan portfoliobedrijven (waarvan €112 miljoen aan </w:t>
      </w:r>
      <w:r w:rsidRPr="00CE46B7">
        <w:rPr>
          <w:rFonts w:ascii="Calibri" w:hAnsi="Calibri" w:eastAsia="Verdana" w:cs="Calibri"/>
          <w:i/>
          <w:iCs/>
          <w:sz w:val="22"/>
          <w:szCs w:val="22"/>
        </w:rPr>
        <w:t xml:space="preserve">nieuwe </w:t>
      </w:r>
      <w:r w:rsidRPr="00CE46B7">
        <w:rPr>
          <w:rFonts w:ascii="Calibri" w:hAnsi="Calibri" w:eastAsia="Verdana" w:cs="Calibri"/>
          <w:sz w:val="22"/>
          <w:szCs w:val="22"/>
        </w:rPr>
        <w:t xml:space="preserve">portfoliobedrijven) en €65 miljoen aan fondsmandaten (waarvan €63 miljoen aan </w:t>
      </w:r>
      <w:r w:rsidRPr="00CE46B7">
        <w:rPr>
          <w:rFonts w:ascii="Calibri" w:hAnsi="Calibri" w:eastAsia="Verdana" w:cs="Calibri"/>
          <w:i/>
          <w:iCs/>
          <w:sz w:val="22"/>
          <w:szCs w:val="22"/>
        </w:rPr>
        <w:t xml:space="preserve">nieuwe </w:t>
      </w:r>
      <w:r w:rsidRPr="00CE46B7">
        <w:rPr>
          <w:rFonts w:ascii="Calibri" w:hAnsi="Calibri" w:eastAsia="Verdana" w:cs="Calibri"/>
          <w:sz w:val="22"/>
          <w:szCs w:val="22"/>
        </w:rPr>
        <w:t xml:space="preserve">fondsen). </w:t>
      </w:r>
    </w:p>
    <w:p w:rsidRPr="00CE46B7" w:rsidR="00DD5FF5" w:rsidP="00DD5FF5" w:rsidRDefault="00DD5FF5" w14:paraId="4595D056" w14:textId="77777777">
      <w:pPr>
        <w:pStyle w:val="Geenafstand"/>
        <w:spacing w:line="240" w:lineRule="atLeast"/>
        <w:rPr>
          <w:rFonts w:ascii="Calibri" w:hAnsi="Calibri" w:eastAsia="Verdana" w:cs="Calibri"/>
          <w:sz w:val="22"/>
          <w:szCs w:val="22"/>
        </w:rPr>
      </w:pPr>
      <w:r w:rsidRPr="00CE46B7">
        <w:rPr>
          <w:rFonts w:ascii="Calibri" w:hAnsi="Calibri" w:eastAsia="Verdana" w:cs="Calibri"/>
          <w:sz w:val="22"/>
          <w:szCs w:val="22"/>
        </w:rPr>
        <w:t>Het bruto gecommitteerd investeringsvolume sinds 2020 komt uit op een totaal van €1.145 miljoen.</w:t>
      </w:r>
      <w:bookmarkEnd w:id="11"/>
      <w:r w:rsidRPr="00CE46B7">
        <w:rPr>
          <w:rFonts w:ascii="Calibri" w:hAnsi="Calibri" w:eastAsia="Verdana" w:cs="Calibri"/>
          <w:sz w:val="22"/>
          <w:szCs w:val="22"/>
        </w:rPr>
        <w:t xml:space="preserve"> Hiermee zijn sinds de start tot eind 2024 93 investeringen verricht, waarvan 67 direct aan scale-up bedrijven. Daarnaast leiden de 26 indirecte investeringen in investeringsfondsen tot een veelvoud aan investeringen in Nederlandse start- en scale-ups.</w:t>
      </w:r>
    </w:p>
    <w:p w:rsidRPr="00CE46B7" w:rsidR="00DD5FF5" w:rsidP="00DD5FF5" w:rsidRDefault="00DD5FF5" w14:paraId="1F664C69" w14:textId="77777777">
      <w:pPr>
        <w:pStyle w:val="Geenafstand"/>
        <w:spacing w:line="240" w:lineRule="atLeast"/>
        <w:rPr>
          <w:rFonts w:ascii="Calibri" w:hAnsi="Calibri" w:eastAsia="Verdana" w:cs="Calibri"/>
          <w:sz w:val="22"/>
          <w:szCs w:val="22"/>
        </w:rPr>
      </w:pPr>
    </w:p>
    <w:p w:rsidRPr="00CE46B7" w:rsidR="00DD5FF5" w:rsidP="00DD5FF5" w:rsidRDefault="00DD5FF5" w14:paraId="328E1CEE" w14:textId="77777777">
      <w:pPr>
        <w:pStyle w:val="Geenafstand"/>
        <w:spacing w:line="240" w:lineRule="atLeast"/>
        <w:rPr>
          <w:rFonts w:ascii="Calibri" w:hAnsi="Calibri" w:eastAsia="Verdana" w:cs="Calibri"/>
          <w:sz w:val="22"/>
          <w:szCs w:val="22"/>
        </w:rPr>
      </w:pPr>
      <w:r w:rsidRPr="00CE46B7">
        <w:rPr>
          <w:rFonts w:ascii="Calibri" w:hAnsi="Calibri" w:eastAsia="Verdana" w:cs="Calibri"/>
          <w:sz w:val="22"/>
          <w:szCs w:val="22"/>
        </w:rPr>
        <w:lastRenderedPageBreak/>
        <w:t xml:space="preserve">Het totaal aantal investeringsaanvragen is in 2024 met ruim 70% toegenomen ten opzichte van het aantal in 2023. Invest-NL heeft in 2024 457 aanvragen ontvangen, waarvan aan 44 aanvragen een investering is gecommitteerd. Het aantal investeringen lag daarmee iets hoger dan verwacht. Echter, vanwege het uitdagende investeringsklimaat was het voor bedrijven en fondsen lastig om substantiële (vervolg)investeringen op te halen, waardoor de gemiddelde investeringsomvang juist licht achterbleef bij de verwachtingen. </w:t>
      </w:r>
    </w:p>
    <w:p w:rsidRPr="00CE46B7" w:rsidR="00DD5FF5" w:rsidP="00DD5FF5" w:rsidRDefault="00DD5FF5" w14:paraId="10F8A690" w14:textId="77777777">
      <w:pPr>
        <w:pStyle w:val="Geenafstand"/>
        <w:spacing w:line="240" w:lineRule="atLeast"/>
        <w:rPr>
          <w:rFonts w:ascii="Calibri" w:hAnsi="Calibri" w:eastAsia="Verdana" w:cs="Calibri"/>
          <w:sz w:val="22"/>
          <w:szCs w:val="22"/>
        </w:rPr>
      </w:pPr>
      <w:r w:rsidRPr="00CE46B7">
        <w:rPr>
          <w:rFonts w:ascii="Calibri" w:hAnsi="Calibri" w:eastAsia="Verdana" w:cs="Calibri"/>
          <w:sz w:val="22"/>
          <w:szCs w:val="22"/>
        </w:rPr>
        <w:t xml:space="preserve">Gevallen waarbij investeringsaanvragen niet (verder) in behandeling worden genomen, zijn onder andere te wijten aan het feit dat Invest-NL aanvullend dient te zijn aan de markt. Daarnaast moet er sprake zijn van een positieve businesscase die tot doel heeft maatschappelijke impact te maken, passend bij de focusgebieden van Invest-NL. </w:t>
      </w:r>
    </w:p>
    <w:p w:rsidRPr="00CE46B7" w:rsidR="00DD5FF5" w:rsidP="00DD5FF5" w:rsidRDefault="00DD5FF5" w14:paraId="2E1A9C75" w14:textId="77777777">
      <w:pPr>
        <w:pStyle w:val="Geenafstand"/>
        <w:spacing w:line="240" w:lineRule="atLeast"/>
        <w:rPr>
          <w:rFonts w:ascii="Calibri" w:hAnsi="Calibri" w:eastAsia="Verdana" w:cs="Calibri"/>
          <w:sz w:val="22"/>
          <w:szCs w:val="22"/>
        </w:rPr>
      </w:pPr>
    </w:p>
    <w:p w:rsidRPr="00CE46B7" w:rsidR="00DD5FF5" w:rsidP="00DD5FF5" w:rsidRDefault="00DD5FF5" w14:paraId="4DF10C8B" w14:textId="77777777">
      <w:pPr>
        <w:pStyle w:val="Geenafstand"/>
        <w:spacing w:line="240" w:lineRule="atLeast"/>
        <w:rPr>
          <w:rFonts w:ascii="Calibri" w:hAnsi="Calibri" w:eastAsia="Verdana" w:cs="Calibri"/>
          <w:sz w:val="22"/>
          <w:szCs w:val="22"/>
        </w:rPr>
      </w:pPr>
      <w:r w:rsidRPr="00CE46B7">
        <w:rPr>
          <w:rFonts w:ascii="Calibri" w:hAnsi="Calibri" w:eastAsia="Verdana" w:cs="Calibri"/>
          <w:sz w:val="22"/>
          <w:szCs w:val="22"/>
        </w:rPr>
        <w:t xml:space="preserve">Invest-NL heeft het mandaat om zowel direct te investeren in bedrijven en projecten als indirect via investeringsfondsen. In 2024 betrof zo’n 72% van de nieuwe committeringen directe investeringen (in de vorm van aandelenbelangen en leningen), tegenover zo’n 28% indirecte investeringen (in fondsmandaten). </w:t>
      </w:r>
    </w:p>
    <w:p w:rsidRPr="00CE46B7" w:rsidR="00DD5FF5" w:rsidP="00DD5FF5" w:rsidRDefault="00DD5FF5" w14:paraId="337B1ABF" w14:textId="77777777">
      <w:pPr>
        <w:pStyle w:val="Geenafstand"/>
        <w:spacing w:line="240" w:lineRule="atLeast"/>
        <w:rPr>
          <w:rFonts w:ascii="Calibri" w:hAnsi="Calibri" w:eastAsia="Verdana" w:cs="Calibri"/>
          <w:sz w:val="22"/>
          <w:szCs w:val="22"/>
        </w:rPr>
      </w:pPr>
    </w:p>
    <w:p w:rsidRPr="00CE46B7" w:rsidR="00DD5FF5" w:rsidP="00DD5FF5" w:rsidRDefault="00DD5FF5" w14:paraId="14BDDA98" w14:textId="77777777">
      <w:pPr>
        <w:pStyle w:val="Geenafstand"/>
        <w:spacing w:line="240" w:lineRule="atLeast"/>
        <w:rPr>
          <w:rFonts w:ascii="Calibri" w:hAnsi="Calibri" w:eastAsia="Verdana" w:cs="Calibri"/>
          <w:sz w:val="22"/>
          <w:szCs w:val="22"/>
        </w:rPr>
      </w:pPr>
      <w:r w:rsidRPr="00CE46B7">
        <w:rPr>
          <w:rFonts w:ascii="Calibri" w:hAnsi="Calibri" w:cs="Calibri"/>
          <w:sz w:val="22"/>
          <w:szCs w:val="22"/>
        </w:rPr>
        <w:t xml:space="preserve">Invest-NL blijft als een van de grootste impactinvesteerders van Nederland gericht op het aanpakken van financieringsknelpunten binnen maatschappelijke transities. De inzet wordt daarbij verbreed naar opkomende thema’s zoals sociale impact, biodiversiteit en verduurzaming van de industrie. Daarnaast richt Invest-NL zich in toenemende mate op onderwerpen als technologische innovatie en weerbaarheid – onder meer in reactie op geopolitieke ontwikkelingen, de opkomst van sleuteltechnologieën zoals AI en de Europese strategische koers. </w:t>
      </w:r>
    </w:p>
    <w:p w:rsidRPr="00CE46B7" w:rsidR="00DD5FF5" w:rsidP="00DD5FF5" w:rsidRDefault="00DD5FF5" w14:paraId="5277BE74" w14:textId="77777777">
      <w:pPr>
        <w:pStyle w:val="Geenafstand1"/>
        <w:spacing w:line="240" w:lineRule="atLeast"/>
        <w:rPr>
          <w:rFonts w:ascii="Calibri" w:hAnsi="Calibri" w:eastAsia="Verdana" w:cs="Calibri"/>
          <w:color w:val="EE0000"/>
          <w:sz w:val="22"/>
          <w:lang w:val="nl-NL"/>
        </w:rPr>
      </w:pPr>
      <w:r w:rsidRPr="00CE46B7">
        <w:rPr>
          <w:rFonts w:ascii="Calibri" w:hAnsi="Calibri" w:cs="Calibri"/>
          <w:sz w:val="22"/>
          <w:lang w:val="nl-NL"/>
        </w:rPr>
        <w:t>Tegelijkertijd ontwikkelt Invest-NL nieuwe financiële instrumenten voor overheden en financiers, en breidt het het eigen productaanbod uit – van voornamelijk risicokapitaal naar ook andere financieringsvormen, zoals projectfinanciering en venture debt. Invest-NL treedt daarbij vaker op als (lead) investor, met ruimte voor zowel kleinere als grotere tickets. Zo wordt het investeringsaanbod versterkt voor startups en scale-ups, én uitgebreid naar latere groeifases, gevestigde bedrijven en grotere projecten. Uit het IBO Bedrijfsfinanciering blijkt immers dat er met name nog een knelpunt bestaat bij financiering in de latere doorgroeifase; bij tickets vanaf €10-50 miljoen.</w:t>
      </w:r>
    </w:p>
    <w:p w:rsidRPr="00CE46B7" w:rsidR="00DD5FF5" w:rsidP="00DD5FF5" w:rsidRDefault="00DD5FF5" w14:paraId="56D23BAF" w14:textId="77777777">
      <w:pPr>
        <w:pStyle w:val="Geenafstand"/>
        <w:spacing w:line="240" w:lineRule="atLeast"/>
        <w:rPr>
          <w:rFonts w:ascii="Calibri" w:hAnsi="Calibri" w:eastAsia="Verdana" w:cs="Calibri"/>
          <w:sz w:val="22"/>
          <w:szCs w:val="22"/>
        </w:rPr>
      </w:pPr>
    </w:p>
    <w:p w:rsidRPr="00CE46B7" w:rsidR="00DD5FF5" w:rsidP="00DD5FF5" w:rsidRDefault="00DD5FF5" w14:paraId="5A4896B8" w14:textId="77777777">
      <w:pPr>
        <w:pStyle w:val="Geenafstand"/>
        <w:spacing w:line="240" w:lineRule="atLeast"/>
        <w:rPr>
          <w:rFonts w:ascii="Calibri" w:hAnsi="Calibri" w:eastAsia="Verdana" w:cs="Calibri"/>
          <w:i/>
          <w:iCs/>
          <w:sz w:val="22"/>
          <w:szCs w:val="22"/>
        </w:rPr>
      </w:pPr>
      <w:r w:rsidRPr="00CE46B7">
        <w:rPr>
          <w:rFonts w:ascii="Calibri" w:hAnsi="Calibri" w:eastAsia="Verdana" w:cs="Calibri"/>
          <w:i/>
          <w:iCs/>
          <w:sz w:val="22"/>
          <w:szCs w:val="22"/>
        </w:rPr>
        <w:t>Mobilisatie privaat kapitaal</w:t>
      </w:r>
    </w:p>
    <w:p w:rsidRPr="00CE46B7" w:rsidR="00DD5FF5" w:rsidP="00DD5FF5" w:rsidRDefault="00DD5FF5" w14:paraId="2DCAEB22" w14:textId="77777777">
      <w:pPr>
        <w:pStyle w:val="Geenafstand"/>
        <w:spacing w:line="240" w:lineRule="atLeast"/>
        <w:rPr>
          <w:rFonts w:ascii="Calibri" w:hAnsi="Calibri" w:eastAsia="Verdana" w:cs="Calibri"/>
          <w:i/>
          <w:iCs/>
          <w:sz w:val="22"/>
          <w:szCs w:val="22"/>
        </w:rPr>
      </w:pPr>
    </w:p>
    <w:p w:rsidRPr="00CE46B7" w:rsidR="00DD5FF5" w:rsidP="00DD5FF5" w:rsidRDefault="00DD5FF5" w14:paraId="5CAB4C78" w14:textId="77777777">
      <w:pPr>
        <w:pStyle w:val="Geenafstand"/>
        <w:spacing w:line="240" w:lineRule="atLeast"/>
        <w:rPr>
          <w:rFonts w:ascii="Calibri" w:hAnsi="Calibri" w:eastAsia="Verdana" w:cs="Calibri"/>
          <w:sz w:val="22"/>
          <w:szCs w:val="22"/>
        </w:rPr>
      </w:pPr>
      <w:r w:rsidRPr="00CE46B7">
        <w:rPr>
          <w:rFonts w:ascii="Calibri" w:hAnsi="Calibri" w:eastAsia="Verdana" w:cs="Calibri"/>
          <w:sz w:val="22"/>
          <w:szCs w:val="22"/>
        </w:rPr>
        <w:t>In 2024 is door Invest-NL voor €784 miljoen aan privaat kapitaal gemobiliseerd. In de eerste vijf jaar sinds de oprichting van Invest-NL komt hiermee het totaal gemobiliseerd privaat kapitaal uit op ongeveer €3,2 miljard. In deze periode heeft Invest-NL zelf (bruto) zo’n €1.145 miljoen van haar kapitaal gecommitteerd. Dat betekent dat elke geïnvesteerde euro door Invest-NL ruim drie euro aan privaat kapitaal mobiliseert. Dit is een positief resultaat aangezien het van belang is dat Invest-NL in haar werkzaamheden additioneel aan de markt opereert en daarbij bewerktstelligt dat andere private partijen (mee)investeren. Hiermee is Invest-NL complementair aan het bestaande aanbod op de financieringsmarkt.</w:t>
      </w:r>
    </w:p>
    <w:p w:rsidRPr="00CE46B7" w:rsidR="00DD5FF5" w:rsidP="00DD5FF5" w:rsidRDefault="00DD5FF5" w14:paraId="32A17E9F" w14:textId="77777777">
      <w:pPr>
        <w:pStyle w:val="Geenafstand"/>
        <w:spacing w:line="240" w:lineRule="atLeast"/>
        <w:rPr>
          <w:rFonts w:ascii="Calibri" w:hAnsi="Calibri" w:eastAsia="Verdana" w:cs="Calibri"/>
          <w:sz w:val="22"/>
          <w:szCs w:val="22"/>
        </w:rPr>
      </w:pPr>
    </w:p>
    <w:p w:rsidRPr="00CE46B7" w:rsidR="00DD5FF5" w:rsidP="00DD5FF5" w:rsidRDefault="00DD5FF5" w14:paraId="78836A3B" w14:textId="77777777">
      <w:pPr>
        <w:pStyle w:val="Geenafstand"/>
        <w:spacing w:line="240" w:lineRule="atLeast"/>
        <w:rPr>
          <w:rFonts w:ascii="Calibri" w:hAnsi="Calibri" w:eastAsia="Verdana" w:cs="Calibri"/>
          <w:i/>
          <w:iCs/>
          <w:sz w:val="22"/>
          <w:szCs w:val="22"/>
        </w:rPr>
      </w:pPr>
      <w:r w:rsidRPr="00CE46B7">
        <w:rPr>
          <w:rFonts w:ascii="Calibri" w:hAnsi="Calibri" w:eastAsia="Verdana" w:cs="Calibri"/>
          <w:i/>
          <w:iCs/>
          <w:sz w:val="22"/>
          <w:szCs w:val="22"/>
        </w:rPr>
        <w:t>Europa</w:t>
      </w:r>
    </w:p>
    <w:p w:rsidRPr="00CE46B7" w:rsidR="00DD5FF5" w:rsidP="00DD5FF5" w:rsidRDefault="00DD5FF5" w14:paraId="648F5CC8" w14:textId="77777777">
      <w:pPr>
        <w:pStyle w:val="Geenafstand"/>
        <w:spacing w:line="240" w:lineRule="atLeast"/>
        <w:rPr>
          <w:rFonts w:ascii="Calibri" w:hAnsi="Calibri" w:eastAsia="Verdana" w:cs="Calibri"/>
          <w:i/>
          <w:iCs/>
          <w:sz w:val="22"/>
          <w:szCs w:val="22"/>
        </w:rPr>
      </w:pPr>
    </w:p>
    <w:p w:rsidRPr="00CE46B7" w:rsidR="00DD5FF5" w:rsidP="00DD5FF5" w:rsidRDefault="00DD5FF5" w14:paraId="6AE74E87" w14:textId="77777777">
      <w:pPr>
        <w:pStyle w:val="Geenafstand1"/>
        <w:spacing w:line="240" w:lineRule="atLeast"/>
        <w:rPr>
          <w:rFonts w:ascii="Calibri" w:hAnsi="Calibri" w:cs="Calibri"/>
          <w:sz w:val="22"/>
          <w:lang w:val="nl-NL"/>
        </w:rPr>
      </w:pPr>
      <w:r w:rsidRPr="00CE46B7">
        <w:rPr>
          <w:rFonts w:ascii="Calibri" w:hAnsi="Calibri" w:cs="Calibri"/>
          <w:sz w:val="22"/>
          <w:lang w:val="nl-NL"/>
        </w:rPr>
        <w:t>Invest-NL blijft zich actief inzetten voor een optimale benutting van Europese financieringsinstrumenten en programma’s. De samenwerking met de Europese Commissie en haar financieringsinstellingen draagt bij aan de ontwikkeling van innovatieve financieringsoplossingen en het mobiliseren van private investeringen. Zo fungeert Invest-NL als Nederlandse implementing partner van het InvestEU-programma, waarmee de EU het aanbod van langetermijnfinanciering voor strategische investeringen versterkt. Het InvestEU Fund wordt uitgevoerd via geselecteerde financiële partners en maakt gebruik van een EU-begrotingsgarantie van in totaal € 26,2 miljard. Deze garantie stelt de partners in staat om te investeren in projecten met maatschappelijke meerwaarde en een verhoogd risicoprofiel.</w:t>
      </w:r>
    </w:p>
    <w:p w:rsidRPr="00CE46B7" w:rsidR="00DD5FF5" w:rsidP="00DD5FF5" w:rsidRDefault="00DD5FF5" w14:paraId="46BC8422" w14:textId="77777777">
      <w:pPr>
        <w:pStyle w:val="Geenafstand1"/>
        <w:spacing w:line="240" w:lineRule="atLeast"/>
        <w:rPr>
          <w:rFonts w:ascii="Calibri" w:hAnsi="Calibri" w:cs="Calibri"/>
          <w:sz w:val="22"/>
          <w:lang w:val="nl-NL"/>
        </w:rPr>
      </w:pPr>
    </w:p>
    <w:p w:rsidRPr="00CE46B7" w:rsidR="00DD5FF5" w:rsidP="00DD5FF5" w:rsidRDefault="00DD5FF5" w14:paraId="4925E631" w14:textId="77777777">
      <w:pPr>
        <w:pStyle w:val="Geenafstand1"/>
        <w:spacing w:line="240" w:lineRule="atLeast"/>
        <w:rPr>
          <w:rFonts w:ascii="Calibri" w:hAnsi="Calibri" w:cs="Calibri"/>
          <w:sz w:val="22"/>
          <w:lang w:val="nl-NL"/>
        </w:rPr>
      </w:pPr>
      <w:r w:rsidRPr="00CE46B7">
        <w:rPr>
          <w:rFonts w:ascii="Calibri" w:hAnsi="Calibri" w:cs="Calibri"/>
          <w:sz w:val="22"/>
          <w:lang w:val="nl-NL"/>
        </w:rPr>
        <w:t>Een concreet voorbeeld is de investering van €18 miljoen in BioBTX, een voorloper op het gebied van duurzame chemische technologieën. Deze investering draagt bij aan zowel de vermindering van CO₂-uitstoot als de versnelling van de transitie naar een circulaire economie. De opzet van de financiering illustreert hoe publieke en private partijen gezamenlijk grootschalige investeringen in duurzame innovatie mogelijk maken. Dankzij de InvestEU-garantie van de Europese Commissie kon het investeringsbedrag van Invest-NL substantieel worden vergroot.</w:t>
      </w:r>
    </w:p>
    <w:p w:rsidRPr="00CE46B7" w:rsidR="00DD5FF5" w:rsidP="00DD5FF5" w:rsidRDefault="00DD5FF5" w14:paraId="4DFCB779" w14:textId="77777777">
      <w:pPr>
        <w:pStyle w:val="Geenafstand1"/>
        <w:spacing w:line="240" w:lineRule="atLeast"/>
        <w:rPr>
          <w:rFonts w:ascii="Calibri" w:hAnsi="Calibri" w:cs="Calibri"/>
          <w:sz w:val="22"/>
          <w:lang w:val="nl-NL"/>
        </w:rPr>
      </w:pPr>
      <w:r w:rsidRPr="00CE46B7">
        <w:rPr>
          <w:rFonts w:ascii="Calibri" w:hAnsi="Calibri" w:cs="Calibri"/>
          <w:sz w:val="22"/>
          <w:lang w:val="nl-NL"/>
        </w:rPr>
        <w:t>Daarnaast heeft Invest-NL, eveneens met steun van de InvestEU-garantie, een investeringsronde van €16 miljoen geleid in Thorizon. Deze Nederlandse deep-tech startup ontwikkelt geavanceerde, modulaire gesmolten-zoutreactoren. Invest-NL nam hiervan €10 miljoen voor haar rekening.</w:t>
      </w:r>
    </w:p>
    <w:p w:rsidRPr="00CE46B7" w:rsidR="00DD5FF5" w:rsidP="00DD5FF5" w:rsidRDefault="00DD5FF5" w14:paraId="73177658" w14:textId="77777777">
      <w:pPr>
        <w:pStyle w:val="Geenafstand"/>
        <w:spacing w:line="240" w:lineRule="atLeast"/>
        <w:rPr>
          <w:rFonts w:ascii="Calibri" w:hAnsi="Calibri" w:eastAsia="Verdana" w:cs="Calibri"/>
          <w:color w:val="EE0000"/>
          <w:sz w:val="22"/>
          <w:szCs w:val="22"/>
        </w:rPr>
      </w:pPr>
    </w:p>
    <w:p w:rsidRPr="00CE46B7" w:rsidR="00DD5FF5" w:rsidP="00DD5FF5" w:rsidRDefault="00DD5FF5" w14:paraId="6624028E" w14:textId="77777777">
      <w:pPr>
        <w:pStyle w:val="Geenafstand"/>
        <w:spacing w:line="240" w:lineRule="atLeast"/>
        <w:rPr>
          <w:rFonts w:ascii="Calibri" w:hAnsi="Calibri" w:eastAsia="Verdana" w:cs="Calibri"/>
          <w:i/>
          <w:iCs/>
          <w:sz w:val="22"/>
          <w:szCs w:val="22"/>
        </w:rPr>
      </w:pPr>
      <w:r w:rsidRPr="00CE46B7">
        <w:rPr>
          <w:rFonts w:ascii="Calibri" w:hAnsi="Calibri" w:eastAsia="Verdana" w:cs="Calibri"/>
          <w:i/>
          <w:iCs/>
          <w:sz w:val="22"/>
          <w:szCs w:val="22"/>
        </w:rPr>
        <w:t>Kerncijfers Investeringsactiviteiten</w:t>
      </w:r>
    </w:p>
    <w:p w:rsidRPr="00CE46B7" w:rsidR="00DD5FF5" w:rsidP="00DD5FF5" w:rsidRDefault="00DD5FF5" w14:paraId="0E82F3B4" w14:textId="77777777">
      <w:pPr>
        <w:pStyle w:val="Geenafstand"/>
        <w:spacing w:line="240" w:lineRule="atLeast"/>
        <w:rPr>
          <w:rFonts w:ascii="Calibri" w:hAnsi="Calibri" w:eastAsia="Verdana" w:cs="Calibri"/>
          <w:i/>
          <w:iCs/>
          <w:sz w:val="22"/>
          <w:szCs w:val="22"/>
        </w:rPr>
      </w:pPr>
    </w:p>
    <w:p w:rsidRPr="00CE46B7" w:rsidR="00DD5FF5" w:rsidP="00DD5FF5" w:rsidRDefault="00DD5FF5" w14:paraId="50CC0C5E" w14:textId="77777777">
      <w:pPr>
        <w:pStyle w:val="Geenafstand"/>
        <w:spacing w:line="240" w:lineRule="atLeast"/>
        <w:rPr>
          <w:rFonts w:ascii="Calibri" w:hAnsi="Calibri" w:eastAsia="Verdana" w:cs="Calibri"/>
          <w:sz w:val="22"/>
          <w:szCs w:val="22"/>
        </w:rPr>
      </w:pPr>
      <w:bookmarkStart w:name="OLE_LINK68" w:id="12"/>
      <w:r w:rsidRPr="00CE46B7">
        <w:rPr>
          <w:rFonts w:ascii="Calibri" w:hAnsi="Calibri" w:eastAsia="Verdana" w:cs="Calibri"/>
          <w:sz w:val="22"/>
          <w:szCs w:val="22"/>
        </w:rPr>
        <w:t xml:space="preserve">In tabel 1 is een overzicht opgenomen van de kerncijfers omtrent de investeringsactiviteiten over 2024. </w:t>
      </w:r>
      <w:bookmarkEnd w:id="12"/>
      <w:r w:rsidRPr="00CE46B7">
        <w:rPr>
          <w:rFonts w:ascii="Calibri" w:hAnsi="Calibri" w:eastAsia="Verdana" w:cs="Calibri"/>
          <w:sz w:val="22"/>
          <w:szCs w:val="22"/>
        </w:rPr>
        <w:t xml:space="preserve">Een gedetailleerd overzicht van de portefeuille op transactieniveau is </w:t>
      </w:r>
      <w:bookmarkStart w:name="OLE_LINK76" w:id="13"/>
      <w:r w:rsidRPr="00CE46B7">
        <w:rPr>
          <w:rFonts w:ascii="Calibri" w:hAnsi="Calibri" w:eastAsia="Verdana" w:cs="Calibri"/>
          <w:sz w:val="22"/>
          <w:szCs w:val="22"/>
        </w:rPr>
        <w:t xml:space="preserve">te vinden in het Voortgangsverslag 2024 van Invest-NL. </w:t>
      </w:r>
    </w:p>
    <w:bookmarkEnd w:id="13"/>
    <w:p w:rsidRPr="00CE46B7" w:rsidR="00DD5FF5" w:rsidP="00DD5FF5" w:rsidRDefault="00DD5FF5" w14:paraId="3F035308" w14:textId="77777777">
      <w:pPr>
        <w:pStyle w:val="Geenafstand"/>
        <w:spacing w:line="240" w:lineRule="atLeast"/>
        <w:rPr>
          <w:rFonts w:ascii="Calibri" w:hAnsi="Calibri" w:eastAsia="Verdana" w:cs="Calibri"/>
          <w:sz w:val="22"/>
          <w:szCs w:val="22"/>
        </w:rPr>
      </w:pPr>
    </w:p>
    <w:p w:rsidRPr="00CE46B7" w:rsidR="00DD5FF5" w:rsidP="00DD5FF5" w:rsidRDefault="00DD5FF5" w14:paraId="7D952E6C" w14:textId="77777777">
      <w:pPr>
        <w:pStyle w:val="Geenafstand"/>
        <w:spacing w:line="240" w:lineRule="atLeast"/>
        <w:rPr>
          <w:rFonts w:ascii="Calibri" w:hAnsi="Calibri" w:eastAsia="Verdana" w:cs="Calibri"/>
          <w:b/>
          <w:bCs/>
          <w:sz w:val="22"/>
          <w:szCs w:val="22"/>
        </w:rPr>
      </w:pPr>
      <w:bookmarkStart w:name="OLE_LINK21" w:id="14"/>
      <w:r w:rsidRPr="00CE46B7">
        <w:rPr>
          <w:rFonts w:ascii="Calibri" w:hAnsi="Calibri" w:eastAsia="Verdana" w:cs="Calibri"/>
          <w:b/>
          <w:bCs/>
          <w:sz w:val="22"/>
          <w:szCs w:val="22"/>
        </w:rPr>
        <w:t>Tabel 1 – Kerncijfers Investeringsactiviteiten</w:t>
      </w:r>
    </w:p>
    <w:bookmarkEnd w:id="14"/>
    <w:p w:rsidRPr="00CE46B7" w:rsidR="00DD5FF5" w:rsidP="00DD5FF5" w:rsidRDefault="00DD5FF5" w14:paraId="5F22E13D" w14:textId="77777777">
      <w:pPr>
        <w:pStyle w:val="Geenafstand"/>
        <w:spacing w:line="240" w:lineRule="atLeast"/>
        <w:rPr>
          <w:rFonts w:ascii="Calibri" w:hAnsi="Calibri" w:eastAsia="Verdana" w:cs="Calibri"/>
          <w:sz w:val="22"/>
          <w:szCs w:val="22"/>
        </w:rPr>
      </w:pPr>
    </w:p>
    <w:tbl>
      <w:tblPr>
        <w:tblStyle w:val="Tabelraster"/>
        <w:tblW w:w="8772" w:type="dxa"/>
        <w:tblLayout w:type="fixed"/>
        <w:tblLook w:val="06A0" w:firstRow="1" w:lastRow="0" w:firstColumn="1" w:lastColumn="0" w:noHBand="1" w:noVBand="1"/>
      </w:tblPr>
      <w:tblGrid>
        <w:gridCol w:w="5103"/>
        <w:gridCol w:w="1140"/>
        <w:gridCol w:w="1270"/>
        <w:gridCol w:w="1259"/>
      </w:tblGrid>
      <w:tr w:rsidRPr="00CE46B7" w:rsidR="00DD5FF5" w:rsidTr="00CE46B7" w14:paraId="238AD24D" w14:textId="77777777">
        <w:trPr>
          <w:trHeight w:val="300"/>
        </w:trPr>
        <w:tc>
          <w:tcPr>
            <w:tcW w:w="5103" w:type="dxa"/>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5827D2AD" w14:textId="77777777">
            <w:pPr>
              <w:rPr>
                <w:rFonts w:ascii="Calibri" w:hAnsi="Calibri" w:cs="Calibri"/>
                <w:sz w:val="22"/>
                <w:szCs w:val="22"/>
              </w:rPr>
            </w:pPr>
          </w:p>
        </w:tc>
        <w:tc>
          <w:tcPr>
            <w:tcW w:w="1140" w:type="dxa"/>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0ACA17CF" w14:textId="77777777">
            <w:pPr>
              <w:rPr>
                <w:rFonts w:ascii="Calibri" w:hAnsi="Calibri" w:cs="Calibri"/>
                <w:sz w:val="22"/>
                <w:szCs w:val="22"/>
              </w:rPr>
            </w:pPr>
            <w:r w:rsidRPr="00CE46B7">
              <w:rPr>
                <w:rFonts w:ascii="Calibri" w:hAnsi="Calibri" w:eastAsia="Calibri" w:cs="Calibri"/>
                <w:b/>
                <w:bCs/>
                <w:sz w:val="22"/>
                <w:szCs w:val="22"/>
              </w:rPr>
              <w:t>2024</w:t>
            </w:r>
          </w:p>
        </w:tc>
        <w:tc>
          <w:tcPr>
            <w:tcW w:w="1270" w:type="dxa"/>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06001554" w14:textId="77777777">
            <w:pPr>
              <w:rPr>
                <w:rFonts w:ascii="Calibri" w:hAnsi="Calibri" w:cs="Calibri"/>
                <w:sz w:val="22"/>
                <w:szCs w:val="22"/>
              </w:rPr>
            </w:pPr>
            <w:r w:rsidRPr="00CE46B7">
              <w:rPr>
                <w:rFonts w:ascii="Calibri" w:hAnsi="Calibri" w:eastAsia="Calibri" w:cs="Calibri"/>
                <w:b/>
                <w:bCs/>
                <w:sz w:val="22"/>
                <w:szCs w:val="22"/>
              </w:rPr>
              <w:t>2023</w:t>
            </w:r>
          </w:p>
        </w:tc>
        <w:tc>
          <w:tcPr>
            <w:tcW w:w="1259" w:type="dxa"/>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4C3EE2AD" w14:textId="77777777">
            <w:pPr>
              <w:rPr>
                <w:rFonts w:ascii="Calibri" w:hAnsi="Calibri" w:cs="Calibri"/>
                <w:sz w:val="22"/>
                <w:szCs w:val="22"/>
              </w:rPr>
            </w:pPr>
            <w:r w:rsidRPr="00CE46B7">
              <w:rPr>
                <w:rFonts w:ascii="Calibri" w:hAnsi="Calibri" w:eastAsia="Calibri" w:cs="Calibri"/>
                <w:b/>
                <w:bCs/>
                <w:sz w:val="22"/>
                <w:szCs w:val="22"/>
              </w:rPr>
              <w:t>2022</w:t>
            </w:r>
          </w:p>
        </w:tc>
      </w:tr>
      <w:tr w:rsidRPr="00CE46B7" w:rsidR="00DD5FF5" w:rsidTr="00CE46B7" w14:paraId="5CDD09FB" w14:textId="77777777">
        <w:trPr>
          <w:trHeight w:val="165"/>
        </w:trPr>
        <w:tc>
          <w:tcPr>
            <w:tcW w:w="5103" w:type="dxa"/>
            <w:tcBorders>
              <w:top w:val="single" w:color="7F7F7F" w:themeColor="text1" w:themeTint="80" w:sz="8" w:space="0"/>
              <w:left w:val="nil"/>
              <w:bottom w:val="nil"/>
              <w:right w:val="nil"/>
            </w:tcBorders>
            <w:hideMark/>
          </w:tcPr>
          <w:p w:rsidRPr="00CE46B7" w:rsidR="00DD5FF5" w:rsidP="006505BE" w:rsidRDefault="00DD5FF5" w14:paraId="1FB2AA71" w14:textId="77777777">
            <w:pPr>
              <w:rPr>
                <w:rFonts w:ascii="Calibri" w:hAnsi="Calibri" w:cs="Calibri"/>
                <w:sz w:val="22"/>
                <w:szCs w:val="22"/>
              </w:rPr>
            </w:pPr>
            <w:r w:rsidRPr="00CE46B7">
              <w:rPr>
                <w:rFonts w:ascii="Calibri" w:hAnsi="Calibri" w:eastAsia="Calibri" w:cs="Calibri"/>
                <w:i/>
                <w:iCs/>
                <w:sz w:val="22"/>
                <w:szCs w:val="22"/>
              </w:rPr>
              <w:t>Aanvragen</w:t>
            </w:r>
          </w:p>
        </w:tc>
        <w:tc>
          <w:tcPr>
            <w:tcW w:w="1140" w:type="dxa"/>
            <w:tcBorders>
              <w:top w:val="single" w:color="7F7F7F" w:themeColor="text1" w:themeTint="80" w:sz="8" w:space="0"/>
              <w:left w:val="nil"/>
              <w:bottom w:val="nil"/>
              <w:right w:val="nil"/>
            </w:tcBorders>
            <w:hideMark/>
          </w:tcPr>
          <w:p w:rsidRPr="00CE46B7" w:rsidR="00DD5FF5" w:rsidP="00CE46B7" w:rsidRDefault="00DD5FF5" w14:paraId="24417C0E" w14:textId="77777777">
            <w:pPr>
              <w:jc w:val="right"/>
              <w:rPr>
                <w:rFonts w:ascii="Calibri" w:hAnsi="Calibri" w:eastAsia="Calibri" w:cs="Calibri"/>
                <w:sz w:val="22"/>
                <w:szCs w:val="22"/>
              </w:rPr>
            </w:pPr>
            <w:r w:rsidRPr="00CE46B7">
              <w:rPr>
                <w:rFonts w:ascii="Calibri" w:hAnsi="Calibri" w:eastAsia="Calibri" w:cs="Calibri"/>
                <w:sz w:val="22"/>
                <w:szCs w:val="22"/>
              </w:rPr>
              <w:t>457</w:t>
            </w:r>
          </w:p>
        </w:tc>
        <w:tc>
          <w:tcPr>
            <w:tcW w:w="1270" w:type="dxa"/>
            <w:tcBorders>
              <w:top w:val="single" w:color="7F7F7F" w:themeColor="text1" w:themeTint="80" w:sz="8" w:space="0"/>
              <w:left w:val="nil"/>
              <w:bottom w:val="nil"/>
              <w:right w:val="nil"/>
            </w:tcBorders>
            <w:hideMark/>
          </w:tcPr>
          <w:p w:rsidRPr="00CE46B7" w:rsidR="00DD5FF5" w:rsidP="00CE46B7" w:rsidRDefault="00DD5FF5" w14:paraId="7F40F81A" w14:textId="77777777">
            <w:pPr>
              <w:jc w:val="right"/>
              <w:rPr>
                <w:rFonts w:ascii="Calibri" w:hAnsi="Calibri" w:cs="Calibri" w:eastAsiaTheme="minorHAnsi"/>
                <w:sz w:val="22"/>
                <w:szCs w:val="22"/>
              </w:rPr>
            </w:pPr>
            <w:r w:rsidRPr="00CE46B7">
              <w:rPr>
                <w:rFonts w:ascii="Calibri" w:hAnsi="Calibri" w:cs="Calibri" w:eastAsiaTheme="minorHAnsi"/>
                <w:sz w:val="22"/>
                <w:szCs w:val="22"/>
              </w:rPr>
              <w:t>266</w:t>
            </w:r>
          </w:p>
        </w:tc>
        <w:tc>
          <w:tcPr>
            <w:tcW w:w="1259" w:type="dxa"/>
            <w:tcBorders>
              <w:top w:val="single" w:color="7F7F7F" w:themeColor="text1" w:themeTint="80" w:sz="8" w:space="0"/>
              <w:left w:val="nil"/>
              <w:bottom w:val="nil"/>
              <w:right w:val="nil"/>
            </w:tcBorders>
            <w:hideMark/>
          </w:tcPr>
          <w:p w:rsidRPr="00CE46B7" w:rsidR="00DD5FF5" w:rsidP="00CE46B7" w:rsidRDefault="00DD5FF5" w14:paraId="7A7B0789" w14:textId="77777777">
            <w:pPr>
              <w:jc w:val="right"/>
              <w:rPr>
                <w:rFonts w:ascii="Calibri" w:hAnsi="Calibri" w:eastAsia="Calibri" w:cs="Calibri"/>
                <w:sz w:val="22"/>
                <w:szCs w:val="22"/>
              </w:rPr>
            </w:pPr>
            <w:r w:rsidRPr="00CE46B7">
              <w:rPr>
                <w:rFonts w:ascii="Calibri" w:hAnsi="Calibri" w:eastAsia="Calibri" w:cs="Calibri"/>
                <w:sz w:val="22"/>
                <w:szCs w:val="22"/>
              </w:rPr>
              <w:t>151</w:t>
            </w:r>
          </w:p>
        </w:tc>
      </w:tr>
      <w:tr w:rsidRPr="00CE46B7" w:rsidR="00DD5FF5" w:rsidTr="00CE46B7" w14:paraId="64E4DC1E" w14:textId="77777777">
        <w:trPr>
          <w:trHeight w:val="135"/>
        </w:trPr>
        <w:tc>
          <w:tcPr>
            <w:tcW w:w="5103" w:type="dxa"/>
            <w:tcBorders>
              <w:top w:val="nil"/>
              <w:left w:val="nil"/>
              <w:bottom w:val="nil"/>
              <w:right w:val="nil"/>
            </w:tcBorders>
            <w:hideMark/>
          </w:tcPr>
          <w:p w:rsidRPr="00CE46B7" w:rsidR="00DD5FF5" w:rsidP="006505BE" w:rsidRDefault="00DD5FF5" w14:paraId="26D4BBBA" w14:textId="77777777">
            <w:pPr>
              <w:rPr>
                <w:rFonts w:ascii="Calibri" w:hAnsi="Calibri" w:cs="Calibri" w:eastAsiaTheme="minorHAnsi"/>
                <w:sz w:val="22"/>
                <w:szCs w:val="22"/>
              </w:rPr>
            </w:pPr>
            <w:r w:rsidRPr="00CE46B7">
              <w:rPr>
                <w:rFonts w:ascii="Calibri" w:hAnsi="Calibri" w:eastAsia="Calibri" w:cs="Calibri"/>
                <w:i/>
                <w:iCs/>
                <w:sz w:val="22"/>
                <w:szCs w:val="22"/>
              </w:rPr>
              <w:t>Goedgekeurd</w:t>
            </w:r>
          </w:p>
        </w:tc>
        <w:tc>
          <w:tcPr>
            <w:tcW w:w="1140" w:type="dxa"/>
            <w:tcBorders>
              <w:top w:val="nil"/>
              <w:left w:val="nil"/>
              <w:bottom w:val="nil"/>
              <w:right w:val="nil"/>
            </w:tcBorders>
            <w:hideMark/>
          </w:tcPr>
          <w:p w:rsidRPr="00CE46B7" w:rsidR="00DD5FF5" w:rsidP="00CE46B7" w:rsidRDefault="00DD5FF5" w14:paraId="4A32845E" w14:textId="77777777">
            <w:pPr>
              <w:jc w:val="right"/>
              <w:rPr>
                <w:rFonts w:ascii="Calibri" w:hAnsi="Calibri" w:eastAsia="Calibri" w:cs="Calibri"/>
                <w:sz w:val="22"/>
                <w:szCs w:val="22"/>
              </w:rPr>
            </w:pPr>
            <w:r w:rsidRPr="00CE46B7">
              <w:rPr>
                <w:rFonts w:ascii="Calibri" w:hAnsi="Calibri" w:eastAsia="Calibri" w:cs="Calibri"/>
                <w:sz w:val="22"/>
                <w:szCs w:val="22"/>
              </w:rPr>
              <w:t>53</w:t>
            </w:r>
          </w:p>
        </w:tc>
        <w:tc>
          <w:tcPr>
            <w:tcW w:w="1270" w:type="dxa"/>
            <w:tcBorders>
              <w:top w:val="nil"/>
              <w:left w:val="nil"/>
              <w:bottom w:val="nil"/>
              <w:right w:val="nil"/>
            </w:tcBorders>
            <w:hideMark/>
          </w:tcPr>
          <w:p w:rsidRPr="00CE46B7" w:rsidR="00DD5FF5" w:rsidP="00CE46B7" w:rsidRDefault="00DD5FF5" w14:paraId="0F0CF407" w14:textId="77777777">
            <w:pPr>
              <w:jc w:val="right"/>
              <w:rPr>
                <w:rFonts w:ascii="Calibri" w:hAnsi="Calibri" w:cs="Calibri" w:eastAsiaTheme="minorHAnsi"/>
                <w:sz w:val="22"/>
                <w:szCs w:val="22"/>
              </w:rPr>
            </w:pPr>
            <w:r w:rsidRPr="00CE46B7">
              <w:rPr>
                <w:rFonts w:ascii="Calibri" w:hAnsi="Calibri" w:cs="Calibri" w:eastAsiaTheme="minorHAnsi"/>
                <w:sz w:val="22"/>
                <w:szCs w:val="22"/>
              </w:rPr>
              <w:t>30</w:t>
            </w:r>
          </w:p>
        </w:tc>
        <w:tc>
          <w:tcPr>
            <w:tcW w:w="1259" w:type="dxa"/>
            <w:tcBorders>
              <w:top w:val="nil"/>
              <w:left w:val="nil"/>
              <w:bottom w:val="nil"/>
              <w:right w:val="nil"/>
            </w:tcBorders>
            <w:hideMark/>
          </w:tcPr>
          <w:p w:rsidRPr="00CE46B7" w:rsidR="00DD5FF5" w:rsidP="00CE46B7" w:rsidRDefault="00DD5FF5" w14:paraId="7EFA56E7" w14:textId="77777777">
            <w:pPr>
              <w:jc w:val="right"/>
              <w:rPr>
                <w:rFonts w:ascii="Calibri" w:hAnsi="Calibri" w:eastAsia="Calibri" w:cs="Calibri"/>
                <w:sz w:val="22"/>
                <w:szCs w:val="22"/>
              </w:rPr>
            </w:pPr>
            <w:r w:rsidRPr="00CE46B7">
              <w:rPr>
                <w:rFonts w:ascii="Calibri" w:hAnsi="Calibri" w:eastAsia="Calibri" w:cs="Calibri"/>
                <w:sz w:val="22"/>
                <w:szCs w:val="22"/>
              </w:rPr>
              <w:t>27</w:t>
            </w:r>
          </w:p>
        </w:tc>
      </w:tr>
      <w:tr w:rsidRPr="00CE46B7" w:rsidR="00DD5FF5" w:rsidTr="00CE46B7" w14:paraId="59955912" w14:textId="77777777">
        <w:trPr>
          <w:trHeight w:val="135"/>
        </w:trPr>
        <w:tc>
          <w:tcPr>
            <w:tcW w:w="5103" w:type="dxa"/>
            <w:tcBorders>
              <w:top w:val="nil"/>
              <w:left w:val="nil"/>
              <w:bottom w:val="nil"/>
              <w:right w:val="nil"/>
            </w:tcBorders>
            <w:hideMark/>
          </w:tcPr>
          <w:p w:rsidRPr="00CE46B7" w:rsidR="00DD5FF5" w:rsidP="006505BE" w:rsidRDefault="00DD5FF5" w14:paraId="3ADD6302" w14:textId="77777777">
            <w:pPr>
              <w:rPr>
                <w:rFonts w:ascii="Calibri" w:hAnsi="Calibri" w:cs="Calibri" w:eastAsiaTheme="minorHAnsi"/>
                <w:sz w:val="22"/>
                <w:szCs w:val="22"/>
              </w:rPr>
            </w:pPr>
            <w:r w:rsidRPr="00CE46B7">
              <w:rPr>
                <w:rFonts w:ascii="Calibri" w:hAnsi="Calibri" w:eastAsia="Calibri" w:cs="Calibri"/>
                <w:i/>
                <w:iCs/>
                <w:sz w:val="22"/>
                <w:szCs w:val="22"/>
              </w:rPr>
              <w:t>Gecommitteerd</w:t>
            </w:r>
          </w:p>
        </w:tc>
        <w:tc>
          <w:tcPr>
            <w:tcW w:w="1140" w:type="dxa"/>
            <w:tcBorders>
              <w:top w:val="nil"/>
              <w:left w:val="nil"/>
              <w:bottom w:val="nil"/>
              <w:right w:val="nil"/>
            </w:tcBorders>
            <w:hideMark/>
          </w:tcPr>
          <w:p w:rsidRPr="00CE46B7" w:rsidR="00DD5FF5" w:rsidP="00CE46B7" w:rsidRDefault="00DD5FF5" w14:paraId="5A2C2415" w14:textId="77777777">
            <w:pPr>
              <w:jc w:val="right"/>
              <w:rPr>
                <w:rFonts w:ascii="Calibri" w:hAnsi="Calibri" w:eastAsia="Calibri" w:cs="Calibri"/>
                <w:sz w:val="22"/>
                <w:szCs w:val="22"/>
              </w:rPr>
            </w:pPr>
            <w:r w:rsidRPr="00CE46B7">
              <w:rPr>
                <w:rFonts w:ascii="Calibri" w:hAnsi="Calibri" w:eastAsia="Calibri" w:cs="Calibri"/>
                <w:sz w:val="22"/>
                <w:szCs w:val="22"/>
              </w:rPr>
              <w:t>44</w:t>
            </w:r>
          </w:p>
        </w:tc>
        <w:tc>
          <w:tcPr>
            <w:tcW w:w="1270" w:type="dxa"/>
            <w:tcBorders>
              <w:top w:val="nil"/>
              <w:left w:val="nil"/>
              <w:bottom w:val="nil"/>
              <w:right w:val="nil"/>
            </w:tcBorders>
            <w:hideMark/>
          </w:tcPr>
          <w:p w:rsidRPr="00CE46B7" w:rsidR="00DD5FF5" w:rsidP="00CE46B7" w:rsidRDefault="00DD5FF5" w14:paraId="6A712A18" w14:textId="77777777">
            <w:pPr>
              <w:jc w:val="right"/>
              <w:rPr>
                <w:rFonts w:ascii="Calibri" w:hAnsi="Calibri" w:cs="Calibri" w:eastAsiaTheme="minorHAnsi"/>
                <w:sz w:val="22"/>
                <w:szCs w:val="22"/>
              </w:rPr>
            </w:pPr>
            <w:r w:rsidRPr="00CE46B7">
              <w:rPr>
                <w:rFonts w:ascii="Calibri" w:hAnsi="Calibri" w:cs="Calibri" w:eastAsiaTheme="minorHAnsi"/>
                <w:sz w:val="22"/>
                <w:szCs w:val="22"/>
              </w:rPr>
              <w:t>22</w:t>
            </w:r>
          </w:p>
        </w:tc>
        <w:tc>
          <w:tcPr>
            <w:tcW w:w="1259" w:type="dxa"/>
            <w:tcBorders>
              <w:top w:val="nil"/>
              <w:left w:val="nil"/>
              <w:bottom w:val="nil"/>
              <w:right w:val="nil"/>
            </w:tcBorders>
            <w:hideMark/>
          </w:tcPr>
          <w:p w:rsidRPr="00CE46B7" w:rsidR="00DD5FF5" w:rsidP="00CE46B7" w:rsidRDefault="00DD5FF5" w14:paraId="1268CD36" w14:textId="77777777">
            <w:pPr>
              <w:jc w:val="right"/>
              <w:rPr>
                <w:rFonts w:ascii="Calibri" w:hAnsi="Calibri" w:eastAsia="Calibri" w:cs="Calibri"/>
                <w:sz w:val="22"/>
                <w:szCs w:val="22"/>
              </w:rPr>
            </w:pPr>
            <w:r w:rsidRPr="00CE46B7">
              <w:rPr>
                <w:rFonts w:ascii="Calibri" w:hAnsi="Calibri" w:eastAsia="Calibri" w:cs="Calibri"/>
                <w:sz w:val="22"/>
                <w:szCs w:val="22"/>
              </w:rPr>
              <w:t>15</w:t>
            </w:r>
          </w:p>
        </w:tc>
      </w:tr>
      <w:tr w:rsidRPr="00CE46B7" w:rsidR="00DD5FF5" w:rsidTr="00CE46B7" w14:paraId="7AB6CD06" w14:textId="77777777">
        <w:trPr>
          <w:trHeight w:val="120"/>
        </w:trPr>
        <w:tc>
          <w:tcPr>
            <w:tcW w:w="5103" w:type="dxa"/>
            <w:tcBorders>
              <w:top w:val="nil"/>
              <w:left w:val="nil"/>
              <w:bottom w:val="nil"/>
              <w:right w:val="nil"/>
            </w:tcBorders>
            <w:hideMark/>
          </w:tcPr>
          <w:p w:rsidRPr="00CE46B7" w:rsidR="00DD5FF5" w:rsidP="006505BE" w:rsidRDefault="00DD5FF5" w14:paraId="5186FA2E" w14:textId="77777777">
            <w:pPr>
              <w:rPr>
                <w:rFonts w:ascii="Calibri" w:hAnsi="Calibri" w:cs="Calibri" w:eastAsiaTheme="minorHAnsi"/>
                <w:sz w:val="22"/>
                <w:szCs w:val="22"/>
                <w:lang w:val="nl-NL"/>
              </w:rPr>
            </w:pPr>
            <w:r w:rsidRPr="00CE46B7">
              <w:rPr>
                <w:rFonts w:ascii="Calibri" w:hAnsi="Calibri" w:eastAsia="Calibri" w:cs="Calibri"/>
                <w:i/>
                <w:iCs/>
                <w:sz w:val="22"/>
                <w:szCs w:val="22"/>
                <w:lang w:val="nl-NL"/>
              </w:rPr>
              <w:t>Waarvan gericht op carbon-neutrale en/of circulaire economie</w:t>
            </w:r>
          </w:p>
        </w:tc>
        <w:tc>
          <w:tcPr>
            <w:tcW w:w="1140" w:type="dxa"/>
            <w:tcBorders>
              <w:top w:val="nil"/>
              <w:left w:val="nil"/>
              <w:bottom w:val="nil"/>
              <w:right w:val="nil"/>
            </w:tcBorders>
            <w:hideMark/>
          </w:tcPr>
          <w:p w:rsidRPr="00CE46B7" w:rsidR="00DD5FF5" w:rsidP="00CE46B7" w:rsidRDefault="00DD5FF5" w14:paraId="42388D1A" w14:textId="77777777">
            <w:pPr>
              <w:jc w:val="right"/>
              <w:rPr>
                <w:rFonts w:ascii="Calibri" w:hAnsi="Calibri" w:cs="Calibri"/>
                <w:sz w:val="22"/>
                <w:szCs w:val="22"/>
              </w:rPr>
            </w:pPr>
            <w:r w:rsidRPr="00CE46B7">
              <w:rPr>
                <w:rFonts w:ascii="Calibri" w:hAnsi="Calibri" w:cs="Calibri"/>
                <w:sz w:val="22"/>
                <w:szCs w:val="22"/>
              </w:rPr>
              <w:t>27</w:t>
            </w:r>
          </w:p>
        </w:tc>
        <w:tc>
          <w:tcPr>
            <w:tcW w:w="1270" w:type="dxa"/>
            <w:tcBorders>
              <w:top w:val="nil"/>
              <w:left w:val="nil"/>
              <w:bottom w:val="nil"/>
              <w:right w:val="nil"/>
            </w:tcBorders>
            <w:hideMark/>
          </w:tcPr>
          <w:p w:rsidRPr="00CE46B7" w:rsidR="00DD5FF5" w:rsidP="00CE46B7" w:rsidRDefault="00DD5FF5" w14:paraId="0E8A08D9" w14:textId="77777777">
            <w:pPr>
              <w:jc w:val="right"/>
              <w:rPr>
                <w:rFonts w:ascii="Calibri" w:hAnsi="Calibri" w:cs="Calibri"/>
                <w:sz w:val="22"/>
                <w:szCs w:val="22"/>
              </w:rPr>
            </w:pPr>
            <w:r w:rsidRPr="00CE46B7">
              <w:rPr>
                <w:rFonts w:ascii="Calibri" w:hAnsi="Calibri" w:cs="Calibri"/>
                <w:sz w:val="22"/>
                <w:szCs w:val="22"/>
              </w:rPr>
              <w:t>17</w:t>
            </w:r>
          </w:p>
        </w:tc>
        <w:tc>
          <w:tcPr>
            <w:tcW w:w="1259" w:type="dxa"/>
            <w:tcBorders>
              <w:top w:val="nil"/>
              <w:left w:val="nil"/>
              <w:bottom w:val="nil"/>
              <w:right w:val="nil"/>
            </w:tcBorders>
            <w:hideMark/>
          </w:tcPr>
          <w:p w:rsidRPr="00CE46B7" w:rsidR="00DD5FF5" w:rsidP="00CE46B7" w:rsidRDefault="00DD5FF5" w14:paraId="60821D9C" w14:textId="77777777">
            <w:pPr>
              <w:jc w:val="right"/>
              <w:rPr>
                <w:rFonts w:ascii="Calibri" w:hAnsi="Calibri" w:eastAsia="Calibri" w:cs="Calibri"/>
                <w:sz w:val="22"/>
                <w:szCs w:val="22"/>
              </w:rPr>
            </w:pPr>
            <w:r w:rsidRPr="00CE46B7">
              <w:rPr>
                <w:rFonts w:ascii="Calibri" w:hAnsi="Calibri" w:eastAsia="Calibri" w:cs="Calibri"/>
                <w:sz w:val="22"/>
                <w:szCs w:val="22"/>
              </w:rPr>
              <w:t>15</w:t>
            </w:r>
          </w:p>
        </w:tc>
      </w:tr>
      <w:tr w:rsidRPr="00CE46B7" w:rsidR="00DD5FF5" w:rsidTr="00CE46B7" w14:paraId="4434AAAD" w14:textId="77777777">
        <w:trPr>
          <w:trHeight w:val="240"/>
        </w:trPr>
        <w:tc>
          <w:tcPr>
            <w:tcW w:w="5103" w:type="dxa"/>
            <w:tcBorders>
              <w:top w:val="nil"/>
              <w:left w:val="nil"/>
              <w:bottom w:val="nil"/>
              <w:right w:val="nil"/>
            </w:tcBorders>
            <w:hideMark/>
          </w:tcPr>
          <w:p w:rsidRPr="00CE46B7" w:rsidR="00DD5FF5" w:rsidP="006505BE" w:rsidRDefault="00DD5FF5" w14:paraId="51E459D6" w14:textId="77777777">
            <w:pPr>
              <w:rPr>
                <w:rFonts w:ascii="Calibri" w:hAnsi="Calibri" w:cs="Calibri" w:eastAsiaTheme="minorHAnsi"/>
                <w:sz w:val="22"/>
                <w:szCs w:val="22"/>
              </w:rPr>
            </w:pPr>
            <w:r w:rsidRPr="00CE46B7">
              <w:rPr>
                <w:rFonts w:ascii="Calibri" w:hAnsi="Calibri" w:eastAsia="Calibri" w:cs="Calibri"/>
                <w:i/>
                <w:iCs/>
                <w:sz w:val="22"/>
                <w:szCs w:val="22"/>
              </w:rPr>
              <w:t>Netto gecommitteerd investeringsvolume (cumulatief)</w:t>
            </w:r>
          </w:p>
        </w:tc>
        <w:tc>
          <w:tcPr>
            <w:tcW w:w="1140" w:type="dxa"/>
            <w:tcBorders>
              <w:top w:val="nil"/>
              <w:left w:val="nil"/>
              <w:bottom w:val="nil"/>
              <w:right w:val="nil"/>
            </w:tcBorders>
            <w:hideMark/>
          </w:tcPr>
          <w:p w:rsidRPr="00CE46B7" w:rsidR="00DD5FF5" w:rsidP="00CE46B7" w:rsidRDefault="00DD5FF5" w14:paraId="40574DEB" w14:textId="77777777">
            <w:pPr>
              <w:jc w:val="right"/>
              <w:rPr>
                <w:rFonts w:ascii="Calibri" w:hAnsi="Calibri" w:eastAsia="Calibri" w:cs="Calibri"/>
                <w:sz w:val="22"/>
                <w:szCs w:val="22"/>
              </w:rPr>
            </w:pPr>
            <w:r w:rsidRPr="00CE46B7">
              <w:rPr>
                <w:rFonts w:ascii="Calibri" w:hAnsi="Calibri" w:eastAsia="Calibri" w:cs="Calibri"/>
                <w:sz w:val="22"/>
                <w:szCs w:val="22"/>
              </w:rPr>
              <w:t xml:space="preserve">€959 mln. </w:t>
            </w:r>
          </w:p>
        </w:tc>
        <w:tc>
          <w:tcPr>
            <w:tcW w:w="1270" w:type="dxa"/>
            <w:tcBorders>
              <w:top w:val="nil"/>
              <w:left w:val="nil"/>
              <w:bottom w:val="nil"/>
              <w:right w:val="nil"/>
            </w:tcBorders>
            <w:hideMark/>
          </w:tcPr>
          <w:p w:rsidRPr="00CE46B7" w:rsidR="00DD5FF5" w:rsidP="00CE46B7" w:rsidRDefault="00DD5FF5" w14:paraId="70550EC7" w14:textId="77777777">
            <w:pPr>
              <w:jc w:val="right"/>
              <w:rPr>
                <w:rFonts w:ascii="Calibri" w:hAnsi="Calibri" w:cs="Calibri" w:eastAsiaTheme="minorHAnsi"/>
                <w:sz w:val="22"/>
                <w:szCs w:val="22"/>
              </w:rPr>
            </w:pPr>
            <w:r w:rsidRPr="00CE46B7">
              <w:rPr>
                <w:rFonts w:ascii="Calibri" w:hAnsi="Calibri" w:eastAsia="Calibri" w:cs="Calibri"/>
                <w:sz w:val="22"/>
                <w:szCs w:val="22"/>
              </w:rPr>
              <w:t>€859 mln.</w:t>
            </w:r>
          </w:p>
        </w:tc>
        <w:tc>
          <w:tcPr>
            <w:tcW w:w="1259" w:type="dxa"/>
            <w:tcBorders>
              <w:top w:val="nil"/>
              <w:left w:val="nil"/>
              <w:bottom w:val="nil"/>
              <w:right w:val="nil"/>
            </w:tcBorders>
            <w:hideMark/>
          </w:tcPr>
          <w:p w:rsidRPr="00CE46B7" w:rsidR="00DD5FF5" w:rsidP="00CE46B7" w:rsidRDefault="00DD5FF5" w14:paraId="0A24E367" w14:textId="77777777">
            <w:pPr>
              <w:jc w:val="right"/>
              <w:rPr>
                <w:rFonts w:ascii="Calibri" w:hAnsi="Calibri" w:cs="Calibri"/>
                <w:sz w:val="22"/>
                <w:szCs w:val="22"/>
              </w:rPr>
            </w:pPr>
            <w:r w:rsidRPr="00CE46B7">
              <w:rPr>
                <w:rFonts w:ascii="Calibri" w:hAnsi="Calibri" w:eastAsia="Calibri" w:cs="Calibri"/>
                <w:sz w:val="22"/>
                <w:szCs w:val="22"/>
              </w:rPr>
              <w:t>€617 mln.</w:t>
            </w:r>
          </w:p>
        </w:tc>
      </w:tr>
      <w:tr w:rsidRPr="00CE46B7" w:rsidR="00DD5FF5" w:rsidTr="00CE46B7" w14:paraId="3B333084" w14:textId="77777777">
        <w:trPr>
          <w:trHeight w:val="225"/>
        </w:trPr>
        <w:tc>
          <w:tcPr>
            <w:tcW w:w="5103" w:type="dxa"/>
            <w:tcBorders>
              <w:top w:val="nil"/>
              <w:left w:val="nil"/>
              <w:bottom w:val="nil"/>
              <w:right w:val="nil"/>
            </w:tcBorders>
            <w:hideMark/>
          </w:tcPr>
          <w:p w:rsidRPr="00CE46B7" w:rsidR="00DD5FF5" w:rsidP="006505BE" w:rsidRDefault="00DD5FF5" w14:paraId="33849AE5" w14:textId="77777777">
            <w:pPr>
              <w:rPr>
                <w:rFonts w:ascii="Calibri" w:hAnsi="Calibri" w:eastAsia="Calibri" w:cs="Calibri"/>
                <w:i/>
                <w:iCs/>
                <w:sz w:val="22"/>
                <w:szCs w:val="22"/>
                <w:lang w:val="nl-NL"/>
              </w:rPr>
            </w:pPr>
            <w:r w:rsidRPr="00CE46B7">
              <w:rPr>
                <w:rFonts w:ascii="Calibri" w:hAnsi="Calibri" w:eastAsia="Calibri" w:cs="Calibri"/>
                <w:i/>
                <w:iCs/>
                <w:sz w:val="22"/>
                <w:szCs w:val="22"/>
                <w:lang w:val="nl-NL"/>
              </w:rPr>
              <w:t>Waarde uitgekeerde portefeuille per ultimo</w:t>
            </w:r>
          </w:p>
        </w:tc>
        <w:tc>
          <w:tcPr>
            <w:tcW w:w="1140" w:type="dxa"/>
            <w:tcBorders>
              <w:top w:val="nil"/>
              <w:left w:val="nil"/>
              <w:bottom w:val="nil"/>
              <w:right w:val="nil"/>
            </w:tcBorders>
            <w:hideMark/>
          </w:tcPr>
          <w:p w:rsidRPr="00CE46B7" w:rsidR="00DD5FF5" w:rsidP="00CE46B7" w:rsidRDefault="00DD5FF5" w14:paraId="01371A30" w14:textId="77777777">
            <w:pPr>
              <w:jc w:val="right"/>
              <w:rPr>
                <w:rFonts w:ascii="Calibri" w:hAnsi="Calibri" w:eastAsia="Calibri" w:cs="Calibri"/>
                <w:color w:val="000000" w:themeColor="text1"/>
                <w:sz w:val="22"/>
                <w:szCs w:val="22"/>
              </w:rPr>
            </w:pPr>
            <w:r w:rsidRPr="00CE46B7">
              <w:rPr>
                <w:rFonts w:ascii="Calibri" w:hAnsi="Calibri" w:eastAsia="Calibri" w:cs="Calibri"/>
                <w:color w:val="000000" w:themeColor="text1"/>
                <w:sz w:val="22"/>
                <w:szCs w:val="22"/>
              </w:rPr>
              <w:t xml:space="preserve">€458 mln.   </w:t>
            </w:r>
          </w:p>
        </w:tc>
        <w:tc>
          <w:tcPr>
            <w:tcW w:w="1270" w:type="dxa"/>
            <w:tcBorders>
              <w:top w:val="nil"/>
              <w:left w:val="nil"/>
              <w:bottom w:val="nil"/>
              <w:right w:val="nil"/>
            </w:tcBorders>
            <w:hideMark/>
          </w:tcPr>
          <w:p w:rsidRPr="00CE46B7" w:rsidR="00DD5FF5" w:rsidP="00CE46B7" w:rsidRDefault="00DD5FF5" w14:paraId="39F4527E" w14:textId="77777777">
            <w:pPr>
              <w:jc w:val="right"/>
              <w:rPr>
                <w:rFonts w:ascii="Calibri" w:hAnsi="Calibri" w:cs="Calibri" w:eastAsiaTheme="minorHAnsi"/>
                <w:sz w:val="22"/>
                <w:szCs w:val="22"/>
              </w:rPr>
            </w:pPr>
            <w:r w:rsidRPr="00CE46B7">
              <w:rPr>
                <w:rFonts w:ascii="Calibri" w:hAnsi="Calibri" w:eastAsia="Calibri" w:cs="Calibri"/>
                <w:color w:val="000000" w:themeColor="text1"/>
                <w:sz w:val="22"/>
                <w:szCs w:val="22"/>
              </w:rPr>
              <w:t xml:space="preserve">€354 mln.  </w:t>
            </w:r>
          </w:p>
        </w:tc>
        <w:tc>
          <w:tcPr>
            <w:tcW w:w="1259" w:type="dxa"/>
            <w:tcBorders>
              <w:top w:val="nil"/>
              <w:left w:val="nil"/>
              <w:bottom w:val="nil"/>
              <w:right w:val="nil"/>
            </w:tcBorders>
            <w:hideMark/>
          </w:tcPr>
          <w:p w:rsidRPr="00CE46B7" w:rsidR="00DD5FF5" w:rsidP="00CE46B7" w:rsidRDefault="00DD5FF5" w14:paraId="6D0D884F" w14:textId="77777777">
            <w:pPr>
              <w:jc w:val="right"/>
              <w:rPr>
                <w:rFonts w:ascii="Calibri" w:hAnsi="Calibri" w:cs="Calibri"/>
                <w:sz w:val="22"/>
                <w:szCs w:val="22"/>
              </w:rPr>
            </w:pPr>
            <w:r w:rsidRPr="00CE46B7">
              <w:rPr>
                <w:rFonts w:ascii="Calibri" w:hAnsi="Calibri" w:eastAsia="Calibri" w:cs="Calibri"/>
                <w:sz w:val="22"/>
                <w:szCs w:val="22"/>
              </w:rPr>
              <w:t xml:space="preserve">€220 mln. </w:t>
            </w:r>
          </w:p>
        </w:tc>
      </w:tr>
      <w:tr w:rsidRPr="00CE46B7" w:rsidR="00DD5FF5" w:rsidTr="00CE46B7" w14:paraId="6FEF7E31" w14:textId="77777777">
        <w:trPr>
          <w:trHeight w:val="225"/>
        </w:trPr>
        <w:tc>
          <w:tcPr>
            <w:tcW w:w="5103" w:type="dxa"/>
            <w:tcBorders>
              <w:top w:val="nil"/>
              <w:left w:val="nil"/>
              <w:bottom w:val="nil"/>
              <w:right w:val="nil"/>
            </w:tcBorders>
            <w:hideMark/>
          </w:tcPr>
          <w:p w:rsidRPr="00CE46B7" w:rsidR="00DD5FF5" w:rsidP="006505BE" w:rsidRDefault="00DD5FF5" w14:paraId="35D90E7F" w14:textId="77777777">
            <w:pPr>
              <w:rPr>
                <w:rFonts w:ascii="Calibri" w:hAnsi="Calibri" w:cs="Calibri"/>
                <w:sz w:val="22"/>
                <w:szCs w:val="22"/>
                <w:lang w:val="nl-NL"/>
              </w:rPr>
            </w:pPr>
            <w:r w:rsidRPr="00CE46B7">
              <w:rPr>
                <w:rFonts w:ascii="Calibri" w:hAnsi="Calibri" w:eastAsia="Calibri" w:cs="Calibri"/>
                <w:i/>
                <w:iCs/>
                <w:sz w:val="22"/>
                <w:szCs w:val="22"/>
                <w:lang w:val="nl-NL"/>
              </w:rPr>
              <w:t>Totaal gemobiliseerd kapitaal in boekjaar</w:t>
            </w:r>
          </w:p>
        </w:tc>
        <w:tc>
          <w:tcPr>
            <w:tcW w:w="1140" w:type="dxa"/>
            <w:tcBorders>
              <w:top w:val="nil"/>
              <w:left w:val="nil"/>
              <w:bottom w:val="nil"/>
              <w:right w:val="nil"/>
            </w:tcBorders>
            <w:hideMark/>
          </w:tcPr>
          <w:p w:rsidRPr="00CE46B7" w:rsidR="00DD5FF5" w:rsidP="00CE46B7" w:rsidRDefault="00DD5FF5" w14:paraId="630DF01B" w14:textId="77777777">
            <w:pPr>
              <w:jc w:val="right"/>
              <w:rPr>
                <w:rFonts w:ascii="Calibri" w:hAnsi="Calibri" w:eastAsia="Calibri" w:cs="Calibri"/>
                <w:sz w:val="22"/>
                <w:szCs w:val="22"/>
              </w:rPr>
            </w:pPr>
            <w:r w:rsidRPr="00CE46B7">
              <w:rPr>
                <w:rFonts w:ascii="Calibri" w:hAnsi="Calibri" w:eastAsia="Calibri" w:cs="Calibri"/>
                <w:sz w:val="22"/>
                <w:szCs w:val="22"/>
              </w:rPr>
              <w:t xml:space="preserve">€784 mln. </w:t>
            </w:r>
          </w:p>
        </w:tc>
        <w:tc>
          <w:tcPr>
            <w:tcW w:w="1270" w:type="dxa"/>
            <w:tcBorders>
              <w:top w:val="nil"/>
              <w:left w:val="nil"/>
              <w:bottom w:val="nil"/>
              <w:right w:val="nil"/>
            </w:tcBorders>
            <w:hideMark/>
          </w:tcPr>
          <w:p w:rsidRPr="00CE46B7" w:rsidR="00DD5FF5" w:rsidP="00CE46B7" w:rsidRDefault="00DD5FF5" w14:paraId="28C13113" w14:textId="77777777">
            <w:pPr>
              <w:jc w:val="right"/>
              <w:rPr>
                <w:rFonts w:ascii="Calibri" w:hAnsi="Calibri" w:cs="Calibri" w:eastAsiaTheme="minorHAnsi"/>
                <w:sz w:val="22"/>
                <w:szCs w:val="22"/>
              </w:rPr>
            </w:pPr>
            <w:r w:rsidRPr="00CE46B7">
              <w:rPr>
                <w:rFonts w:ascii="Calibri" w:hAnsi="Calibri" w:eastAsia="Calibri" w:cs="Calibri"/>
                <w:sz w:val="22"/>
                <w:szCs w:val="22"/>
              </w:rPr>
              <w:t xml:space="preserve">€692 mln.  </w:t>
            </w:r>
          </w:p>
        </w:tc>
        <w:tc>
          <w:tcPr>
            <w:tcW w:w="1259" w:type="dxa"/>
            <w:tcBorders>
              <w:top w:val="nil"/>
              <w:left w:val="nil"/>
              <w:bottom w:val="nil"/>
              <w:right w:val="nil"/>
            </w:tcBorders>
            <w:hideMark/>
          </w:tcPr>
          <w:p w:rsidRPr="00CE46B7" w:rsidR="00DD5FF5" w:rsidP="00CE46B7" w:rsidRDefault="00DD5FF5" w14:paraId="168463A5" w14:textId="77777777">
            <w:pPr>
              <w:jc w:val="right"/>
              <w:rPr>
                <w:rFonts w:ascii="Calibri" w:hAnsi="Calibri" w:cs="Calibri"/>
                <w:sz w:val="22"/>
                <w:szCs w:val="22"/>
              </w:rPr>
            </w:pPr>
            <w:r w:rsidRPr="00CE46B7">
              <w:rPr>
                <w:rFonts w:ascii="Calibri" w:hAnsi="Calibri" w:eastAsia="Calibri" w:cs="Calibri"/>
                <w:sz w:val="22"/>
                <w:szCs w:val="22"/>
              </w:rPr>
              <w:t xml:space="preserve">€584 mln.  </w:t>
            </w:r>
          </w:p>
        </w:tc>
      </w:tr>
      <w:tr w:rsidRPr="00CE46B7" w:rsidR="00DD5FF5" w:rsidTr="00CE46B7" w14:paraId="0777084A" w14:textId="77777777">
        <w:trPr>
          <w:trHeight w:val="75"/>
        </w:trPr>
        <w:tc>
          <w:tcPr>
            <w:tcW w:w="5103" w:type="dxa"/>
            <w:tcBorders>
              <w:top w:val="nil"/>
              <w:left w:val="nil"/>
              <w:bottom w:val="single" w:color="7F7F7F" w:themeColor="text1" w:themeTint="80" w:sz="8" w:space="0"/>
              <w:right w:val="nil"/>
            </w:tcBorders>
            <w:hideMark/>
          </w:tcPr>
          <w:p w:rsidRPr="00CE46B7" w:rsidR="00DD5FF5" w:rsidP="006505BE" w:rsidRDefault="00DD5FF5" w14:paraId="51C9020E" w14:textId="77777777">
            <w:pPr>
              <w:rPr>
                <w:rFonts w:ascii="Calibri" w:hAnsi="Calibri" w:cs="Calibri"/>
                <w:sz w:val="22"/>
                <w:szCs w:val="22"/>
              </w:rPr>
            </w:pPr>
            <w:r w:rsidRPr="00CE46B7">
              <w:rPr>
                <w:rFonts w:ascii="Calibri" w:hAnsi="Calibri" w:eastAsia="Calibri" w:cs="Calibri"/>
                <w:i/>
                <w:iCs/>
                <w:sz w:val="22"/>
                <w:szCs w:val="22"/>
              </w:rPr>
              <w:t>Aangetrokken Europees kapitaal/garanties</w:t>
            </w:r>
          </w:p>
        </w:tc>
        <w:tc>
          <w:tcPr>
            <w:tcW w:w="1140" w:type="dxa"/>
            <w:tcBorders>
              <w:top w:val="nil"/>
              <w:left w:val="nil"/>
              <w:bottom w:val="single" w:color="7F7F7F" w:themeColor="text1" w:themeTint="80" w:sz="8" w:space="0"/>
              <w:right w:val="nil"/>
            </w:tcBorders>
            <w:hideMark/>
          </w:tcPr>
          <w:p w:rsidRPr="00CE46B7" w:rsidR="00DD5FF5" w:rsidP="00CE46B7" w:rsidRDefault="00DD5FF5" w14:paraId="2760AE6D" w14:textId="77777777">
            <w:pPr>
              <w:jc w:val="right"/>
              <w:rPr>
                <w:rFonts w:ascii="Calibri" w:hAnsi="Calibri" w:eastAsia="Calibri" w:cs="Calibri"/>
                <w:sz w:val="22"/>
                <w:szCs w:val="22"/>
              </w:rPr>
            </w:pPr>
            <w:r w:rsidRPr="00CE46B7">
              <w:rPr>
                <w:rFonts w:ascii="Calibri" w:hAnsi="Calibri" w:eastAsia="Calibri" w:cs="Calibri"/>
                <w:sz w:val="22"/>
                <w:szCs w:val="22"/>
              </w:rPr>
              <w:t xml:space="preserve">€23 mln.  </w:t>
            </w:r>
          </w:p>
        </w:tc>
        <w:tc>
          <w:tcPr>
            <w:tcW w:w="1270" w:type="dxa"/>
            <w:tcBorders>
              <w:top w:val="nil"/>
              <w:left w:val="nil"/>
              <w:bottom w:val="single" w:color="7F7F7F" w:themeColor="text1" w:themeTint="80" w:sz="8" w:space="0"/>
              <w:right w:val="nil"/>
            </w:tcBorders>
            <w:hideMark/>
          </w:tcPr>
          <w:p w:rsidRPr="00CE46B7" w:rsidR="00DD5FF5" w:rsidP="00CE46B7" w:rsidRDefault="00DD5FF5" w14:paraId="43104F2F" w14:textId="77777777">
            <w:pPr>
              <w:jc w:val="right"/>
              <w:rPr>
                <w:rFonts w:ascii="Calibri" w:hAnsi="Calibri" w:cs="Calibri" w:eastAsiaTheme="minorHAnsi"/>
                <w:sz w:val="22"/>
                <w:szCs w:val="22"/>
              </w:rPr>
            </w:pPr>
            <w:r w:rsidRPr="00CE46B7">
              <w:rPr>
                <w:rFonts w:ascii="Calibri" w:hAnsi="Calibri" w:eastAsia="Calibri" w:cs="Calibri"/>
                <w:sz w:val="22"/>
                <w:szCs w:val="22"/>
              </w:rPr>
              <w:t xml:space="preserve">€19 mln.  </w:t>
            </w:r>
          </w:p>
        </w:tc>
        <w:tc>
          <w:tcPr>
            <w:tcW w:w="1259" w:type="dxa"/>
            <w:tcBorders>
              <w:top w:val="nil"/>
              <w:left w:val="nil"/>
              <w:bottom w:val="single" w:color="7F7F7F" w:themeColor="text1" w:themeTint="80" w:sz="8" w:space="0"/>
              <w:right w:val="nil"/>
            </w:tcBorders>
            <w:hideMark/>
          </w:tcPr>
          <w:p w:rsidRPr="00CE46B7" w:rsidR="00DD5FF5" w:rsidP="00CE46B7" w:rsidRDefault="00DD5FF5" w14:paraId="63BA91C4" w14:textId="77777777">
            <w:pPr>
              <w:jc w:val="right"/>
              <w:rPr>
                <w:rFonts w:ascii="Calibri" w:hAnsi="Calibri" w:cs="Calibri"/>
                <w:sz w:val="22"/>
                <w:szCs w:val="22"/>
              </w:rPr>
            </w:pPr>
            <w:r w:rsidRPr="00CE46B7">
              <w:rPr>
                <w:rFonts w:ascii="Calibri" w:hAnsi="Calibri" w:eastAsia="Calibri" w:cs="Calibri"/>
                <w:sz w:val="22"/>
                <w:szCs w:val="22"/>
              </w:rPr>
              <w:t xml:space="preserve">€106 mln. </w:t>
            </w:r>
          </w:p>
        </w:tc>
      </w:tr>
    </w:tbl>
    <w:p w:rsidRPr="00CE46B7" w:rsidR="00DD5FF5" w:rsidP="00DD5FF5" w:rsidRDefault="00DD5FF5" w14:paraId="7C85AA90" w14:textId="77777777">
      <w:pPr>
        <w:pStyle w:val="Geenafstand"/>
        <w:spacing w:line="240" w:lineRule="atLeast"/>
        <w:rPr>
          <w:rFonts w:ascii="Calibri" w:hAnsi="Calibri" w:eastAsia="Verdana" w:cs="Calibri"/>
          <w:b/>
          <w:bCs/>
          <w:sz w:val="22"/>
          <w:szCs w:val="22"/>
        </w:rPr>
      </w:pPr>
    </w:p>
    <w:p w:rsidRPr="00CE46B7" w:rsidR="00DD5FF5" w:rsidP="00DD5FF5" w:rsidRDefault="00DD5FF5" w14:paraId="2EED528C" w14:textId="77777777">
      <w:pPr>
        <w:rPr>
          <w:rFonts w:ascii="Calibri" w:hAnsi="Calibri" w:eastAsia="Verdana" w:cs="Calibri"/>
          <w:b/>
          <w:bCs/>
        </w:rPr>
      </w:pPr>
      <w:r w:rsidRPr="00CE46B7">
        <w:rPr>
          <w:rFonts w:ascii="Calibri" w:hAnsi="Calibri" w:eastAsia="Verdana" w:cs="Calibri"/>
          <w:b/>
          <w:bCs/>
        </w:rPr>
        <w:t>ii. Ontwikkelactiviteiten</w:t>
      </w:r>
    </w:p>
    <w:p w:rsidRPr="00CE46B7" w:rsidR="00DD5FF5" w:rsidP="00DD5FF5" w:rsidRDefault="00DD5FF5" w14:paraId="61847EA1" w14:textId="77777777">
      <w:pPr>
        <w:rPr>
          <w:rFonts w:ascii="Calibri" w:hAnsi="Calibri" w:eastAsia="Verdana" w:cs="Calibri"/>
          <w:b/>
          <w:bCs/>
        </w:rPr>
      </w:pPr>
    </w:p>
    <w:p w:rsidRPr="00CE46B7" w:rsidR="00DD5FF5" w:rsidP="00DD5FF5" w:rsidRDefault="00DD5FF5" w14:paraId="32FAC20D" w14:textId="77777777">
      <w:pPr>
        <w:rPr>
          <w:rFonts w:ascii="Calibri" w:hAnsi="Calibri" w:eastAsia="Verdana" w:cs="Calibri"/>
        </w:rPr>
      </w:pPr>
      <w:r w:rsidRPr="00CE46B7">
        <w:rPr>
          <w:rFonts w:ascii="Calibri" w:hAnsi="Calibri" w:eastAsia="Verdana" w:cs="Calibri"/>
        </w:rPr>
        <w:lastRenderedPageBreak/>
        <w:t xml:space="preserve">Invest-NL Business Development heeft als doel de investeringsbereidheid van financiers en investeerders te vergroten door knelpunten weg te nemen die groei en opschaling van bedrijven in de weg staan. </w:t>
      </w:r>
    </w:p>
    <w:p w:rsidRPr="00CE46B7" w:rsidR="00DD5FF5" w:rsidP="00DD5FF5" w:rsidRDefault="00DD5FF5" w14:paraId="58F34536" w14:textId="77777777">
      <w:pPr>
        <w:rPr>
          <w:rFonts w:ascii="Calibri" w:hAnsi="Calibri" w:eastAsia="Verdana" w:cs="Calibri"/>
        </w:rPr>
      </w:pPr>
    </w:p>
    <w:p w:rsidRPr="00CE46B7" w:rsidR="00DD5FF5" w:rsidP="00DD5FF5" w:rsidRDefault="00DD5FF5" w14:paraId="07B31651" w14:textId="77777777">
      <w:pPr>
        <w:rPr>
          <w:rFonts w:ascii="Calibri" w:hAnsi="Calibri" w:eastAsia="Verdana" w:cs="Calibri"/>
        </w:rPr>
      </w:pPr>
      <w:r w:rsidRPr="00CE46B7">
        <w:rPr>
          <w:rFonts w:ascii="Calibri" w:hAnsi="Calibri" w:eastAsia="Verdana" w:cs="Calibri"/>
        </w:rPr>
        <w:t>In tabel 2 is een overzicht opgenomen van het aantal gerealiseerde ontwikkelactiviteiten met een uitsplitsing naar activiteiten die zijn gericht op een carbon-neutrale en/of circulaire economie.</w:t>
      </w:r>
    </w:p>
    <w:p w:rsidRPr="00CE46B7" w:rsidR="00DD5FF5" w:rsidP="00DD5FF5" w:rsidRDefault="00DD5FF5" w14:paraId="7C6BD1E7" w14:textId="56951673">
      <w:pPr>
        <w:spacing w:line="240" w:lineRule="auto"/>
        <w:rPr>
          <w:rFonts w:ascii="Calibri" w:hAnsi="Calibri" w:eastAsia="Verdana" w:cs="Calibri"/>
        </w:rPr>
      </w:pPr>
    </w:p>
    <w:p w:rsidRPr="00CE46B7" w:rsidR="00DD5FF5" w:rsidP="00DD5FF5" w:rsidRDefault="00DD5FF5" w14:paraId="4F6078C3" w14:textId="77777777">
      <w:pPr>
        <w:rPr>
          <w:rFonts w:ascii="Calibri" w:hAnsi="Calibri" w:eastAsia="Verdana" w:cs="Calibri"/>
          <w:b/>
          <w:bCs/>
        </w:rPr>
      </w:pPr>
      <w:bookmarkStart w:name="OLE_LINK26" w:id="15"/>
      <w:r w:rsidRPr="00CE46B7">
        <w:rPr>
          <w:rFonts w:ascii="Calibri" w:hAnsi="Calibri" w:eastAsia="Verdana" w:cs="Calibri"/>
          <w:b/>
          <w:bCs/>
        </w:rPr>
        <w:t>Tabel 2 – Ontwikkelactiviteiten Business Development</w:t>
      </w:r>
    </w:p>
    <w:bookmarkEnd w:id="15"/>
    <w:p w:rsidRPr="00CE46B7" w:rsidR="00DD5FF5" w:rsidP="00DD5FF5" w:rsidRDefault="00DD5FF5" w14:paraId="4305B5C5" w14:textId="77777777">
      <w:pPr>
        <w:rPr>
          <w:rFonts w:ascii="Calibri" w:hAnsi="Calibri" w:eastAsia="Verdana" w:cs="Calibri"/>
          <w:b/>
          <w:bCs/>
        </w:rPr>
      </w:pPr>
    </w:p>
    <w:tbl>
      <w:tblPr>
        <w:tblStyle w:val="Tabelraster"/>
        <w:tblW w:w="8733" w:type="dxa"/>
        <w:tblLayout w:type="fixed"/>
        <w:tblLook w:val="06A0" w:firstRow="1" w:lastRow="0" w:firstColumn="1" w:lastColumn="0" w:noHBand="1" w:noVBand="1"/>
      </w:tblPr>
      <w:tblGrid>
        <w:gridCol w:w="1951"/>
        <w:gridCol w:w="709"/>
        <w:gridCol w:w="709"/>
        <w:gridCol w:w="708"/>
        <w:gridCol w:w="709"/>
        <w:gridCol w:w="709"/>
        <w:gridCol w:w="709"/>
        <w:gridCol w:w="1167"/>
        <w:gridCol w:w="1362"/>
      </w:tblGrid>
      <w:tr w:rsidRPr="00CE46B7" w:rsidR="00DD5FF5" w:rsidTr="00CE46B7" w14:paraId="4E732A3F" w14:textId="77777777">
        <w:trPr>
          <w:trHeight w:val="1260"/>
        </w:trPr>
        <w:tc>
          <w:tcPr>
            <w:tcW w:w="1951" w:type="dxa"/>
            <w:vMerge w:val="restart"/>
            <w:tcBorders>
              <w:top w:val="single" w:color="7F7F7F" w:themeColor="text1" w:themeTint="80" w:sz="8" w:space="0"/>
              <w:left w:val="nil"/>
              <w:bottom w:val="single" w:color="000000" w:themeColor="text1" w:sz="4" w:space="0"/>
              <w:right w:val="nil"/>
            </w:tcBorders>
            <w:hideMark/>
          </w:tcPr>
          <w:p w:rsidRPr="00CE46B7" w:rsidR="00DD5FF5" w:rsidP="006505BE" w:rsidRDefault="00DD5FF5" w14:paraId="4D1B13BE" w14:textId="77777777">
            <w:pPr>
              <w:rPr>
                <w:rFonts w:ascii="Calibri" w:hAnsi="Calibri" w:cs="Calibri"/>
                <w:sz w:val="22"/>
                <w:szCs w:val="22"/>
              </w:rPr>
            </w:pPr>
            <w:bookmarkStart w:name="OLE_LINK52" w:id="16"/>
          </w:p>
        </w:tc>
        <w:tc>
          <w:tcPr>
            <w:tcW w:w="2126" w:type="dxa"/>
            <w:gridSpan w:val="3"/>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22D13D50" w14:textId="77777777">
            <w:pPr>
              <w:rPr>
                <w:rFonts w:ascii="Calibri" w:hAnsi="Calibri" w:cs="Calibri"/>
                <w:sz w:val="22"/>
                <w:szCs w:val="22"/>
              </w:rPr>
            </w:pPr>
            <w:r w:rsidRPr="00CE46B7">
              <w:rPr>
                <w:rFonts w:ascii="Calibri" w:hAnsi="Calibri" w:eastAsia="Calibri" w:cs="Calibri"/>
                <w:b/>
                <w:bCs/>
                <w:sz w:val="22"/>
                <w:szCs w:val="22"/>
              </w:rPr>
              <w:t>Gerealiseerd</w:t>
            </w:r>
          </w:p>
        </w:tc>
        <w:tc>
          <w:tcPr>
            <w:tcW w:w="2127" w:type="dxa"/>
            <w:gridSpan w:val="3"/>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5029DF02" w14:textId="77777777">
            <w:pPr>
              <w:rPr>
                <w:rFonts w:ascii="Calibri" w:hAnsi="Calibri" w:cs="Calibri"/>
                <w:sz w:val="22"/>
                <w:szCs w:val="22"/>
                <w:lang w:val="nl-NL"/>
              </w:rPr>
            </w:pPr>
            <w:r w:rsidRPr="00CE46B7">
              <w:rPr>
                <w:rFonts w:ascii="Calibri" w:hAnsi="Calibri" w:eastAsia="Calibri" w:cs="Calibri"/>
                <w:b/>
                <w:bCs/>
                <w:sz w:val="22"/>
                <w:szCs w:val="22"/>
                <w:lang w:val="nl-NL"/>
              </w:rPr>
              <w:t>Waarvan gericht op een carbon-neutrale en/of een circulaire economie</w:t>
            </w:r>
          </w:p>
        </w:tc>
        <w:tc>
          <w:tcPr>
            <w:tcW w:w="1167" w:type="dxa"/>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715D2B5C" w14:textId="77777777">
            <w:pPr>
              <w:rPr>
                <w:rFonts w:ascii="Calibri" w:hAnsi="Calibri" w:cs="Calibri"/>
                <w:sz w:val="22"/>
                <w:szCs w:val="22"/>
                <w:lang w:val="nl-NL"/>
              </w:rPr>
            </w:pPr>
            <w:r w:rsidRPr="00CE46B7">
              <w:rPr>
                <w:rFonts w:ascii="Calibri" w:hAnsi="Calibri" w:eastAsia="Calibri" w:cs="Calibri"/>
                <w:b/>
                <w:bCs/>
                <w:sz w:val="22"/>
                <w:szCs w:val="22"/>
                <w:lang w:val="nl-NL"/>
              </w:rPr>
              <w:t>Werk in uitvoering per jaareinde</w:t>
            </w:r>
          </w:p>
        </w:tc>
        <w:tc>
          <w:tcPr>
            <w:tcW w:w="1362" w:type="dxa"/>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1E556E3F" w14:textId="77777777">
            <w:pPr>
              <w:rPr>
                <w:rFonts w:ascii="Calibri" w:hAnsi="Calibri" w:cs="Calibri"/>
                <w:sz w:val="22"/>
                <w:szCs w:val="22"/>
                <w:lang w:val="nl-NL"/>
              </w:rPr>
            </w:pPr>
            <w:r w:rsidRPr="00CE46B7">
              <w:rPr>
                <w:rFonts w:ascii="Calibri" w:hAnsi="Calibri" w:eastAsia="Calibri" w:cs="Calibri"/>
                <w:b/>
                <w:bCs/>
                <w:sz w:val="22"/>
                <w:szCs w:val="22"/>
                <w:lang w:val="nl-NL"/>
              </w:rPr>
              <w:t>Waarvan gericht op een carbon-neutrale en/of een circulaire economie</w:t>
            </w:r>
          </w:p>
        </w:tc>
      </w:tr>
      <w:tr w:rsidRPr="00CE46B7" w:rsidR="00DD5FF5" w:rsidTr="00CE46B7" w14:paraId="230E13CB" w14:textId="77777777">
        <w:trPr>
          <w:trHeight w:val="300"/>
        </w:trPr>
        <w:tc>
          <w:tcPr>
            <w:tcW w:w="1951" w:type="dxa"/>
            <w:vMerge/>
            <w:tcBorders>
              <w:top w:val="single" w:color="7F7F7F" w:themeColor="text1" w:themeTint="80" w:sz="8" w:space="0"/>
              <w:left w:val="nil"/>
              <w:bottom w:val="single" w:color="000000" w:themeColor="text1" w:sz="4" w:space="0"/>
              <w:right w:val="nil"/>
            </w:tcBorders>
            <w:vAlign w:val="center"/>
            <w:hideMark/>
          </w:tcPr>
          <w:p w:rsidRPr="00CE46B7" w:rsidR="00DD5FF5" w:rsidP="006505BE" w:rsidRDefault="00DD5FF5" w14:paraId="3328980B" w14:textId="77777777">
            <w:pPr>
              <w:rPr>
                <w:rFonts w:ascii="Calibri" w:hAnsi="Calibri" w:cs="Calibri"/>
                <w:sz w:val="22"/>
                <w:szCs w:val="22"/>
                <w:lang w:val="nl-NL"/>
              </w:rPr>
            </w:pPr>
          </w:p>
        </w:tc>
        <w:tc>
          <w:tcPr>
            <w:tcW w:w="709" w:type="dxa"/>
            <w:tcBorders>
              <w:top w:val="single" w:color="7F7F7F" w:themeColor="text1" w:themeTint="80" w:sz="8" w:space="0"/>
              <w:left w:val="nil"/>
              <w:bottom w:val="nil"/>
              <w:right w:val="nil"/>
            </w:tcBorders>
            <w:hideMark/>
          </w:tcPr>
          <w:p w:rsidRPr="00CE46B7" w:rsidR="00DD5FF5" w:rsidP="00CE46B7" w:rsidRDefault="00DD5FF5" w14:paraId="375D99B7" w14:textId="77777777">
            <w:pPr>
              <w:jc w:val="right"/>
              <w:rPr>
                <w:rFonts w:ascii="Calibri" w:hAnsi="Calibri" w:cs="Calibri"/>
                <w:sz w:val="22"/>
                <w:szCs w:val="22"/>
              </w:rPr>
            </w:pPr>
            <w:r w:rsidRPr="00CE46B7">
              <w:rPr>
                <w:rFonts w:ascii="Calibri" w:hAnsi="Calibri" w:eastAsia="Calibri" w:cs="Calibri"/>
                <w:sz w:val="22"/>
                <w:szCs w:val="22"/>
              </w:rPr>
              <w:t>2024</w:t>
            </w:r>
          </w:p>
        </w:tc>
        <w:tc>
          <w:tcPr>
            <w:tcW w:w="709" w:type="dxa"/>
            <w:tcBorders>
              <w:top w:val="nil"/>
              <w:left w:val="nil"/>
              <w:bottom w:val="nil"/>
              <w:right w:val="nil"/>
            </w:tcBorders>
            <w:hideMark/>
          </w:tcPr>
          <w:p w:rsidRPr="00CE46B7" w:rsidR="00DD5FF5" w:rsidP="00CE46B7" w:rsidRDefault="00DD5FF5" w14:paraId="1CDED268" w14:textId="77777777">
            <w:pPr>
              <w:jc w:val="right"/>
              <w:rPr>
                <w:rFonts w:ascii="Calibri" w:hAnsi="Calibri" w:cs="Calibri"/>
                <w:sz w:val="22"/>
                <w:szCs w:val="22"/>
              </w:rPr>
            </w:pPr>
            <w:r w:rsidRPr="00CE46B7">
              <w:rPr>
                <w:rFonts w:ascii="Calibri" w:hAnsi="Calibri" w:eastAsia="Calibri" w:cs="Calibri"/>
                <w:sz w:val="22"/>
                <w:szCs w:val="22"/>
              </w:rPr>
              <w:t>2023</w:t>
            </w:r>
          </w:p>
        </w:tc>
        <w:tc>
          <w:tcPr>
            <w:tcW w:w="708" w:type="dxa"/>
            <w:tcBorders>
              <w:top w:val="nil"/>
              <w:left w:val="nil"/>
              <w:bottom w:val="nil"/>
              <w:right w:val="nil"/>
            </w:tcBorders>
            <w:hideMark/>
          </w:tcPr>
          <w:p w:rsidRPr="00CE46B7" w:rsidR="00DD5FF5" w:rsidP="00CE46B7" w:rsidRDefault="00DD5FF5" w14:paraId="2B3A99DA" w14:textId="77777777">
            <w:pPr>
              <w:jc w:val="right"/>
              <w:rPr>
                <w:rFonts w:ascii="Calibri" w:hAnsi="Calibri" w:cs="Calibri"/>
                <w:sz w:val="22"/>
                <w:szCs w:val="22"/>
              </w:rPr>
            </w:pPr>
            <w:r w:rsidRPr="00CE46B7">
              <w:rPr>
                <w:rFonts w:ascii="Calibri" w:hAnsi="Calibri" w:eastAsia="Calibri" w:cs="Calibri"/>
                <w:sz w:val="22"/>
                <w:szCs w:val="22"/>
              </w:rPr>
              <w:t>2022</w:t>
            </w:r>
          </w:p>
        </w:tc>
        <w:tc>
          <w:tcPr>
            <w:tcW w:w="709" w:type="dxa"/>
            <w:tcBorders>
              <w:top w:val="single" w:color="7F7F7F" w:themeColor="text1" w:themeTint="80" w:sz="8" w:space="0"/>
              <w:left w:val="nil"/>
              <w:bottom w:val="nil"/>
              <w:right w:val="nil"/>
            </w:tcBorders>
            <w:hideMark/>
          </w:tcPr>
          <w:p w:rsidRPr="00CE46B7" w:rsidR="00DD5FF5" w:rsidP="00CE46B7" w:rsidRDefault="00DD5FF5" w14:paraId="022D1146" w14:textId="77777777">
            <w:pPr>
              <w:jc w:val="right"/>
              <w:rPr>
                <w:rFonts w:ascii="Calibri" w:hAnsi="Calibri" w:cs="Calibri"/>
                <w:sz w:val="22"/>
                <w:szCs w:val="22"/>
              </w:rPr>
            </w:pPr>
            <w:r w:rsidRPr="00CE46B7">
              <w:rPr>
                <w:rFonts w:ascii="Calibri" w:hAnsi="Calibri" w:eastAsia="Calibri" w:cs="Calibri"/>
                <w:sz w:val="22"/>
                <w:szCs w:val="22"/>
              </w:rPr>
              <w:t>2024</w:t>
            </w:r>
          </w:p>
        </w:tc>
        <w:tc>
          <w:tcPr>
            <w:tcW w:w="709" w:type="dxa"/>
            <w:tcBorders>
              <w:top w:val="nil"/>
              <w:left w:val="nil"/>
              <w:bottom w:val="nil"/>
              <w:right w:val="nil"/>
            </w:tcBorders>
            <w:hideMark/>
          </w:tcPr>
          <w:p w:rsidRPr="00CE46B7" w:rsidR="00DD5FF5" w:rsidP="00CE46B7" w:rsidRDefault="00DD5FF5" w14:paraId="15FC4C13" w14:textId="77777777">
            <w:pPr>
              <w:jc w:val="right"/>
              <w:rPr>
                <w:rFonts w:ascii="Calibri" w:hAnsi="Calibri" w:cs="Calibri"/>
                <w:sz w:val="22"/>
                <w:szCs w:val="22"/>
              </w:rPr>
            </w:pPr>
            <w:r w:rsidRPr="00CE46B7">
              <w:rPr>
                <w:rFonts w:ascii="Calibri" w:hAnsi="Calibri" w:eastAsia="Calibri" w:cs="Calibri"/>
                <w:sz w:val="22"/>
                <w:szCs w:val="22"/>
              </w:rPr>
              <w:t>2023</w:t>
            </w:r>
          </w:p>
        </w:tc>
        <w:tc>
          <w:tcPr>
            <w:tcW w:w="709" w:type="dxa"/>
            <w:tcBorders>
              <w:top w:val="nil"/>
              <w:left w:val="nil"/>
              <w:bottom w:val="nil"/>
              <w:right w:val="nil"/>
            </w:tcBorders>
            <w:hideMark/>
          </w:tcPr>
          <w:p w:rsidRPr="00CE46B7" w:rsidR="00DD5FF5" w:rsidP="00CE46B7" w:rsidRDefault="00DD5FF5" w14:paraId="0AFF3DBD" w14:textId="77777777">
            <w:pPr>
              <w:jc w:val="right"/>
              <w:rPr>
                <w:rFonts w:ascii="Calibri" w:hAnsi="Calibri" w:cs="Calibri"/>
                <w:sz w:val="22"/>
                <w:szCs w:val="22"/>
              </w:rPr>
            </w:pPr>
            <w:r w:rsidRPr="00CE46B7">
              <w:rPr>
                <w:rFonts w:ascii="Calibri" w:hAnsi="Calibri" w:eastAsia="Calibri" w:cs="Calibri"/>
                <w:sz w:val="22"/>
                <w:szCs w:val="22"/>
              </w:rPr>
              <w:t>2022</w:t>
            </w:r>
          </w:p>
        </w:tc>
        <w:tc>
          <w:tcPr>
            <w:tcW w:w="1167" w:type="dxa"/>
            <w:tcBorders>
              <w:top w:val="single" w:color="7F7F7F" w:themeColor="text1" w:themeTint="80" w:sz="8" w:space="0"/>
              <w:left w:val="nil"/>
              <w:bottom w:val="nil"/>
              <w:right w:val="nil"/>
            </w:tcBorders>
            <w:hideMark/>
          </w:tcPr>
          <w:p w:rsidRPr="00CE46B7" w:rsidR="00DD5FF5" w:rsidP="00CE46B7" w:rsidRDefault="00DD5FF5" w14:paraId="7CF0350D" w14:textId="77777777">
            <w:pPr>
              <w:jc w:val="right"/>
              <w:rPr>
                <w:rFonts w:ascii="Calibri" w:hAnsi="Calibri" w:cs="Calibri"/>
                <w:sz w:val="22"/>
                <w:szCs w:val="22"/>
              </w:rPr>
            </w:pPr>
            <w:r w:rsidRPr="00CE46B7">
              <w:rPr>
                <w:rFonts w:ascii="Calibri" w:hAnsi="Calibri" w:eastAsia="Calibri" w:cs="Calibri"/>
                <w:sz w:val="22"/>
                <w:szCs w:val="22"/>
              </w:rPr>
              <w:t>2024</w:t>
            </w:r>
          </w:p>
        </w:tc>
        <w:tc>
          <w:tcPr>
            <w:tcW w:w="1362" w:type="dxa"/>
            <w:tcBorders>
              <w:top w:val="single" w:color="7F7F7F" w:themeColor="text1" w:themeTint="80" w:sz="8" w:space="0"/>
              <w:left w:val="nil"/>
              <w:bottom w:val="nil"/>
              <w:right w:val="nil"/>
            </w:tcBorders>
            <w:hideMark/>
          </w:tcPr>
          <w:p w:rsidRPr="00CE46B7" w:rsidR="00DD5FF5" w:rsidP="00CE46B7" w:rsidRDefault="00DD5FF5" w14:paraId="2630392C" w14:textId="77777777">
            <w:pPr>
              <w:jc w:val="right"/>
              <w:rPr>
                <w:rFonts w:ascii="Calibri" w:hAnsi="Calibri" w:eastAsia="Calibri" w:cs="Calibri"/>
                <w:sz w:val="22"/>
                <w:szCs w:val="22"/>
              </w:rPr>
            </w:pPr>
            <w:r w:rsidRPr="00CE46B7">
              <w:rPr>
                <w:rFonts w:ascii="Calibri" w:hAnsi="Calibri" w:eastAsia="Calibri" w:cs="Calibri"/>
                <w:sz w:val="22"/>
                <w:szCs w:val="22"/>
              </w:rPr>
              <w:t>2024</w:t>
            </w:r>
          </w:p>
        </w:tc>
      </w:tr>
      <w:tr w:rsidRPr="00CE46B7" w:rsidR="00DD5FF5" w:rsidTr="00CE46B7" w14:paraId="6FC59DE5" w14:textId="77777777">
        <w:trPr>
          <w:trHeight w:val="165"/>
        </w:trPr>
        <w:tc>
          <w:tcPr>
            <w:tcW w:w="1951" w:type="dxa"/>
            <w:tcBorders>
              <w:top w:val="nil"/>
              <w:left w:val="nil"/>
              <w:bottom w:val="nil"/>
              <w:right w:val="nil"/>
            </w:tcBorders>
            <w:hideMark/>
          </w:tcPr>
          <w:p w:rsidRPr="00CE46B7" w:rsidR="00DD5FF5" w:rsidP="006505BE" w:rsidRDefault="00DD5FF5" w14:paraId="6E1A1F2C" w14:textId="77777777">
            <w:pPr>
              <w:rPr>
                <w:rFonts w:ascii="Calibri" w:hAnsi="Calibri" w:cs="Calibri" w:eastAsiaTheme="minorHAnsi"/>
                <w:sz w:val="22"/>
                <w:szCs w:val="22"/>
              </w:rPr>
            </w:pPr>
            <w:r w:rsidRPr="00CE46B7">
              <w:rPr>
                <w:rFonts w:ascii="Calibri" w:hAnsi="Calibri" w:eastAsia="Calibri" w:cs="Calibri"/>
                <w:i/>
                <w:iCs/>
                <w:sz w:val="22"/>
                <w:szCs w:val="22"/>
              </w:rPr>
              <w:t>Marktontwikkeling</w:t>
            </w:r>
          </w:p>
        </w:tc>
        <w:tc>
          <w:tcPr>
            <w:tcW w:w="709" w:type="dxa"/>
            <w:tcBorders>
              <w:top w:val="nil"/>
              <w:left w:val="nil"/>
              <w:bottom w:val="nil"/>
              <w:right w:val="nil"/>
            </w:tcBorders>
            <w:hideMark/>
          </w:tcPr>
          <w:p w:rsidRPr="00CE46B7" w:rsidR="00DD5FF5" w:rsidP="00CE46B7" w:rsidRDefault="00DD5FF5" w14:paraId="7B2ABF4F" w14:textId="77777777">
            <w:pPr>
              <w:jc w:val="right"/>
              <w:rPr>
                <w:rFonts w:ascii="Calibri" w:hAnsi="Calibri" w:eastAsia="Calibri" w:cs="Calibri"/>
                <w:sz w:val="22"/>
                <w:szCs w:val="22"/>
              </w:rPr>
            </w:pPr>
            <w:r w:rsidRPr="00CE46B7">
              <w:rPr>
                <w:rFonts w:ascii="Calibri" w:hAnsi="Calibri" w:eastAsia="Calibri" w:cs="Calibri"/>
                <w:sz w:val="22"/>
                <w:szCs w:val="22"/>
              </w:rPr>
              <w:t>39</w:t>
            </w:r>
          </w:p>
        </w:tc>
        <w:tc>
          <w:tcPr>
            <w:tcW w:w="709" w:type="dxa"/>
            <w:tcBorders>
              <w:top w:val="nil"/>
              <w:left w:val="nil"/>
              <w:bottom w:val="nil"/>
              <w:right w:val="nil"/>
            </w:tcBorders>
            <w:hideMark/>
          </w:tcPr>
          <w:p w:rsidRPr="00CE46B7" w:rsidR="00DD5FF5" w:rsidP="00CE46B7" w:rsidRDefault="00DD5FF5" w14:paraId="31FA424B" w14:textId="77777777">
            <w:pPr>
              <w:jc w:val="right"/>
              <w:rPr>
                <w:rFonts w:ascii="Calibri" w:hAnsi="Calibri" w:eastAsia="Calibri" w:cs="Calibri"/>
                <w:sz w:val="22"/>
                <w:szCs w:val="22"/>
              </w:rPr>
            </w:pPr>
            <w:r w:rsidRPr="00CE46B7">
              <w:rPr>
                <w:rFonts w:ascii="Calibri" w:hAnsi="Calibri" w:eastAsia="Calibri" w:cs="Calibri"/>
                <w:sz w:val="22"/>
                <w:szCs w:val="22"/>
              </w:rPr>
              <w:t>24</w:t>
            </w:r>
          </w:p>
        </w:tc>
        <w:tc>
          <w:tcPr>
            <w:tcW w:w="708" w:type="dxa"/>
            <w:tcBorders>
              <w:top w:val="nil"/>
              <w:left w:val="nil"/>
              <w:bottom w:val="nil"/>
              <w:right w:val="nil"/>
            </w:tcBorders>
            <w:hideMark/>
          </w:tcPr>
          <w:p w:rsidRPr="00CE46B7" w:rsidR="00DD5FF5" w:rsidP="00CE46B7" w:rsidRDefault="00DD5FF5" w14:paraId="68CE162E" w14:textId="77777777">
            <w:pPr>
              <w:jc w:val="right"/>
              <w:rPr>
                <w:rFonts w:ascii="Calibri" w:hAnsi="Calibri" w:eastAsia="Calibri" w:cs="Calibri"/>
                <w:sz w:val="22"/>
                <w:szCs w:val="22"/>
              </w:rPr>
            </w:pPr>
            <w:r w:rsidRPr="00CE46B7">
              <w:rPr>
                <w:rFonts w:ascii="Calibri" w:hAnsi="Calibri" w:eastAsia="Calibri" w:cs="Calibri"/>
                <w:sz w:val="22"/>
                <w:szCs w:val="22"/>
              </w:rPr>
              <w:t>21</w:t>
            </w:r>
          </w:p>
        </w:tc>
        <w:tc>
          <w:tcPr>
            <w:tcW w:w="709" w:type="dxa"/>
            <w:tcBorders>
              <w:top w:val="nil"/>
              <w:left w:val="nil"/>
              <w:bottom w:val="nil"/>
              <w:right w:val="nil"/>
            </w:tcBorders>
            <w:hideMark/>
          </w:tcPr>
          <w:p w:rsidRPr="00CE46B7" w:rsidR="00DD5FF5" w:rsidP="00CE46B7" w:rsidRDefault="00DD5FF5" w14:paraId="4535C1DF" w14:textId="77777777">
            <w:pPr>
              <w:jc w:val="right"/>
              <w:rPr>
                <w:rFonts w:ascii="Calibri" w:hAnsi="Calibri" w:eastAsia="Calibri" w:cs="Calibri"/>
                <w:sz w:val="22"/>
                <w:szCs w:val="22"/>
              </w:rPr>
            </w:pPr>
            <w:r w:rsidRPr="00CE46B7">
              <w:rPr>
                <w:rFonts w:ascii="Calibri" w:hAnsi="Calibri" w:eastAsia="Calibri" w:cs="Calibri"/>
                <w:sz w:val="22"/>
                <w:szCs w:val="22"/>
              </w:rPr>
              <w:t>28</w:t>
            </w:r>
          </w:p>
        </w:tc>
        <w:tc>
          <w:tcPr>
            <w:tcW w:w="709" w:type="dxa"/>
            <w:tcBorders>
              <w:top w:val="nil"/>
              <w:left w:val="nil"/>
              <w:bottom w:val="nil"/>
              <w:right w:val="nil"/>
            </w:tcBorders>
            <w:hideMark/>
          </w:tcPr>
          <w:p w:rsidRPr="00CE46B7" w:rsidR="00DD5FF5" w:rsidP="00CE46B7" w:rsidRDefault="00DD5FF5" w14:paraId="3A5B55B7" w14:textId="77777777">
            <w:pPr>
              <w:jc w:val="right"/>
              <w:rPr>
                <w:rFonts w:ascii="Calibri" w:hAnsi="Calibri" w:cs="Calibri" w:eastAsiaTheme="minorHAnsi"/>
                <w:sz w:val="22"/>
                <w:szCs w:val="22"/>
              </w:rPr>
            </w:pPr>
            <w:r w:rsidRPr="00CE46B7">
              <w:rPr>
                <w:rFonts w:ascii="Calibri" w:hAnsi="Calibri" w:eastAsia="Calibri" w:cs="Calibri"/>
                <w:sz w:val="22"/>
                <w:szCs w:val="22"/>
              </w:rPr>
              <w:t>16</w:t>
            </w:r>
          </w:p>
        </w:tc>
        <w:tc>
          <w:tcPr>
            <w:tcW w:w="709" w:type="dxa"/>
            <w:tcBorders>
              <w:top w:val="nil"/>
              <w:left w:val="nil"/>
              <w:bottom w:val="nil"/>
              <w:right w:val="nil"/>
            </w:tcBorders>
            <w:hideMark/>
          </w:tcPr>
          <w:p w:rsidRPr="00CE46B7" w:rsidR="00DD5FF5" w:rsidP="00CE46B7" w:rsidRDefault="00DD5FF5" w14:paraId="5CF40ED1" w14:textId="77777777">
            <w:pPr>
              <w:jc w:val="right"/>
              <w:rPr>
                <w:rFonts w:ascii="Calibri" w:hAnsi="Calibri" w:eastAsia="Calibri" w:cs="Calibri"/>
                <w:sz w:val="22"/>
                <w:szCs w:val="22"/>
              </w:rPr>
            </w:pPr>
            <w:r w:rsidRPr="00CE46B7">
              <w:rPr>
                <w:rFonts w:ascii="Calibri" w:hAnsi="Calibri" w:eastAsia="Calibri" w:cs="Calibri"/>
                <w:sz w:val="22"/>
                <w:szCs w:val="22"/>
              </w:rPr>
              <w:t>18</w:t>
            </w:r>
          </w:p>
        </w:tc>
        <w:tc>
          <w:tcPr>
            <w:tcW w:w="1167" w:type="dxa"/>
            <w:tcBorders>
              <w:top w:val="nil"/>
              <w:left w:val="nil"/>
              <w:bottom w:val="nil"/>
              <w:right w:val="nil"/>
            </w:tcBorders>
            <w:hideMark/>
          </w:tcPr>
          <w:p w:rsidRPr="00CE46B7" w:rsidR="00DD5FF5" w:rsidP="00CE46B7" w:rsidRDefault="00DD5FF5" w14:paraId="19E950C1" w14:textId="77777777">
            <w:pPr>
              <w:jc w:val="right"/>
              <w:rPr>
                <w:rFonts w:ascii="Calibri" w:hAnsi="Calibri" w:eastAsia="Calibri" w:cs="Calibri"/>
                <w:sz w:val="22"/>
                <w:szCs w:val="22"/>
              </w:rPr>
            </w:pPr>
            <w:r w:rsidRPr="00CE46B7">
              <w:rPr>
                <w:rFonts w:ascii="Calibri" w:hAnsi="Calibri" w:eastAsia="Calibri" w:cs="Calibri"/>
                <w:sz w:val="22"/>
                <w:szCs w:val="22"/>
              </w:rPr>
              <w:t>50</w:t>
            </w:r>
          </w:p>
        </w:tc>
        <w:tc>
          <w:tcPr>
            <w:tcW w:w="1362" w:type="dxa"/>
            <w:tcBorders>
              <w:top w:val="nil"/>
              <w:left w:val="nil"/>
              <w:bottom w:val="nil"/>
              <w:right w:val="nil"/>
            </w:tcBorders>
            <w:hideMark/>
          </w:tcPr>
          <w:p w:rsidRPr="00CE46B7" w:rsidR="00DD5FF5" w:rsidP="00CE46B7" w:rsidRDefault="00DD5FF5" w14:paraId="26CBB403" w14:textId="77777777">
            <w:pPr>
              <w:jc w:val="right"/>
              <w:rPr>
                <w:rFonts w:ascii="Calibri" w:hAnsi="Calibri" w:eastAsia="Calibri" w:cs="Calibri"/>
                <w:sz w:val="22"/>
                <w:szCs w:val="22"/>
              </w:rPr>
            </w:pPr>
            <w:r w:rsidRPr="00CE46B7">
              <w:rPr>
                <w:rFonts w:ascii="Calibri" w:hAnsi="Calibri" w:eastAsia="Calibri" w:cs="Calibri"/>
                <w:sz w:val="22"/>
                <w:szCs w:val="22"/>
              </w:rPr>
              <w:t>35</w:t>
            </w:r>
          </w:p>
        </w:tc>
      </w:tr>
      <w:tr w:rsidRPr="00CE46B7" w:rsidR="00DD5FF5" w:rsidTr="00CE46B7" w14:paraId="260876E5" w14:textId="77777777">
        <w:trPr>
          <w:trHeight w:val="270"/>
        </w:trPr>
        <w:tc>
          <w:tcPr>
            <w:tcW w:w="1951" w:type="dxa"/>
            <w:tcBorders>
              <w:top w:val="nil"/>
              <w:left w:val="nil"/>
              <w:bottom w:val="single" w:color="7F7F7F" w:themeColor="text1" w:themeTint="80" w:sz="8" w:space="0"/>
              <w:right w:val="nil"/>
            </w:tcBorders>
            <w:hideMark/>
          </w:tcPr>
          <w:p w:rsidRPr="00CE46B7" w:rsidR="00DD5FF5" w:rsidP="006505BE" w:rsidRDefault="00DD5FF5" w14:paraId="0B474CFC" w14:textId="77777777">
            <w:pPr>
              <w:rPr>
                <w:rFonts w:ascii="Calibri" w:hAnsi="Calibri" w:cs="Calibri"/>
                <w:sz w:val="22"/>
                <w:szCs w:val="22"/>
              </w:rPr>
            </w:pPr>
            <w:r w:rsidRPr="00CE46B7">
              <w:rPr>
                <w:rFonts w:ascii="Calibri" w:hAnsi="Calibri" w:eastAsia="Calibri" w:cs="Calibri"/>
                <w:i/>
                <w:iCs/>
                <w:sz w:val="22"/>
                <w:szCs w:val="22"/>
              </w:rPr>
              <w:t>Financiële instrumenten</w:t>
            </w:r>
          </w:p>
        </w:tc>
        <w:tc>
          <w:tcPr>
            <w:tcW w:w="709" w:type="dxa"/>
            <w:tcBorders>
              <w:top w:val="nil"/>
              <w:left w:val="nil"/>
              <w:bottom w:val="single" w:color="7F7F7F" w:themeColor="text1" w:themeTint="80" w:sz="8" w:space="0"/>
              <w:right w:val="nil"/>
            </w:tcBorders>
            <w:hideMark/>
          </w:tcPr>
          <w:p w:rsidRPr="00CE46B7" w:rsidR="00DD5FF5" w:rsidP="00CE46B7" w:rsidRDefault="00DD5FF5" w14:paraId="49611D83" w14:textId="77777777">
            <w:pPr>
              <w:jc w:val="right"/>
              <w:rPr>
                <w:rFonts w:ascii="Calibri" w:hAnsi="Calibri" w:cs="Calibri"/>
                <w:sz w:val="22"/>
                <w:szCs w:val="22"/>
              </w:rPr>
            </w:pPr>
            <w:r w:rsidRPr="00CE46B7">
              <w:rPr>
                <w:rFonts w:ascii="Calibri" w:hAnsi="Calibri" w:eastAsia="Calibri" w:cs="Calibri"/>
                <w:sz w:val="22"/>
                <w:szCs w:val="22"/>
              </w:rPr>
              <w:t>11</w:t>
            </w:r>
          </w:p>
        </w:tc>
        <w:tc>
          <w:tcPr>
            <w:tcW w:w="709" w:type="dxa"/>
            <w:tcBorders>
              <w:top w:val="nil"/>
              <w:left w:val="nil"/>
              <w:bottom w:val="single" w:color="7F7F7F" w:themeColor="text1" w:themeTint="80" w:sz="8" w:space="0"/>
              <w:right w:val="nil"/>
            </w:tcBorders>
            <w:hideMark/>
          </w:tcPr>
          <w:p w:rsidRPr="00CE46B7" w:rsidR="00DD5FF5" w:rsidP="00CE46B7" w:rsidRDefault="00DD5FF5" w14:paraId="2DB60CBF" w14:textId="77777777">
            <w:pPr>
              <w:jc w:val="right"/>
              <w:rPr>
                <w:rFonts w:ascii="Calibri" w:hAnsi="Calibri" w:cs="Calibri"/>
                <w:sz w:val="22"/>
                <w:szCs w:val="22"/>
              </w:rPr>
            </w:pPr>
            <w:r w:rsidRPr="00CE46B7">
              <w:rPr>
                <w:rFonts w:ascii="Calibri" w:hAnsi="Calibri" w:eastAsia="Calibri" w:cs="Calibri"/>
                <w:sz w:val="22"/>
                <w:szCs w:val="22"/>
              </w:rPr>
              <w:t>5</w:t>
            </w:r>
          </w:p>
        </w:tc>
        <w:tc>
          <w:tcPr>
            <w:tcW w:w="708" w:type="dxa"/>
            <w:tcBorders>
              <w:top w:val="nil"/>
              <w:left w:val="nil"/>
              <w:bottom w:val="single" w:color="7F7F7F" w:themeColor="text1" w:themeTint="80" w:sz="8" w:space="0"/>
              <w:right w:val="nil"/>
            </w:tcBorders>
            <w:hideMark/>
          </w:tcPr>
          <w:p w:rsidRPr="00CE46B7" w:rsidR="00DD5FF5" w:rsidP="00CE46B7" w:rsidRDefault="00DD5FF5" w14:paraId="3C13D347" w14:textId="77777777">
            <w:pPr>
              <w:jc w:val="right"/>
              <w:rPr>
                <w:rFonts w:ascii="Calibri" w:hAnsi="Calibri" w:eastAsia="Calibri" w:cs="Calibri"/>
                <w:sz w:val="22"/>
                <w:szCs w:val="22"/>
              </w:rPr>
            </w:pPr>
            <w:r w:rsidRPr="00CE46B7">
              <w:rPr>
                <w:rFonts w:ascii="Calibri" w:hAnsi="Calibri" w:eastAsia="Calibri" w:cs="Calibri"/>
                <w:sz w:val="22"/>
                <w:szCs w:val="22"/>
              </w:rPr>
              <w:t>2</w:t>
            </w:r>
          </w:p>
        </w:tc>
        <w:tc>
          <w:tcPr>
            <w:tcW w:w="709" w:type="dxa"/>
            <w:tcBorders>
              <w:top w:val="nil"/>
              <w:left w:val="nil"/>
              <w:bottom w:val="single" w:color="7F7F7F" w:themeColor="text1" w:themeTint="80" w:sz="8" w:space="0"/>
              <w:right w:val="nil"/>
            </w:tcBorders>
            <w:hideMark/>
          </w:tcPr>
          <w:p w:rsidRPr="00CE46B7" w:rsidR="00DD5FF5" w:rsidP="00CE46B7" w:rsidRDefault="00DD5FF5" w14:paraId="5F9D271A" w14:textId="77777777">
            <w:pPr>
              <w:jc w:val="right"/>
              <w:rPr>
                <w:rFonts w:ascii="Calibri" w:hAnsi="Calibri" w:cs="Calibri" w:eastAsiaTheme="minorHAnsi"/>
                <w:sz w:val="22"/>
                <w:szCs w:val="22"/>
              </w:rPr>
            </w:pPr>
            <w:r w:rsidRPr="00CE46B7">
              <w:rPr>
                <w:rFonts w:ascii="Calibri" w:hAnsi="Calibri" w:eastAsia="Calibri" w:cs="Calibri"/>
                <w:sz w:val="22"/>
                <w:szCs w:val="22"/>
              </w:rPr>
              <w:t>5</w:t>
            </w:r>
          </w:p>
        </w:tc>
        <w:tc>
          <w:tcPr>
            <w:tcW w:w="709" w:type="dxa"/>
            <w:tcBorders>
              <w:top w:val="nil"/>
              <w:left w:val="nil"/>
              <w:bottom w:val="single" w:color="7F7F7F" w:themeColor="text1" w:themeTint="80" w:sz="8" w:space="0"/>
              <w:right w:val="nil"/>
            </w:tcBorders>
            <w:hideMark/>
          </w:tcPr>
          <w:p w:rsidRPr="00CE46B7" w:rsidR="00DD5FF5" w:rsidP="00CE46B7" w:rsidRDefault="00DD5FF5" w14:paraId="2AF20842" w14:textId="77777777">
            <w:pPr>
              <w:jc w:val="right"/>
              <w:rPr>
                <w:rFonts w:ascii="Calibri" w:hAnsi="Calibri" w:cs="Calibri"/>
                <w:sz w:val="22"/>
                <w:szCs w:val="22"/>
              </w:rPr>
            </w:pPr>
            <w:r w:rsidRPr="00CE46B7">
              <w:rPr>
                <w:rFonts w:ascii="Calibri" w:hAnsi="Calibri" w:eastAsia="Calibri" w:cs="Calibri"/>
                <w:sz w:val="22"/>
                <w:szCs w:val="22"/>
              </w:rPr>
              <w:t>3</w:t>
            </w:r>
          </w:p>
        </w:tc>
        <w:tc>
          <w:tcPr>
            <w:tcW w:w="709" w:type="dxa"/>
            <w:tcBorders>
              <w:top w:val="nil"/>
              <w:left w:val="nil"/>
              <w:bottom w:val="single" w:color="7F7F7F" w:themeColor="text1" w:themeTint="80" w:sz="8" w:space="0"/>
              <w:right w:val="nil"/>
            </w:tcBorders>
            <w:hideMark/>
          </w:tcPr>
          <w:p w:rsidRPr="00CE46B7" w:rsidR="00DD5FF5" w:rsidP="00CE46B7" w:rsidRDefault="00DD5FF5" w14:paraId="22339077" w14:textId="77777777">
            <w:pPr>
              <w:jc w:val="right"/>
              <w:rPr>
                <w:rFonts w:ascii="Calibri" w:hAnsi="Calibri" w:eastAsia="Calibri" w:cs="Calibri"/>
                <w:sz w:val="22"/>
                <w:szCs w:val="22"/>
              </w:rPr>
            </w:pPr>
            <w:r w:rsidRPr="00CE46B7">
              <w:rPr>
                <w:rFonts w:ascii="Calibri" w:hAnsi="Calibri" w:eastAsia="Calibri" w:cs="Calibri"/>
                <w:sz w:val="22"/>
                <w:szCs w:val="22"/>
              </w:rPr>
              <w:t>2</w:t>
            </w:r>
          </w:p>
        </w:tc>
        <w:tc>
          <w:tcPr>
            <w:tcW w:w="1167" w:type="dxa"/>
            <w:tcBorders>
              <w:top w:val="nil"/>
              <w:left w:val="nil"/>
              <w:bottom w:val="single" w:color="7F7F7F" w:themeColor="text1" w:themeTint="80" w:sz="8" w:space="0"/>
              <w:right w:val="nil"/>
            </w:tcBorders>
            <w:hideMark/>
          </w:tcPr>
          <w:p w:rsidRPr="00CE46B7" w:rsidR="00DD5FF5" w:rsidP="00CE46B7" w:rsidRDefault="00DD5FF5" w14:paraId="2F39D975" w14:textId="77777777">
            <w:pPr>
              <w:jc w:val="right"/>
              <w:rPr>
                <w:rFonts w:ascii="Calibri" w:hAnsi="Calibri" w:cs="Calibri" w:eastAsiaTheme="minorHAnsi"/>
                <w:sz w:val="22"/>
                <w:szCs w:val="22"/>
              </w:rPr>
            </w:pPr>
            <w:r w:rsidRPr="00CE46B7">
              <w:rPr>
                <w:rFonts w:ascii="Calibri" w:hAnsi="Calibri" w:eastAsia="Calibri" w:cs="Calibri"/>
                <w:sz w:val="22"/>
                <w:szCs w:val="22"/>
              </w:rPr>
              <w:t>19</w:t>
            </w:r>
          </w:p>
        </w:tc>
        <w:tc>
          <w:tcPr>
            <w:tcW w:w="1362" w:type="dxa"/>
            <w:tcBorders>
              <w:top w:val="nil"/>
              <w:left w:val="nil"/>
              <w:bottom w:val="single" w:color="7F7F7F" w:themeColor="text1" w:themeTint="80" w:sz="8" w:space="0"/>
              <w:right w:val="nil"/>
            </w:tcBorders>
            <w:hideMark/>
          </w:tcPr>
          <w:p w:rsidRPr="00CE46B7" w:rsidR="00DD5FF5" w:rsidP="00CE46B7" w:rsidRDefault="00DD5FF5" w14:paraId="59582822" w14:textId="77777777">
            <w:pPr>
              <w:jc w:val="right"/>
              <w:rPr>
                <w:rFonts w:ascii="Calibri" w:hAnsi="Calibri" w:eastAsia="Calibri" w:cs="Calibri"/>
                <w:sz w:val="22"/>
                <w:szCs w:val="22"/>
              </w:rPr>
            </w:pPr>
            <w:r w:rsidRPr="00CE46B7">
              <w:rPr>
                <w:rFonts w:ascii="Calibri" w:hAnsi="Calibri" w:eastAsia="Calibri" w:cs="Calibri"/>
                <w:sz w:val="22"/>
                <w:szCs w:val="22"/>
              </w:rPr>
              <w:t>13</w:t>
            </w:r>
          </w:p>
        </w:tc>
      </w:tr>
      <w:bookmarkEnd w:id="16"/>
    </w:tbl>
    <w:p w:rsidRPr="00CE46B7" w:rsidR="00DD5FF5" w:rsidP="00DD5FF5" w:rsidRDefault="00DD5FF5" w14:paraId="2DC6012A" w14:textId="77777777">
      <w:pPr>
        <w:rPr>
          <w:rFonts w:ascii="Calibri" w:hAnsi="Calibri" w:eastAsia="Verdana" w:cs="Calibri"/>
        </w:rPr>
      </w:pPr>
    </w:p>
    <w:p w:rsidRPr="00CE46B7" w:rsidR="00DD5FF5" w:rsidP="00DD5FF5" w:rsidRDefault="00DD5FF5" w14:paraId="20277729" w14:textId="77777777">
      <w:pPr>
        <w:rPr>
          <w:rFonts w:ascii="Calibri" w:hAnsi="Calibri" w:cs="Calibri"/>
        </w:rPr>
      </w:pPr>
    </w:p>
    <w:p w:rsidRPr="00CE46B7" w:rsidR="00DD5FF5" w:rsidP="00DD5FF5" w:rsidRDefault="00DD5FF5" w14:paraId="25131DA3" w14:textId="77777777">
      <w:pPr>
        <w:pStyle w:val="Geenafstand"/>
        <w:spacing w:line="240" w:lineRule="atLeast"/>
        <w:rPr>
          <w:rFonts w:ascii="Calibri" w:hAnsi="Calibri" w:cs="Calibri"/>
          <w:sz w:val="22"/>
          <w:szCs w:val="22"/>
        </w:rPr>
      </w:pPr>
      <w:bookmarkStart w:name="OLE_LINK63" w:id="17"/>
      <w:r w:rsidRPr="00CE46B7">
        <w:rPr>
          <w:rFonts w:ascii="Calibri" w:hAnsi="Calibri" w:cs="Calibri"/>
          <w:sz w:val="22"/>
          <w:szCs w:val="22"/>
        </w:rPr>
        <w:t xml:space="preserve">In 2024 zijn er in totaal 39 marktontwikkelingstrajecten gerealiseerd en 11 financiële instrumenten ontwikkeld. </w:t>
      </w:r>
    </w:p>
    <w:p w:rsidRPr="00CE46B7" w:rsidR="00DD5FF5" w:rsidP="00DD5FF5" w:rsidRDefault="00DD5FF5" w14:paraId="6964C377" w14:textId="77777777">
      <w:pPr>
        <w:pStyle w:val="Geenafstand"/>
        <w:spacing w:line="240" w:lineRule="atLeast"/>
        <w:rPr>
          <w:rFonts w:ascii="Calibri" w:hAnsi="Calibri" w:cs="Calibri"/>
          <w:sz w:val="22"/>
          <w:szCs w:val="22"/>
        </w:rPr>
      </w:pPr>
    </w:p>
    <w:bookmarkEnd w:id="17"/>
    <w:p w:rsidRPr="00CE46B7" w:rsidR="00DD5FF5" w:rsidP="00DD5FF5" w:rsidRDefault="00DD5FF5" w14:paraId="59AB907C" w14:textId="77777777">
      <w:pPr>
        <w:pStyle w:val="Geenafstand1"/>
        <w:spacing w:line="240" w:lineRule="atLeast"/>
        <w:rPr>
          <w:rFonts w:ascii="Calibri" w:hAnsi="Calibri" w:cs="Calibri"/>
          <w:sz w:val="22"/>
          <w:lang w:val="nl-NL"/>
        </w:rPr>
      </w:pPr>
      <w:r w:rsidRPr="00CE46B7">
        <w:rPr>
          <w:rFonts w:ascii="Calibri" w:hAnsi="Calibri" w:cs="Calibri"/>
          <w:sz w:val="22"/>
          <w:lang w:val="nl-NL"/>
        </w:rPr>
        <w:t>Marktontwikkeling richt zich op het signaleren en adresseren van structurele knelpunten bij financiering en opschaling. Samenwerking binnen ketens en tussen publieke en private partijen is hierbij vaak essentieel. In dit kader biedt Invest-NL via Business Development juridische, technische en marktinhoudelijke expertise om financieringsknelpunten te doorbreken en proposities investeerbaar te maken. Daarnaast wordt actief ingezet op het versterken van nationale en internationale samenwerkingen binnen de waardeketen. De inzet is gericht op het openen van markten, het verlagen van risico’s en het vergroten van de bereidheid tot financiering.</w:t>
      </w:r>
    </w:p>
    <w:p w:rsidRPr="00CE46B7" w:rsidR="00DD5FF5" w:rsidP="00DD5FF5" w:rsidRDefault="00DD5FF5" w14:paraId="25D2C03D" w14:textId="77777777">
      <w:pPr>
        <w:pStyle w:val="Geenafstand1"/>
        <w:spacing w:line="240" w:lineRule="atLeast"/>
        <w:rPr>
          <w:rFonts w:ascii="Calibri" w:hAnsi="Calibri" w:cs="Calibri"/>
          <w:sz w:val="22"/>
          <w:lang w:val="nl-NL"/>
        </w:rPr>
      </w:pPr>
    </w:p>
    <w:p w:rsidRPr="00CE46B7" w:rsidR="00DD5FF5" w:rsidP="00DD5FF5" w:rsidRDefault="00DD5FF5" w14:paraId="212599D0" w14:textId="77777777">
      <w:pPr>
        <w:pStyle w:val="Geenafstand1"/>
        <w:spacing w:line="240" w:lineRule="atLeast"/>
        <w:rPr>
          <w:rFonts w:ascii="Calibri" w:hAnsi="Calibri" w:cs="Calibri"/>
          <w:sz w:val="22"/>
          <w:lang w:val="nl-NL"/>
        </w:rPr>
      </w:pPr>
      <w:r w:rsidRPr="00CE46B7">
        <w:rPr>
          <w:rFonts w:ascii="Calibri" w:hAnsi="Calibri" w:cs="Calibri"/>
          <w:sz w:val="22"/>
          <w:lang w:val="nl-NL"/>
        </w:rPr>
        <w:t xml:space="preserve">Een concreet voorbeeld hiervan is de gezamenlijke inzet van Foodvalley NL en Invest-NL om opschalingsstrategieën voor de alternatieve eiwitsector in kaart te brengen. Deze sector staat aan de vooravond van een sterke groeifase en wordt in 2030 geschat op een marktwaarde van ruim €10 miljard. Startups en scale-ups stuiten echter op belemmeringen bij het opschalen van hun activiteiten. De studie </w:t>
      </w:r>
      <w:r w:rsidRPr="00CE46B7">
        <w:rPr>
          <w:rFonts w:ascii="Calibri" w:hAnsi="Calibri" w:cs="Calibri"/>
          <w:sz w:val="22"/>
          <w:lang w:val="nl-NL"/>
        </w:rPr>
        <w:lastRenderedPageBreak/>
        <w:t xml:space="preserve">identificeert deze knelpunten en doet aanbevelingen voor een robuust ecosysteem, waaronder betere toegang tot gedeelde faciliteiten. </w:t>
      </w:r>
    </w:p>
    <w:p w:rsidRPr="00CE46B7" w:rsidR="00DD5FF5" w:rsidP="00DD5FF5" w:rsidRDefault="00DD5FF5" w14:paraId="3A8A7623" w14:textId="77777777">
      <w:pPr>
        <w:pStyle w:val="Geenafstand1"/>
        <w:spacing w:line="240" w:lineRule="atLeast"/>
        <w:rPr>
          <w:rFonts w:ascii="Calibri" w:hAnsi="Calibri" w:cs="Calibri"/>
          <w:sz w:val="22"/>
          <w:lang w:val="nl-NL"/>
        </w:rPr>
      </w:pPr>
      <w:r w:rsidRPr="00CE46B7">
        <w:rPr>
          <w:rFonts w:ascii="Calibri" w:hAnsi="Calibri" w:cs="Calibri"/>
          <w:sz w:val="22"/>
          <w:lang w:val="nl-NL"/>
        </w:rPr>
        <w:t xml:space="preserve">Vanuit het opgebouwde netwerk en de kennispositie in deze sector investeerde Invest-NL onder meer in Protix, producent van insectenproteïnen als alternatief voor dierlijke eiwitten. Deze investering draagt direct bij aan de eiwittransitie en versterkt de innovatieve slagkracht van de sector. Ook verstrekte Invest-NL financiering aan Meatable, een pionier in gekweekt vlees, dat met zijn technologie inzet op vleesproductie zonder dierenleed en met minimale ecologische impact – een belangrijke stap richting duurzamere vleesconsumptie. </w:t>
      </w:r>
    </w:p>
    <w:p w:rsidRPr="00CE46B7" w:rsidR="00DD5FF5" w:rsidP="00DD5FF5" w:rsidRDefault="00DD5FF5" w14:paraId="6CE2F1AE" w14:textId="77777777">
      <w:pPr>
        <w:pStyle w:val="Geenafstand1"/>
        <w:spacing w:line="240" w:lineRule="atLeast"/>
        <w:rPr>
          <w:rFonts w:ascii="Calibri" w:hAnsi="Calibri" w:cs="Calibri"/>
          <w:sz w:val="22"/>
          <w:lang w:val="nl-NL"/>
        </w:rPr>
      </w:pPr>
      <w:r w:rsidRPr="00CE46B7">
        <w:rPr>
          <w:rFonts w:ascii="Calibri" w:hAnsi="Calibri" w:cs="Calibri"/>
          <w:sz w:val="22"/>
          <w:lang w:val="nl-NL"/>
        </w:rPr>
        <w:t>Eerder publiceerde Invest-NL een vergelijkbare studie over groene chemie, gericht op versnelling van opschaling en marktontwikkeling. Ter vervolg wordt momenteel een Financieringstafel voorbereid, waarin beleidsmakers en financiële partijen samenwerking aan nieuw financieringsoplossingen voor bedrijven in deze sector.</w:t>
      </w:r>
    </w:p>
    <w:p w:rsidRPr="00CE46B7" w:rsidR="00DD5FF5" w:rsidP="00DD5FF5" w:rsidRDefault="00DD5FF5" w14:paraId="595E9FAA" w14:textId="77777777">
      <w:pPr>
        <w:pStyle w:val="Geenafstand"/>
        <w:spacing w:line="240" w:lineRule="atLeast"/>
        <w:rPr>
          <w:rFonts w:ascii="Calibri" w:hAnsi="Calibri" w:cs="Calibri"/>
          <w:sz w:val="22"/>
          <w:szCs w:val="22"/>
        </w:rPr>
      </w:pPr>
    </w:p>
    <w:p w:rsidRPr="00CE46B7" w:rsidR="00DD5FF5" w:rsidP="00DD5FF5" w:rsidRDefault="00DD5FF5" w14:paraId="1E20158D" w14:textId="77777777">
      <w:pPr>
        <w:pStyle w:val="Geenafstand"/>
        <w:spacing w:line="240" w:lineRule="atLeast"/>
        <w:rPr>
          <w:rFonts w:ascii="Calibri" w:hAnsi="Calibri" w:cs="Calibri"/>
          <w:sz w:val="22"/>
          <w:szCs w:val="22"/>
        </w:rPr>
      </w:pPr>
      <w:bookmarkStart w:name="OLE_LINK62" w:id="18"/>
      <w:bookmarkStart w:name="OLE_LINK64" w:id="19"/>
      <w:r w:rsidRPr="00CE46B7">
        <w:rPr>
          <w:rFonts w:ascii="Calibri" w:hAnsi="Calibri" w:cs="Calibri"/>
          <w:sz w:val="22"/>
          <w:szCs w:val="22"/>
        </w:rPr>
        <w:t xml:space="preserve">In 2024 is de positionering van de ontwikkeltaak van Invest-NL verder aangescherpt. Waar propositiebegeleiding voorheen als een afzonderlijke categorie werd beschouwd, is deze in 2024 geïntegreerd in de bredere marktontwikkelingsaanpak. Hierdoor is het aantal geregistreerde marktontwikkelingsactiviteiten in 2024 aanzienlijk hoger dan in voorgaande jaren. </w:t>
      </w:r>
      <w:bookmarkEnd w:id="18"/>
      <w:r w:rsidRPr="00CE46B7">
        <w:rPr>
          <w:rFonts w:ascii="Calibri" w:hAnsi="Calibri" w:cs="Calibri"/>
          <w:sz w:val="22"/>
          <w:szCs w:val="22"/>
        </w:rPr>
        <w:t>Met de integratie beoogt men een meer coherente en herkenbare portfolio van samenhangende projecten te creëren die bijdragen aan de transitieopgaven.</w:t>
      </w:r>
    </w:p>
    <w:p w:rsidRPr="00CE46B7" w:rsidR="00DD5FF5" w:rsidP="00DD5FF5" w:rsidRDefault="00DD5FF5" w14:paraId="4FE77F10" w14:textId="77777777">
      <w:pPr>
        <w:pStyle w:val="Geenafstand"/>
        <w:spacing w:line="240" w:lineRule="atLeast"/>
        <w:rPr>
          <w:rFonts w:ascii="Calibri" w:hAnsi="Calibri" w:cs="Calibri"/>
          <w:sz w:val="22"/>
          <w:szCs w:val="22"/>
        </w:rPr>
      </w:pPr>
    </w:p>
    <w:p w:rsidRPr="00CE46B7" w:rsidR="00DD5FF5" w:rsidP="00DD5FF5" w:rsidRDefault="00DD5FF5" w14:paraId="7F027588" w14:textId="77777777">
      <w:pPr>
        <w:pStyle w:val="Geenafstand"/>
        <w:spacing w:line="240" w:lineRule="atLeast"/>
        <w:rPr>
          <w:rFonts w:ascii="Calibri" w:hAnsi="Calibri" w:cs="Calibri"/>
          <w:sz w:val="22"/>
          <w:szCs w:val="22"/>
        </w:rPr>
      </w:pPr>
      <w:r w:rsidRPr="00CE46B7">
        <w:rPr>
          <w:rFonts w:ascii="Calibri" w:hAnsi="Calibri" w:cs="Calibri"/>
          <w:sz w:val="22"/>
          <w:szCs w:val="22"/>
        </w:rPr>
        <w:t xml:space="preserve">Wanneer blijkt dat financieringsbarrières niet (uitsluitend) via marktontwikkeling kunnen worden opgelost en er sprake is van een gebrek aan financiering in de markt (marktfalen), ontwikkelt Invest-NL Business Development (ook) financiële instrumenten. </w:t>
      </w:r>
      <w:bookmarkStart w:name="OLE_LINK30" w:id="20"/>
      <w:r w:rsidRPr="00CE46B7">
        <w:rPr>
          <w:rFonts w:ascii="Calibri" w:hAnsi="Calibri" w:cs="Calibri"/>
          <w:sz w:val="22"/>
          <w:szCs w:val="22"/>
        </w:rPr>
        <w:t xml:space="preserve">Dit is gericht op het verbeteren van de toegang tot financiering via marktpartijen, met als doel het financieringslandschap aan te vullen, (buitenlandse) investeerders aan te trekken en – in samenwerking met (publieke) partners – fondsen en fondsstructuren te ontwikkelen. </w:t>
      </w:r>
    </w:p>
    <w:p w:rsidRPr="00CE46B7" w:rsidR="00DD5FF5" w:rsidP="00DD5FF5" w:rsidRDefault="00DD5FF5" w14:paraId="1C63D1C1" w14:textId="77777777">
      <w:pPr>
        <w:pStyle w:val="Geenafstand"/>
        <w:spacing w:line="240" w:lineRule="atLeast"/>
        <w:rPr>
          <w:rFonts w:ascii="Calibri" w:hAnsi="Calibri" w:cs="Calibri"/>
          <w:sz w:val="22"/>
          <w:szCs w:val="22"/>
        </w:rPr>
      </w:pPr>
    </w:p>
    <w:p w:rsidRPr="00CE46B7" w:rsidR="00DD5FF5" w:rsidP="00DD5FF5" w:rsidRDefault="00DD5FF5" w14:paraId="3C728998" w14:textId="77777777">
      <w:pPr>
        <w:pStyle w:val="Geenafstand"/>
        <w:spacing w:line="240" w:lineRule="atLeast"/>
        <w:rPr>
          <w:rFonts w:ascii="Calibri" w:hAnsi="Calibri" w:eastAsia="Verdana" w:cs="Calibri"/>
          <w:sz w:val="22"/>
          <w:szCs w:val="22"/>
        </w:rPr>
      </w:pPr>
      <w:r w:rsidRPr="00CE46B7">
        <w:rPr>
          <w:rFonts w:ascii="Calibri" w:hAnsi="Calibri" w:cs="Calibri"/>
          <w:sz w:val="22"/>
          <w:szCs w:val="22"/>
        </w:rPr>
        <w:t xml:space="preserve">In tabel 3 is een gedetailleerder overzicht opgenomen van de Business Development projecten in 2024. </w:t>
      </w:r>
      <w:bookmarkStart w:name="OLE_LINK77" w:id="21"/>
      <w:r w:rsidRPr="00CE46B7">
        <w:rPr>
          <w:rFonts w:ascii="Calibri" w:hAnsi="Calibri" w:cs="Calibri"/>
          <w:sz w:val="22"/>
          <w:szCs w:val="22"/>
        </w:rPr>
        <w:t xml:space="preserve">Toelichting op deze projecten is te </w:t>
      </w:r>
      <w:r w:rsidRPr="00CE46B7">
        <w:rPr>
          <w:rFonts w:ascii="Calibri" w:hAnsi="Calibri" w:eastAsia="Verdana" w:cs="Calibri"/>
          <w:sz w:val="22"/>
          <w:szCs w:val="22"/>
        </w:rPr>
        <w:t xml:space="preserve">vinden in het Voortgangsverslag 2024 van Invest-NL. </w:t>
      </w:r>
    </w:p>
    <w:bookmarkEnd w:id="19"/>
    <w:bookmarkEnd w:id="20"/>
    <w:bookmarkEnd w:id="21"/>
    <w:p w:rsidRPr="00CE46B7" w:rsidR="00DD5FF5" w:rsidP="00DD5FF5" w:rsidRDefault="00DD5FF5" w14:paraId="111553B4" w14:textId="77777777">
      <w:pPr>
        <w:rPr>
          <w:rFonts w:ascii="Calibri" w:hAnsi="Calibri" w:cs="Calibri"/>
        </w:rPr>
      </w:pPr>
    </w:p>
    <w:p w:rsidRPr="00CE46B7" w:rsidR="00DD5FF5" w:rsidP="00DD5FF5" w:rsidRDefault="00DD5FF5" w14:paraId="72C86A70" w14:textId="77777777">
      <w:pPr>
        <w:rPr>
          <w:rFonts w:ascii="Calibri" w:hAnsi="Calibri" w:eastAsia="Verdana" w:cs="Calibri"/>
          <w:b/>
          <w:bCs/>
          <w:lang w:val="en-US"/>
        </w:rPr>
      </w:pPr>
      <w:r w:rsidRPr="00CE46B7">
        <w:rPr>
          <w:rFonts w:ascii="Calibri" w:hAnsi="Calibri" w:eastAsia="Verdana" w:cs="Calibri"/>
          <w:b/>
          <w:bCs/>
          <w:lang w:val="en-US"/>
        </w:rPr>
        <w:t>Tabel 3 – Projecten Business Development ultimo 2024</w:t>
      </w:r>
    </w:p>
    <w:p w:rsidRPr="00CE46B7" w:rsidR="00DD5FF5" w:rsidP="00DD5FF5" w:rsidRDefault="00DD5FF5" w14:paraId="0DA83038" w14:textId="77777777">
      <w:pPr>
        <w:rPr>
          <w:rFonts w:ascii="Calibri" w:hAnsi="Calibri" w:eastAsia="Verdana" w:cs="Calibri"/>
          <w:b/>
          <w:bCs/>
          <w:lang w:val="en-US"/>
        </w:rPr>
      </w:pPr>
    </w:p>
    <w:tbl>
      <w:tblPr>
        <w:tblStyle w:val="Tabelraster"/>
        <w:tblW w:w="8080" w:type="dxa"/>
        <w:tblLayout w:type="fixed"/>
        <w:tblLook w:val="06A0" w:firstRow="1" w:lastRow="0" w:firstColumn="1" w:lastColumn="0" w:noHBand="1" w:noVBand="1"/>
      </w:tblPr>
      <w:tblGrid>
        <w:gridCol w:w="2127"/>
        <w:gridCol w:w="5953"/>
      </w:tblGrid>
      <w:tr w:rsidRPr="00CE46B7" w:rsidR="00DD5FF5" w:rsidTr="00CE46B7" w14:paraId="570BB3C2" w14:textId="77777777">
        <w:trPr>
          <w:trHeight w:val="300"/>
        </w:trPr>
        <w:tc>
          <w:tcPr>
            <w:tcW w:w="2127" w:type="dxa"/>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084E8C9E" w14:textId="77777777">
            <w:pPr>
              <w:rPr>
                <w:rFonts w:ascii="Calibri" w:hAnsi="Calibri" w:cs="Calibri"/>
                <w:sz w:val="22"/>
                <w:szCs w:val="22"/>
              </w:rPr>
            </w:pPr>
            <w:r w:rsidRPr="00CE46B7">
              <w:rPr>
                <w:rFonts w:ascii="Calibri" w:hAnsi="Calibri" w:eastAsia="Calibri" w:cs="Calibri"/>
                <w:b/>
                <w:bCs/>
                <w:sz w:val="22"/>
                <w:szCs w:val="22"/>
              </w:rPr>
              <w:t>Categorie</w:t>
            </w:r>
          </w:p>
        </w:tc>
        <w:tc>
          <w:tcPr>
            <w:tcW w:w="5953" w:type="dxa"/>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48754CAF" w14:textId="77777777">
            <w:pPr>
              <w:rPr>
                <w:rFonts w:ascii="Calibri" w:hAnsi="Calibri" w:cs="Calibri"/>
                <w:sz w:val="22"/>
                <w:szCs w:val="22"/>
              </w:rPr>
            </w:pPr>
            <w:r w:rsidRPr="00CE46B7">
              <w:rPr>
                <w:rFonts w:ascii="Calibri" w:hAnsi="Calibri" w:eastAsia="Calibri" w:cs="Calibri"/>
                <w:b/>
                <w:bCs/>
                <w:sz w:val="22"/>
                <w:szCs w:val="22"/>
              </w:rPr>
              <w:t>Naam project</w:t>
            </w:r>
          </w:p>
        </w:tc>
      </w:tr>
      <w:tr w:rsidRPr="00CE46B7" w:rsidR="00DD5FF5" w:rsidTr="00CE46B7" w14:paraId="2967DFDC" w14:textId="77777777">
        <w:trPr>
          <w:trHeight w:val="300"/>
        </w:trPr>
        <w:tc>
          <w:tcPr>
            <w:tcW w:w="2127" w:type="dxa"/>
            <w:tcBorders>
              <w:top w:val="single" w:color="7F7F7F" w:themeColor="text1" w:themeTint="80" w:sz="8" w:space="0"/>
              <w:left w:val="nil"/>
              <w:bottom w:val="nil"/>
              <w:right w:val="nil"/>
            </w:tcBorders>
            <w:hideMark/>
          </w:tcPr>
          <w:p w:rsidRPr="00CE46B7" w:rsidR="00DD5FF5" w:rsidP="006505BE" w:rsidRDefault="00DD5FF5" w14:paraId="76FBFFAD" w14:textId="77777777">
            <w:pPr>
              <w:rPr>
                <w:rFonts w:ascii="Calibri" w:hAnsi="Calibri" w:cs="Calibri"/>
                <w:sz w:val="22"/>
                <w:szCs w:val="22"/>
              </w:rPr>
            </w:pPr>
            <w:r w:rsidRPr="00CE46B7">
              <w:rPr>
                <w:rFonts w:ascii="Calibri" w:hAnsi="Calibri" w:eastAsia="Calibri" w:cs="Calibri"/>
                <w:b/>
                <w:bCs/>
                <w:i/>
                <w:iCs/>
                <w:sz w:val="22"/>
                <w:szCs w:val="22"/>
              </w:rPr>
              <w:t>Financiële instrumenten</w:t>
            </w:r>
          </w:p>
        </w:tc>
        <w:tc>
          <w:tcPr>
            <w:tcW w:w="5953" w:type="dxa"/>
            <w:tcBorders>
              <w:top w:val="single" w:color="7F7F7F" w:themeColor="text1" w:themeTint="80" w:sz="8" w:space="0"/>
              <w:left w:val="nil"/>
              <w:bottom w:val="nil"/>
              <w:right w:val="nil"/>
            </w:tcBorders>
            <w:hideMark/>
          </w:tcPr>
          <w:p w:rsidRPr="00CE46B7" w:rsidR="00DD5FF5" w:rsidP="006505BE" w:rsidRDefault="00DD5FF5" w14:paraId="3C8C86C2" w14:textId="77777777">
            <w:pPr>
              <w:rPr>
                <w:rFonts w:ascii="Calibri" w:hAnsi="Calibri" w:eastAsia="Calibri" w:cs="Calibri"/>
                <w:i/>
                <w:iCs/>
                <w:sz w:val="22"/>
                <w:szCs w:val="22"/>
                <w:lang w:val="nl-NL"/>
              </w:rPr>
            </w:pPr>
            <w:r w:rsidRPr="00CE46B7">
              <w:rPr>
                <w:rFonts w:ascii="Calibri" w:hAnsi="Calibri" w:eastAsia="Calibri" w:cs="Calibri"/>
                <w:i/>
                <w:iCs/>
                <w:sz w:val="22"/>
                <w:szCs w:val="22"/>
                <w:lang w:val="nl-NL"/>
              </w:rPr>
              <w:t>- Energiebesparende Maatregelen MKB</w:t>
            </w:r>
          </w:p>
          <w:p w:rsidRPr="00CE46B7" w:rsidR="00DD5FF5" w:rsidP="006505BE" w:rsidRDefault="00DD5FF5" w14:paraId="761AA481" w14:textId="77777777">
            <w:pPr>
              <w:rPr>
                <w:rFonts w:ascii="Calibri" w:hAnsi="Calibri" w:eastAsia="Calibri" w:cs="Calibri"/>
                <w:i/>
                <w:iCs/>
                <w:sz w:val="22"/>
                <w:szCs w:val="22"/>
                <w:lang w:val="nl-NL"/>
              </w:rPr>
            </w:pPr>
            <w:r w:rsidRPr="00CE46B7">
              <w:rPr>
                <w:rFonts w:ascii="Calibri" w:hAnsi="Calibri" w:eastAsia="Calibri" w:cs="Calibri"/>
                <w:i/>
                <w:iCs/>
                <w:sz w:val="22"/>
                <w:szCs w:val="22"/>
                <w:lang w:val="nl-NL"/>
              </w:rPr>
              <w:t>- Energiebesparingsfonds mkb</w:t>
            </w:r>
          </w:p>
          <w:p w:rsidRPr="00CE46B7" w:rsidR="00DD5FF5" w:rsidP="006505BE" w:rsidRDefault="00DD5FF5" w14:paraId="7725D582" w14:textId="77777777">
            <w:pPr>
              <w:rPr>
                <w:rFonts w:ascii="Calibri" w:hAnsi="Calibri" w:eastAsia="Calibri" w:cs="Calibri"/>
                <w:i/>
                <w:iCs/>
                <w:sz w:val="22"/>
                <w:szCs w:val="22"/>
                <w:lang w:val="nl-NL"/>
              </w:rPr>
            </w:pPr>
            <w:r w:rsidRPr="00CE46B7">
              <w:rPr>
                <w:rFonts w:ascii="Calibri" w:hAnsi="Calibri" w:eastAsia="Calibri" w:cs="Calibri"/>
                <w:i/>
                <w:iCs/>
                <w:sz w:val="22"/>
                <w:szCs w:val="22"/>
                <w:lang w:val="nl-NL"/>
              </w:rPr>
              <w:t>- Tijdelijke Huisvesting | Circulaire restwaarde</w:t>
            </w:r>
          </w:p>
          <w:p w:rsidRPr="00CE46B7" w:rsidR="00DD5FF5" w:rsidP="006505BE" w:rsidRDefault="00DD5FF5" w14:paraId="017CC4C1" w14:textId="77777777">
            <w:pPr>
              <w:rPr>
                <w:rFonts w:ascii="Calibri" w:hAnsi="Calibri" w:eastAsia="Calibri" w:cs="Calibri"/>
                <w:i/>
                <w:iCs/>
                <w:sz w:val="22"/>
                <w:szCs w:val="22"/>
                <w:lang w:val="nl-NL"/>
              </w:rPr>
            </w:pPr>
            <w:r w:rsidRPr="00CE46B7">
              <w:rPr>
                <w:rFonts w:ascii="Calibri" w:hAnsi="Calibri" w:eastAsia="Calibri" w:cs="Calibri"/>
                <w:i/>
                <w:iCs/>
                <w:sz w:val="22"/>
                <w:szCs w:val="22"/>
                <w:lang w:val="nl-NL"/>
              </w:rPr>
              <w:t>- Warmtefonds (voorheen WFFS)</w:t>
            </w:r>
          </w:p>
          <w:p w:rsidRPr="00CE46B7" w:rsidR="00DD5FF5" w:rsidP="006505BE" w:rsidRDefault="00DD5FF5" w14:paraId="2A94E294" w14:textId="77777777">
            <w:pPr>
              <w:rPr>
                <w:rFonts w:ascii="Calibri" w:hAnsi="Calibri" w:eastAsia="Calibri" w:cs="Calibri"/>
                <w:i/>
                <w:iCs/>
                <w:sz w:val="22"/>
                <w:szCs w:val="22"/>
                <w:lang w:val="nl-NL"/>
              </w:rPr>
            </w:pPr>
            <w:r w:rsidRPr="00CE46B7">
              <w:rPr>
                <w:rFonts w:ascii="Calibri" w:hAnsi="Calibri" w:eastAsia="Calibri" w:cs="Calibri"/>
                <w:i/>
                <w:iCs/>
                <w:sz w:val="22"/>
                <w:szCs w:val="22"/>
                <w:lang w:val="nl-NL"/>
              </w:rPr>
              <w:t>- Carbon Credits in de Businesscase</w:t>
            </w:r>
          </w:p>
          <w:p w:rsidRPr="00CE46B7" w:rsidR="00DD5FF5" w:rsidP="006505BE" w:rsidRDefault="00DD5FF5" w14:paraId="2CC4FFAA" w14:textId="77777777">
            <w:pPr>
              <w:rPr>
                <w:rFonts w:ascii="Calibri" w:hAnsi="Calibri" w:eastAsia="Calibri" w:cs="Calibri"/>
                <w:i/>
                <w:iCs/>
                <w:sz w:val="22"/>
                <w:szCs w:val="22"/>
                <w:lang w:val="nl-NL"/>
              </w:rPr>
            </w:pPr>
            <w:r w:rsidRPr="00CE46B7">
              <w:rPr>
                <w:rFonts w:ascii="Calibri" w:hAnsi="Calibri" w:eastAsia="Calibri" w:cs="Calibri"/>
                <w:i/>
                <w:iCs/>
                <w:sz w:val="22"/>
                <w:szCs w:val="22"/>
                <w:lang w:val="nl-NL"/>
              </w:rPr>
              <w:t>- GelijkGezond</w:t>
            </w:r>
          </w:p>
          <w:p w:rsidRPr="00CE46B7" w:rsidR="00DD5FF5" w:rsidP="006505BE" w:rsidRDefault="00DD5FF5" w14:paraId="1C90EF12" w14:textId="77777777">
            <w:pPr>
              <w:rPr>
                <w:rFonts w:ascii="Calibri" w:hAnsi="Calibri" w:eastAsia="Calibri" w:cs="Calibri"/>
                <w:i/>
                <w:iCs/>
                <w:sz w:val="22"/>
                <w:szCs w:val="22"/>
                <w:lang w:val="nl-NL"/>
              </w:rPr>
            </w:pPr>
            <w:r w:rsidRPr="00CE46B7">
              <w:rPr>
                <w:rFonts w:ascii="Calibri" w:hAnsi="Calibri" w:eastAsia="Calibri" w:cs="Calibri"/>
                <w:i/>
                <w:iCs/>
                <w:sz w:val="22"/>
                <w:szCs w:val="22"/>
                <w:lang w:val="nl-NL"/>
              </w:rPr>
              <w:t>- Nationaal Groeifonds – ronde 3</w:t>
            </w:r>
          </w:p>
          <w:p w:rsidRPr="00CE46B7" w:rsidR="00DD5FF5" w:rsidP="006505BE" w:rsidRDefault="00DD5FF5" w14:paraId="7F303A3F" w14:textId="77777777">
            <w:pPr>
              <w:rPr>
                <w:rFonts w:ascii="Calibri" w:hAnsi="Calibri" w:eastAsia="Calibri" w:cs="Calibri"/>
                <w:i/>
                <w:iCs/>
                <w:sz w:val="22"/>
                <w:szCs w:val="22"/>
                <w:lang w:val="nl-NL"/>
              </w:rPr>
            </w:pPr>
            <w:r w:rsidRPr="00CE46B7">
              <w:rPr>
                <w:rFonts w:ascii="Calibri" w:hAnsi="Calibri" w:eastAsia="Calibri" w:cs="Calibri"/>
                <w:i/>
                <w:iCs/>
                <w:sz w:val="22"/>
                <w:szCs w:val="22"/>
                <w:lang w:val="nl-NL"/>
              </w:rPr>
              <w:t>- Ontwikkeling Beschermingsvoorziening Economische Veiligheid</w:t>
            </w:r>
          </w:p>
          <w:p w:rsidRPr="00CE46B7" w:rsidR="00DD5FF5" w:rsidP="006505BE" w:rsidRDefault="00DD5FF5" w14:paraId="78378DFD" w14:textId="77777777">
            <w:pPr>
              <w:rPr>
                <w:rFonts w:ascii="Calibri" w:hAnsi="Calibri" w:eastAsia="Calibri" w:cs="Calibri"/>
                <w:i/>
                <w:iCs/>
                <w:sz w:val="22"/>
                <w:szCs w:val="22"/>
                <w:lang w:val="nl-NL"/>
              </w:rPr>
            </w:pPr>
            <w:r w:rsidRPr="00CE46B7">
              <w:rPr>
                <w:rFonts w:ascii="Calibri" w:hAnsi="Calibri" w:eastAsia="Calibri" w:cs="Calibri"/>
                <w:i/>
                <w:iCs/>
                <w:sz w:val="22"/>
                <w:szCs w:val="22"/>
                <w:lang w:val="nl-NL"/>
              </w:rPr>
              <w:t>- EIF Sustainability Portfolio Guarantee aanvraag</w:t>
            </w:r>
          </w:p>
          <w:p w:rsidRPr="00CE46B7" w:rsidR="00DD5FF5" w:rsidP="006505BE" w:rsidRDefault="00DD5FF5" w14:paraId="064F1854" w14:textId="77777777">
            <w:pPr>
              <w:rPr>
                <w:rFonts w:ascii="Calibri" w:hAnsi="Calibri" w:eastAsia="Calibri" w:cs="Calibri"/>
                <w:i/>
                <w:iCs/>
                <w:sz w:val="22"/>
                <w:szCs w:val="22"/>
                <w:lang w:val="nl-NL"/>
              </w:rPr>
            </w:pPr>
            <w:r w:rsidRPr="00CE46B7">
              <w:rPr>
                <w:rFonts w:ascii="Calibri" w:hAnsi="Calibri" w:eastAsia="Calibri" w:cs="Calibri"/>
                <w:i/>
                <w:iCs/>
                <w:sz w:val="22"/>
                <w:szCs w:val="22"/>
                <w:lang w:val="nl-NL"/>
              </w:rPr>
              <w:lastRenderedPageBreak/>
              <w:t>- Haalbaarheidsverkenning InvestEU Advisory Hub</w:t>
            </w:r>
          </w:p>
          <w:p w:rsidRPr="00CE46B7" w:rsidR="00DD5FF5" w:rsidP="006505BE" w:rsidRDefault="00DD5FF5" w14:paraId="2364F3E8" w14:textId="77777777">
            <w:pPr>
              <w:rPr>
                <w:rFonts w:ascii="Calibri" w:hAnsi="Calibri" w:cs="Calibri"/>
                <w:sz w:val="22"/>
                <w:szCs w:val="22"/>
              </w:rPr>
            </w:pPr>
            <w:r w:rsidRPr="00CE46B7">
              <w:rPr>
                <w:rFonts w:ascii="Calibri" w:hAnsi="Calibri" w:eastAsia="Calibri" w:cs="Calibri"/>
                <w:i/>
                <w:iCs/>
                <w:sz w:val="22"/>
                <w:szCs w:val="22"/>
              </w:rPr>
              <w:t>- NESEC fonds</w:t>
            </w:r>
          </w:p>
          <w:p w:rsidRPr="00CE46B7" w:rsidR="00DD5FF5" w:rsidP="006505BE" w:rsidRDefault="00DD5FF5" w14:paraId="72EDD741" w14:textId="77777777">
            <w:pPr>
              <w:rPr>
                <w:rFonts w:ascii="Calibri" w:hAnsi="Calibri" w:eastAsia="Calibri" w:cs="Calibri"/>
                <w:i/>
                <w:iCs/>
                <w:sz w:val="22"/>
                <w:szCs w:val="22"/>
              </w:rPr>
            </w:pPr>
          </w:p>
        </w:tc>
      </w:tr>
      <w:tr w:rsidRPr="00CE46B7" w:rsidR="00DD5FF5" w:rsidTr="00CE46B7" w14:paraId="125F7FAA" w14:textId="77777777">
        <w:trPr>
          <w:trHeight w:val="300"/>
        </w:trPr>
        <w:tc>
          <w:tcPr>
            <w:tcW w:w="2127" w:type="dxa"/>
            <w:tcBorders>
              <w:top w:val="nil"/>
              <w:left w:val="nil"/>
              <w:bottom w:val="nil"/>
              <w:right w:val="nil"/>
            </w:tcBorders>
            <w:hideMark/>
          </w:tcPr>
          <w:p w:rsidRPr="00CE46B7" w:rsidR="00DD5FF5" w:rsidP="006505BE" w:rsidRDefault="00DD5FF5" w14:paraId="1103CF85" w14:textId="77777777">
            <w:pPr>
              <w:rPr>
                <w:rFonts w:ascii="Calibri" w:hAnsi="Calibri" w:cs="Calibri" w:eastAsiaTheme="minorHAnsi"/>
                <w:sz w:val="22"/>
                <w:szCs w:val="22"/>
              </w:rPr>
            </w:pPr>
            <w:r w:rsidRPr="00CE46B7">
              <w:rPr>
                <w:rFonts w:ascii="Calibri" w:hAnsi="Calibri" w:eastAsia="Calibri" w:cs="Calibri"/>
                <w:b/>
                <w:bCs/>
                <w:i/>
                <w:iCs/>
                <w:sz w:val="22"/>
                <w:szCs w:val="22"/>
              </w:rPr>
              <w:lastRenderedPageBreak/>
              <w:t>Marktontwikkeling</w:t>
            </w:r>
          </w:p>
        </w:tc>
        <w:tc>
          <w:tcPr>
            <w:tcW w:w="5953" w:type="dxa"/>
            <w:tcBorders>
              <w:top w:val="nil"/>
              <w:left w:val="nil"/>
              <w:bottom w:val="nil"/>
              <w:right w:val="nil"/>
            </w:tcBorders>
            <w:hideMark/>
          </w:tcPr>
          <w:p w:rsidRPr="00CE46B7" w:rsidR="00DD5FF5" w:rsidP="006505BE" w:rsidRDefault="00DD5FF5" w14:paraId="5A3CD790" w14:textId="77777777">
            <w:pPr>
              <w:pStyle w:val="Geenafstand1"/>
              <w:spacing w:line="240" w:lineRule="atLeast"/>
              <w:rPr>
                <w:rFonts w:ascii="Calibri" w:hAnsi="Calibri" w:cs="Calibri"/>
                <w:color w:val="000000"/>
                <w:sz w:val="22"/>
                <w:szCs w:val="22"/>
                <w:lang w:val="nl-NL"/>
              </w:rPr>
            </w:pPr>
            <w:r w:rsidRPr="00CE46B7">
              <w:rPr>
                <w:rFonts w:ascii="Calibri" w:hAnsi="Calibri" w:cs="Calibri"/>
                <w:sz w:val="22"/>
                <w:szCs w:val="22"/>
              </w:rPr>
              <w:t xml:space="preserve">- </w:t>
            </w:r>
            <w:r w:rsidRPr="00CE46B7">
              <w:rPr>
                <w:rFonts w:ascii="Calibri" w:hAnsi="Calibri" w:cs="Calibri"/>
                <w:color w:val="000000"/>
                <w:sz w:val="22"/>
                <w:szCs w:val="22"/>
                <w:lang w:val="nl-NL"/>
              </w:rPr>
              <w:t>Autarkische Natte Infra</w:t>
            </w:r>
          </w:p>
          <w:p w:rsidRPr="00CE46B7" w:rsidR="00DD5FF5" w:rsidP="006505BE" w:rsidRDefault="00DD5FF5" w14:paraId="6B269CA1"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Cellcius</w:t>
            </w:r>
          </w:p>
          <w:p w:rsidRPr="00CE46B7" w:rsidR="00DD5FF5" w:rsidP="006505BE" w:rsidRDefault="00DD5FF5" w14:paraId="4353CD37"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Deelname beoordelingscommissie Systeem-integratie Ijmuiden Ver Bèta</w:t>
            </w:r>
          </w:p>
          <w:p w:rsidRPr="00CE46B7" w:rsidR="00DD5FF5" w:rsidP="006505BE" w:rsidRDefault="00DD5FF5" w14:paraId="00F49339"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EBN Geothermie</w:t>
            </w:r>
          </w:p>
          <w:p w:rsidRPr="00CE46B7" w:rsidR="00DD5FF5" w:rsidP="006505BE" w:rsidRDefault="00DD5FF5" w14:paraId="41C095D3"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xml:space="preserve">- Elektriciteit uit water </w:t>
            </w:r>
          </w:p>
          <w:p w:rsidRPr="00CE46B7" w:rsidR="00DD5FF5" w:rsidP="006505BE" w:rsidRDefault="00DD5FF5" w14:paraId="14408843"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H2 Trading Hub</w:t>
            </w:r>
          </w:p>
          <w:p w:rsidRPr="00CE46B7" w:rsidR="00DD5FF5" w:rsidP="006505BE" w:rsidRDefault="00DD5FF5" w14:paraId="0AB831A8"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JTM aanvraag Nederland (grootschalige warmteprojecten)</w:t>
            </w:r>
          </w:p>
          <w:p w:rsidRPr="00CE46B7" w:rsidR="00DD5FF5" w:rsidP="006505BE" w:rsidRDefault="00DD5FF5" w14:paraId="5755C02A"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Onderzoek CE Delft – Versnellen warmtetransitie (economische inzichten)</w:t>
            </w:r>
          </w:p>
          <w:p w:rsidRPr="00CE46B7" w:rsidR="00DD5FF5" w:rsidP="006505BE" w:rsidRDefault="00DD5FF5" w14:paraId="0FB9E5B3"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xml:space="preserve">- Project Duinwijck </w:t>
            </w:r>
          </w:p>
          <w:p w:rsidRPr="00CE46B7" w:rsidR="00DD5FF5" w:rsidP="006505BE" w:rsidRDefault="00DD5FF5" w14:paraId="69ADC0B8"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RAI</w:t>
            </w:r>
          </w:p>
          <w:p w:rsidRPr="00CE46B7" w:rsidR="00DD5FF5" w:rsidP="006505BE" w:rsidRDefault="00DD5FF5" w14:paraId="49C731A1"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Samenwerking EBN/RES RDH</w:t>
            </w:r>
          </w:p>
          <w:p w:rsidRPr="00CE46B7" w:rsidR="00DD5FF5" w:rsidP="006505BE" w:rsidRDefault="00DD5FF5" w14:paraId="79C7BEB5"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Solar maakindustrie Value Gap</w:t>
            </w:r>
          </w:p>
          <w:p w:rsidRPr="00CE46B7" w:rsidR="00DD5FF5" w:rsidP="006505BE" w:rsidRDefault="00DD5FF5" w14:paraId="7EEC220E"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Verduurzaming onderwijsvastgoed fase 3</w:t>
            </w:r>
          </w:p>
          <w:p w:rsidRPr="00CE46B7" w:rsidR="00DD5FF5" w:rsidP="006505BE" w:rsidRDefault="00DD5FF5" w14:paraId="43E3807A" w14:textId="77777777">
            <w:pPr>
              <w:pStyle w:val="Geenafstand1"/>
              <w:spacing w:line="240" w:lineRule="atLeast"/>
              <w:rPr>
                <w:rFonts w:ascii="Calibri" w:hAnsi="Calibri" w:cs="Calibri"/>
                <w:color w:val="000000"/>
                <w:sz w:val="22"/>
                <w:szCs w:val="22"/>
                <w:lang w:val="en-US"/>
              </w:rPr>
            </w:pPr>
            <w:r w:rsidRPr="00CE46B7">
              <w:rPr>
                <w:rFonts w:ascii="Calibri" w:hAnsi="Calibri" w:cs="Calibri"/>
                <w:color w:val="000000"/>
                <w:sz w:val="22"/>
                <w:szCs w:val="22"/>
                <w:lang w:val="en-US"/>
              </w:rPr>
              <w:t>- Circular by Design</w:t>
            </w:r>
          </w:p>
          <w:p w:rsidRPr="00CE46B7" w:rsidR="00DD5FF5" w:rsidP="006505BE" w:rsidRDefault="00DD5FF5" w14:paraId="09C498DF" w14:textId="77777777">
            <w:pPr>
              <w:pStyle w:val="Geenafstand1"/>
              <w:spacing w:line="240" w:lineRule="atLeast"/>
              <w:rPr>
                <w:rFonts w:ascii="Calibri" w:hAnsi="Calibri" w:cs="Calibri"/>
                <w:color w:val="000000"/>
                <w:sz w:val="22"/>
                <w:szCs w:val="22"/>
                <w:lang w:val="en-US"/>
              </w:rPr>
            </w:pPr>
            <w:r w:rsidRPr="00CE46B7">
              <w:rPr>
                <w:rFonts w:ascii="Calibri" w:hAnsi="Calibri" w:cs="Calibri"/>
                <w:color w:val="000000"/>
                <w:sz w:val="22"/>
                <w:szCs w:val="22"/>
                <w:lang w:val="en-US"/>
              </w:rPr>
              <w:t>- End-of-Waste</w:t>
            </w:r>
          </w:p>
          <w:p w:rsidRPr="00CE46B7" w:rsidR="00DD5FF5" w:rsidP="006505BE" w:rsidRDefault="00DD5FF5" w14:paraId="5629609A"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Fabriekloos BBC opschalen</w:t>
            </w:r>
          </w:p>
          <w:p w:rsidRPr="00CE46B7" w:rsidR="00DD5FF5" w:rsidP="006505BE" w:rsidRDefault="00DD5FF5" w14:paraId="0C6BD9A0"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xml:space="preserve">- GNCE CE Accelerator – Externe experts bedrijfsbegeleiding </w:t>
            </w:r>
          </w:p>
          <w:p w:rsidRPr="00CE46B7" w:rsidR="00DD5FF5" w:rsidP="006505BE" w:rsidRDefault="00DD5FF5" w14:paraId="20889543"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Groeifondsaanvragen Bio-CE 2/3</w:t>
            </w:r>
          </w:p>
          <w:p w:rsidRPr="00CE46B7" w:rsidR="00DD5FF5" w:rsidP="006505BE" w:rsidRDefault="00DD5FF5" w14:paraId="32D2DF6B"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xml:space="preserve">- JICE </w:t>
            </w:r>
          </w:p>
          <w:p w:rsidRPr="00CE46B7" w:rsidR="00DD5FF5" w:rsidP="006505BE" w:rsidRDefault="00DD5FF5" w14:paraId="5ED1C890"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Niaga / Auping</w:t>
            </w:r>
          </w:p>
          <w:p w:rsidRPr="00CE46B7" w:rsidR="00DD5FF5" w:rsidP="006505BE" w:rsidRDefault="00DD5FF5" w14:paraId="31081B19"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xml:space="preserve">- Ondersteuning industriële Bio-CE scaleup programma’s </w:t>
            </w:r>
          </w:p>
          <w:p w:rsidRPr="00CE46B7" w:rsidR="00DD5FF5" w:rsidP="006505BE" w:rsidRDefault="00DD5FF5" w14:paraId="1F045F4E"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Plastic Pact</w:t>
            </w:r>
          </w:p>
          <w:p w:rsidRPr="00CE46B7" w:rsidR="00DD5FF5" w:rsidP="006505BE" w:rsidRDefault="00DD5FF5" w14:paraId="05C90948"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Primer circulaire textielindustrie</w:t>
            </w:r>
          </w:p>
          <w:p w:rsidRPr="00CE46B7" w:rsidR="00DD5FF5" w:rsidP="006505BE" w:rsidRDefault="00DD5FF5" w14:paraId="0C75CFBF"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Versnellingshuis</w:t>
            </w:r>
          </w:p>
          <w:p w:rsidRPr="00CE46B7" w:rsidR="00DD5FF5" w:rsidP="006505BE" w:rsidRDefault="00DD5FF5" w14:paraId="1EAF9BE5"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Visie ontwikkeling &amp; stakeholder engagement</w:t>
            </w:r>
          </w:p>
          <w:p w:rsidRPr="00CE46B7" w:rsidR="00DD5FF5" w:rsidP="006505BE" w:rsidRDefault="00DD5FF5" w14:paraId="51FC5AEF"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WCEF 2024 en week van CE</w:t>
            </w:r>
          </w:p>
          <w:p w:rsidRPr="00CE46B7" w:rsidR="00DD5FF5" w:rsidP="006505BE" w:rsidRDefault="00DD5FF5" w14:paraId="59396C3F"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Werktafels I&amp;W Financiering Circulaire Economie</w:t>
            </w:r>
          </w:p>
          <w:p w:rsidRPr="00CE46B7" w:rsidR="00DD5FF5" w:rsidP="006505BE" w:rsidRDefault="00DD5FF5" w14:paraId="0AFA9C89"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C - 3PO - Fase 1 Inventarisatie</w:t>
            </w:r>
          </w:p>
          <w:p w:rsidRPr="00CE46B7" w:rsidR="00DD5FF5" w:rsidP="006505BE" w:rsidRDefault="00DD5FF5" w14:paraId="4B53D99C"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FA Next 2022-2024 + Startlife</w:t>
            </w:r>
          </w:p>
          <w:p w:rsidRPr="00CE46B7" w:rsidR="00DD5FF5" w:rsidP="006505BE" w:rsidRDefault="00DD5FF5" w14:paraId="6AD00518"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Opschaling Weeding Robots</w:t>
            </w:r>
          </w:p>
          <w:p w:rsidRPr="00CE46B7" w:rsidR="00DD5FF5" w:rsidP="006505BE" w:rsidRDefault="00DD5FF5" w14:paraId="4960583D"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Verkenning MP-Fabriek (Fascinating)</w:t>
            </w:r>
          </w:p>
          <w:p w:rsidRPr="00CE46B7" w:rsidR="00DD5FF5" w:rsidP="006505BE" w:rsidRDefault="00DD5FF5" w14:paraId="1025F301"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HealthKIC III</w:t>
            </w:r>
          </w:p>
          <w:p w:rsidRPr="00CE46B7" w:rsidR="00DD5FF5" w:rsidP="006505BE" w:rsidRDefault="00DD5FF5" w14:paraId="1AE834D9"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Zorgambassade</w:t>
            </w:r>
          </w:p>
          <w:p w:rsidRPr="00CE46B7" w:rsidR="00DD5FF5" w:rsidP="006505BE" w:rsidRDefault="00DD5FF5" w14:paraId="5940273F"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H2 OpschalingsInstrument (‘hoi’)</w:t>
            </w:r>
          </w:p>
          <w:p w:rsidRPr="00CE46B7" w:rsidR="00DD5FF5" w:rsidP="006505BE" w:rsidRDefault="00DD5FF5" w14:paraId="0D2E817E"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xml:space="preserve">- PIDI -Delta Corridor </w:t>
            </w:r>
          </w:p>
          <w:p w:rsidRPr="00CE46B7" w:rsidR="00DD5FF5" w:rsidP="006505BE" w:rsidRDefault="00DD5FF5" w14:paraId="4C2A7DF0"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Pilot Financiering in Transitie (FIT)</w:t>
            </w:r>
          </w:p>
          <w:p w:rsidRPr="00CE46B7" w:rsidR="00DD5FF5" w:rsidP="006505BE" w:rsidRDefault="00DD5FF5" w14:paraId="152E3EC0"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Pilot Private Investeringen voor Transities (PIT)</w:t>
            </w:r>
          </w:p>
          <w:p w:rsidRPr="00CE46B7" w:rsidR="00DD5FF5" w:rsidP="006505BE" w:rsidRDefault="00DD5FF5" w14:paraId="2A2A0812"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EU Funding Event</w:t>
            </w:r>
          </w:p>
          <w:p w:rsidRPr="00CE46B7" w:rsidR="00DD5FF5" w:rsidP="006505BE" w:rsidRDefault="00DD5FF5" w14:paraId="2984567C" w14:textId="77777777">
            <w:pPr>
              <w:pStyle w:val="Geenafstand1"/>
              <w:spacing w:line="240" w:lineRule="atLeast"/>
              <w:rPr>
                <w:rFonts w:ascii="Calibri" w:hAnsi="Calibri" w:cs="Calibri"/>
                <w:color w:val="000000"/>
                <w:sz w:val="22"/>
                <w:szCs w:val="22"/>
                <w:lang w:val="nl-NL"/>
              </w:rPr>
            </w:pPr>
            <w:r w:rsidRPr="00CE46B7">
              <w:rPr>
                <w:rFonts w:ascii="Calibri" w:hAnsi="Calibri" w:cs="Calibri"/>
                <w:color w:val="000000"/>
                <w:sz w:val="22"/>
                <w:szCs w:val="22"/>
                <w:lang w:val="nl-NL"/>
              </w:rPr>
              <w:t>- Europese Routekaarten</w:t>
            </w:r>
          </w:p>
          <w:p w:rsidRPr="00CE46B7" w:rsidR="00DD5FF5" w:rsidP="006505BE" w:rsidRDefault="00DD5FF5" w14:paraId="54F69283" w14:textId="77777777">
            <w:pPr>
              <w:rPr>
                <w:rFonts w:ascii="Calibri" w:hAnsi="Calibri" w:eastAsia="Calibri" w:cs="Calibri"/>
                <w:i/>
                <w:iCs/>
                <w:sz w:val="22"/>
                <w:szCs w:val="22"/>
              </w:rPr>
            </w:pPr>
          </w:p>
        </w:tc>
      </w:tr>
    </w:tbl>
    <w:p w:rsidRPr="00CE46B7" w:rsidR="00DD5FF5" w:rsidP="00DD5FF5" w:rsidRDefault="00DD5FF5" w14:paraId="74B14897" w14:textId="77777777">
      <w:pPr>
        <w:rPr>
          <w:rFonts w:ascii="Calibri" w:hAnsi="Calibri" w:cs="Calibri"/>
        </w:rPr>
      </w:pPr>
    </w:p>
    <w:p w:rsidRPr="00CE46B7" w:rsidR="00DD5FF5" w:rsidP="00DD5FF5" w:rsidRDefault="00DD5FF5" w14:paraId="503AACA9" w14:textId="77777777">
      <w:pPr>
        <w:rPr>
          <w:rFonts w:ascii="Calibri" w:hAnsi="Calibri" w:cs="Calibri"/>
          <w:i/>
          <w:iCs/>
        </w:rPr>
      </w:pPr>
      <w:r w:rsidRPr="00CE46B7">
        <w:rPr>
          <w:rFonts w:ascii="Calibri" w:hAnsi="Calibri" w:cs="Calibri"/>
          <w:i/>
          <w:iCs/>
        </w:rPr>
        <w:t>Impact</w:t>
      </w:r>
    </w:p>
    <w:p w:rsidRPr="00CE46B7" w:rsidR="00DD5FF5" w:rsidP="00DD5FF5" w:rsidRDefault="00DD5FF5" w14:paraId="455EB817" w14:textId="77777777">
      <w:pPr>
        <w:rPr>
          <w:rFonts w:ascii="Calibri" w:hAnsi="Calibri" w:eastAsia="Verdana" w:cs="Calibri"/>
        </w:rPr>
      </w:pPr>
      <w:bookmarkStart w:name="OLE_LINK34" w:id="22"/>
      <w:r w:rsidRPr="00CE46B7">
        <w:rPr>
          <w:rFonts w:ascii="Calibri" w:hAnsi="Calibri" w:eastAsia="Verdana" w:cs="Calibri"/>
        </w:rPr>
        <w:lastRenderedPageBreak/>
        <w:t xml:space="preserve">Invest-NL voert een impactbeleid waarbij alle investerings- en ontwikkelactiviteiten worden beoordeeld op hun potentiële maatschappelijke en ecologische impact. Het realiseren van impact is een vereiste om in aanmerking te komen voor financiering door Invest-NL of ondersteuning via de ontwikkeltaak. Ter onderbouwing en toewijzing van de impact van haar investeringen, heeft Invest-NL zich aangesloten bij de principes van het </w:t>
      </w:r>
      <w:bookmarkStart w:name="OLE_LINK35" w:id="23"/>
      <w:r w:rsidRPr="00CE46B7">
        <w:rPr>
          <w:rFonts w:ascii="Calibri" w:hAnsi="Calibri" w:eastAsia="Verdana" w:cs="Calibri"/>
        </w:rPr>
        <w:t>Platform Carbon Accounting Financials (PCAF)</w:t>
      </w:r>
      <w:bookmarkEnd w:id="23"/>
      <w:r w:rsidRPr="00CE46B7">
        <w:rPr>
          <w:rFonts w:ascii="Calibri" w:hAnsi="Calibri" w:eastAsia="Verdana" w:cs="Calibri"/>
        </w:rPr>
        <w:t>. PCAF bevordert de transparantie en bewustwording rondom de uitstoot van broeikasgassen in de financiële sector.</w:t>
      </w:r>
      <w:bookmarkEnd w:id="22"/>
    </w:p>
    <w:p w:rsidRPr="00CE46B7" w:rsidR="00DD5FF5" w:rsidP="00DD5FF5" w:rsidRDefault="00DD5FF5" w14:paraId="5DC92431" w14:textId="77777777">
      <w:pPr>
        <w:rPr>
          <w:rFonts w:ascii="Calibri" w:hAnsi="Calibri" w:eastAsia="Verdana" w:cs="Calibri"/>
        </w:rPr>
      </w:pPr>
    </w:p>
    <w:p w:rsidRPr="00CE46B7" w:rsidR="00DD5FF5" w:rsidP="00DD5FF5" w:rsidRDefault="00DD5FF5" w14:paraId="087E63D7" w14:textId="77777777">
      <w:pPr>
        <w:rPr>
          <w:rFonts w:ascii="Calibri" w:hAnsi="Calibri" w:cs="Calibri"/>
        </w:rPr>
      </w:pPr>
      <w:bookmarkStart w:name="OLE_LINK67" w:id="24"/>
      <w:r w:rsidRPr="00CE46B7">
        <w:rPr>
          <w:rFonts w:ascii="Calibri" w:hAnsi="Calibri" w:cs="Calibri"/>
        </w:rPr>
        <w:t>Daarnaast zijn de impactdoelstellingen van Invest-NL mede geïnspireerd op de Sustainable Development Goals (SDG’s) van de Verenigde Naties. Het impactkader van Invest-NL richt zich primair op een carbon-neutrale en circulaire economie (SDG 13 en SDG 12), betere, betaalbare en toegankelijke zorg (SDG 3), duurzame werkgelegenheid, economische groei en innovatie (SDG 8 en SDG 9). Op basis van nadere analyses is in 2024 besloten om dit kader uit te breiden door voortaan ook investeringen te ondersteunen die bijdragen aan herstel van biodiversiteit (SDG 15) of schoon en toegankelijk drinkwater (SDG 6).</w:t>
      </w:r>
    </w:p>
    <w:p w:rsidRPr="00CE46B7" w:rsidR="00DD5FF5" w:rsidP="00DD5FF5" w:rsidRDefault="00DD5FF5" w14:paraId="73C8E221" w14:textId="77777777">
      <w:pPr>
        <w:rPr>
          <w:rFonts w:ascii="Calibri" w:hAnsi="Calibri" w:cs="Calibri"/>
        </w:rPr>
      </w:pPr>
    </w:p>
    <w:p w:rsidRPr="00CE46B7" w:rsidR="00DD5FF5" w:rsidP="00DD5FF5" w:rsidRDefault="00DD5FF5" w14:paraId="7C980093" w14:textId="77777777">
      <w:pPr>
        <w:rPr>
          <w:rFonts w:ascii="Calibri" w:hAnsi="Calibri" w:eastAsia="Verdana" w:cs="Calibri"/>
        </w:rPr>
      </w:pPr>
      <w:bookmarkStart w:name="OLE_LINK69" w:id="25"/>
      <w:r w:rsidRPr="00CE46B7">
        <w:rPr>
          <w:rFonts w:ascii="Calibri" w:hAnsi="Calibri" w:cs="Calibri"/>
        </w:rPr>
        <w:t>In tabel 4 is een overzicht opgenomen van de kerncijfers omtrent impact over 2024.</w:t>
      </w:r>
    </w:p>
    <w:bookmarkEnd w:id="24"/>
    <w:bookmarkEnd w:id="25"/>
    <w:p w:rsidRPr="00CE46B7" w:rsidR="00DD5FF5" w:rsidP="00DD5FF5" w:rsidRDefault="00DD5FF5" w14:paraId="6E5AF984" w14:textId="77777777">
      <w:pPr>
        <w:rPr>
          <w:rFonts w:ascii="Calibri" w:hAnsi="Calibri" w:cs="Calibri"/>
        </w:rPr>
      </w:pPr>
    </w:p>
    <w:p w:rsidRPr="00CE46B7" w:rsidR="00DD5FF5" w:rsidP="00DD5FF5" w:rsidRDefault="00DD5FF5" w14:paraId="67DD1112" w14:textId="3E855FE4">
      <w:pPr>
        <w:rPr>
          <w:rFonts w:ascii="Calibri" w:hAnsi="Calibri" w:eastAsia="Verdana" w:cs="Calibri"/>
          <w:b/>
          <w:bCs/>
        </w:rPr>
      </w:pPr>
      <w:r w:rsidRPr="00CE46B7">
        <w:rPr>
          <w:rFonts w:ascii="Calibri" w:hAnsi="Calibri" w:eastAsia="Verdana" w:cs="Calibri"/>
          <w:b/>
          <w:bCs/>
        </w:rPr>
        <w:t>Tabel 4 – Kerncijfers Impact</w:t>
      </w:r>
    </w:p>
    <w:tbl>
      <w:tblPr>
        <w:tblStyle w:val="Tabelraster"/>
        <w:tblW w:w="8112" w:type="dxa"/>
        <w:tblLayout w:type="fixed"/>
        <w:tblLook w:val="06A0" w:firstRow="1" w:lastRow="0" w:firstColumn="1" w:lastColumn="0" w:noHBand="1" w:noVBand="1"/>
      </w:tblPr>
      <w:tblGrid>
        <w:gridCol w:w="4395"/>
        <w:gridCol w:w="1292"/>
        <w:gridCol w:w="1292"/>
        <w:gridCol w:w="1133"/>
      </w:tblGrid>
      <w:tr w:rsidRPr="00CE46B7" w:rsidR="00DD5FF5" w:rsidTr="00CE46B7" w14:paraId="4338A7A3" w14:textId="77777777">
        <w:trPr>
          <w:trHeight w:val="300"/>
        </w:trPr>
        <w:tc>
          <w:tcPr>
            <w:tcW w:w="4395" w:type="dxa"/>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26E4DD45" w14:textId="77777777">
            <w:pPr>
              <w:rPr>
                <w:rFonts w:ascii="Calibri" w:hAnsi="Calibri" w:cs="Calibri"/>
                <w:sz w:val="22"/>
                <w:szCs w:val="22"/>
              </w:rPr>
            </w:pPr>
            <w:bookmarkStart w:name="OLE_LINK65" w:id="26"/>
          </w:p>
        </w:tc>
        <w:tc>
          <w:tcPr>
            <w:tcW w:w="1292" w:type="dxa"/>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350971F7" w14:textId="77777777">
            <w:pPr>
              <w:rPr>
                <w:rFonts w:ascii="Calibri" w:hAnsi="Calibri" w:cs="Calibri"/>
                <w:sz w:val="22"/>
                <w:szCs w:val="22"/>
              </w:rPr>
            </w:pPr>
            <w:r w:rsidRPr="00CE46B7">
              <w:rPr>
                <w:rFonts w:ascii="Calibri" w:hAnsi="Calibri" w:eastAsia="Calibri" w:cs="Calibri"/>
                <w:b/>
                <w:bCs/>
                <w:sz w:val="22"/>
                <w:szCs w:val="22"/>
              </w:rPr>
              <w:t>2024</w:t>
            </w:r>
          </w:p>
        </w:tc>
        <w:tc>
          <w:tcPr>
            <w:tcW w:w="1292" w:type="dxa"/>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4665D8A9" w14:textId="77777777">
            <w:pPr>
              <w:rPr>
                <w:rFonts w:ascii="Calibri" w:hAnsi="Calibri" w:cs="Calibri"/>
                <w:sz w:val="22"/>
                <w:szCs w:val="22"/>
              </w:rPr>
            </w:pPr>
            <w:r w:rsidRPr="00CE46B7">
              <w:rPr>
                <w:rFonts w:ascii="Calibri" w:hAnsi="Calibri" w:eastAsia="Calibri" w:cs="Calibri"/>
                <w:b/>
                <w:bCs/>
                <w:sz w:val="22"/>
                <w:szCs w:val="22"/>
              </w:rPr>
              <w:t>2023</w:t>
            </w:r>
          </w:p>
        </w:tc>
        <w:tc>
          <w:tcPr>
            <w:tcW w:w="1133" w:type="dxa"/>
            <w:tcBorders>
              <w:top w:val="single" w:color="7F7F7F" w:themeColor="text1" w:themeTint="80" w:sz="8" w:space="0"/>
              <w:left w:val="nil"/>
              <w:bottom w:val="single" w:color="7F7F7F" w:themeColor="text1" w:themeTint="80" w:sz="8" w:space="0"/>
              <w:right w:val="nil"/>
            </w:tcBorders>
            <w:hideMark/>
          </w:tcPr>
          <w:p w:rsidRPr="00CE46B7" w:rsidR="00DD5FF5" w:rsidP="006505BE" w:rsidRDefault="00DD5FF5" w14:paraId="4C35B39F" w14:textId="77777777">
            <w:pPr>
              <w:rPr>
                <w:rFonts w:ascii="Calibri" w:hAnsi="Calibri" w:cs="Calibri"/>
                <w:sz w:val="22"/>
                <w:szCs w:val="22"/>
              </w:rPr>
            </w:pPr>
            <w:r w:rsidRPr="00CE46B7">
              <w:rPr>
                <w:rFonts w:ascii="Calibri" w:hAnsi="Calibri" w:eastAsia="Calibri" w:cs="Calibri"/>
                <w:b/>
                <w:bCs/>
                <w:sz w:val="22"/>
                <w:szCs w:val="22"/>
              </w:rPr>
              <w:t>2022</w:t>
            </w:r>
          </w:p>
        </w:tc>
      </w:tr>
      <w:tr w:rsidRPr="00CE46B7" w:rsidR="00DD5FF5" w:rsidTr="00CE46B7" w14:paraId="709EC59F" w14:textId="77777777">
        <w:trPr>
          <w:trHeight w:val="300"/>
        </w:trPr>
        <w:tc>
          <w:tcPr>
            <w:tcW w:w="4395" w:type="dxa"/>
            <w:tcBorders>
              <w:top w:val="single" w:color="7F7F7F" w:themeColor="text1" w:themeTint="80" w:sz="8" w:space="0"/>
              <w:left w:val="nil"/>
              <w:bottom w:val="nil"/>
              <w:right w:val="nil"/>
            </w:tcBorders>
            <w:hideMark/>
          </w:tcPr>
          <w:p w:rsidRPr="00CE46B7" w:rsidR="00DD5FF5" w:rsidP="006505BE" w:rsidRDefault="00DD5FF5" w14:paraId="6F83FFFD" w14:textId="77777777">
            <w:pPr>
              <w:rPr>
                <w:rFonts w:ascii="Calibri" w:hAnsi="Calibri" w:eastAsia="Calibri" w:cs="Calibri"/>
                <w:i/>
                <w:iCs/>
                <w:sz w:val="22"/>
                <w:szCs w:val="22"/>
                <w:lang w:val="nl-NL"/>
              </w:rPr>
            </w:pPr>
            <w:r w:rsidRPr="00CE46B7">
              <w:rPr>
                <w:rFonts w:ascii="Calibri" w:hAnsi="Calibri" w:eastAsia="Calibri" w:cs="Calibri"/>
                <w:i/>
                <w:iCs/>
                <w:sz w:val="22"/>
                <w:szCs w:val="22"/>
                <w:lang w:val="nl-NL"/>
              </w:rPr>
              <w:t>R&amp;D uitgaven van portfoliobedrijven</w:t>
            </w:r>
          </w:p>
          <w:p w:rsidRPr="00CE46B7" w:rsidR="00DD5FF5" w:rsidP="006505BE" w:rsidRDefault="00DD5FF5" w14:paraId="36007CB4" w14:textId="77777777">
            <w:pPr>
              <w:rPr>
                <w:rFonts w:ascii="Calibri" w:hAnsi="Calibri" w:cs="Calibri"/>
                <w:sz w:val="22"/>
                <w:szCs w:val="22"/>
                <w:lang w:val="nl-NL"/>
              </w:rPr>
            </w:pPr>
            <w:r w:rsidRPr="00CE46B7">
              <w:rPr>
                <w:rFonts w:ascii="Calibri" w:hAnsi="Calibri" w:eastAsia="Calibri" w:cs="Calibri"/>
                <w:i/>
                <w:iCs/>
                <w:color w:val="7F7F7F" w:themeColor="text1" w:themeTint="80"/>
                <w:sz w:val="22"/>
                <w:szCs w:val="22"/>
                <w:lang w:val="nl-NL"/>
              </w:rPr>
              <w:t>&gt; waarvan aan Invest-NL toe te schrijven</w:t>
            </w:r>
          </w:p>
        </w:tc>
        <w:tc>
          <w:tcPr>
            <w:tcW w:w="1292" w:type="dxa"/>
            <w:tcBorders>
              <w:top w:val="single" w:color="7F7F7F" w:themeColor="text1" w:themeTint="80" w:sz="8" w:space="0"/>
              <w:left w:val="nil"/>
              <w:bottom w:val="nil"/>
              <w:right w:val="nil"/>
            </w:tcBorders>
            <w:hideMark/>
          </w:tcPr>
          <w:p w:rsidRPr="00CE46B7" w:rsidR="00DD5FF5" w:rsidP="00CE46B7" w:rsidRDefault="00DD5FF5" w14:paraId="4BBCDF87" w14:textId="77777777">
            <w:pPr>
              <w:jc w:val="right"/>
              <w:rPr>
                <w:rFonts w:ascii="Calibri" w:hAnsi="Calibri" w:eastAsia="Calibri" w:cs="Calibri"/>
                <w:sz w:val="22"/>
                <w:szCs w:val="22"/>
              </w:rPr>
            </w:pPr>
            <w:r w:rsidRPr="00CE46B7">
              <w:rPr>
                <w:rFonts w:ascii="Calibri" w:hAnsi="Calibri" w:eastAsia="Calibri" w:cs="Calibri"/>
                <w:sz w:val="22"/>
                <w:szCs w:val="22"/>
              </w:rPr>
              <w:t>€389 mln.</w:t>
            </w:r>
          </w:p>
          <w:p w:rsidRPr="00CE46B7" w:rsidR="00DD5FF5" w:rsidP="00CE46B7" w:rsidRDefault="00DD5FF5" w14:paraId="27D82B97" w14:textId="77777777">
            <w:pPr>
              <w:jc w:val="right"/>
              <w:rPr>
                <w:rFonts w:ascii="Calibri" w:hAnsi="Calibri" w:cs="Calibri"/>
                <w:sz w:val="22"/>
                <w:szCs w:val="22"/>
              </w:rPr>
            </w:pPr>
            <w:r w:rsidRPr="00CE46B7">
              <w:rPr>
                <w:rFonts w:ascii="Calibri" w:hAnsi="Calibri" w:eastAsia="Calibri" w:cs="Calibri"/>
                <w:color w:val="7F7F7F" w:themeColor="text1" w:themeTint="80"/>
                <w:sz w:val="22"/>
                <w:szCs w:val="22"/>
              </w:rPr>
              <w:t>€29 mln.</w:t>
            </w:r>
          </w:p>
        </w:tc>
        <w:tc>
          <w:tcPr>
            <w:tcW w:w="1292" w:type="dxa"/>
            <w:tcBorders>
              <w:top w:val="single" w:color="7F7F7F" w:themeColor="text1" w:themeTint="80" w:sz="8" w:space="0"/>
              <w:left w:val="nil"/>
              <w:bottom w:val="nil"/>
              <w:right w:val="nil"/>
            </w:tcBorders>
            <w:hideMark/>
          </w:tcPr>
          <w:p w:rsidRPr="00CE46B7" w:rsidR="00DD5FF5" w:rsidP="00CE46B7" w:rsidRDefault="00DD5FF5" w14:paraId="2B0D08C3" w14:textId="77777777">
            <w:pPr>
              <w:jc w:val="right"/>
              <w:rPr>
                <w:rFonts w:ascii="Calibri" w:hAnsi="Calibri" w:eastAsia="Calibri" w:cs="Calibri"/>
                <w:sz w:val="22"/>
                <w:szCs w:val="22"/>
              </w:rPr>
            </w:pPr>
            <w:r w:rsidRPr="00CE46B7">
              <w:rPr>
                <w:rFonts w:ascii="Calibri" w:hAnsi="Calibri" w:eastAsia="Calibri" w:cs="Calibri"/>
                <w:sz w:val="22"/>
                <w:szCs w:val="22"/>
              </w:rPr>
              <w:t>€230 mln.</w:t>
            </w:r>
          </w:p>
          <w:p w:rsidRPr="00CE46B7" w:rsidR="00DD5FF5" w:rsidP="00CE46B7" w:rsidRDefault="00DD5FF5" w14:paraId="2E15F091" w14:textId="77777777">
            <w:pPr>
              <w:jc w:val="right"/>
              <w:rPr>
                <w:rFonts w:ascii="Calibri" w:hAnsi="Calibri" w:cs="Calibri"/>
                <w:sz w:val="22"/>
                <w:szCs w:val="22"/>
              </w:rPr>
            </w:pPr>
            <w:r w:rsidRPr="00CE46B7">
              <w:rPr>
                <w:rFonts w:ascii="Calibri" w:hAnsi="Calibri" w:eastAsia="Calibri" w:cs="Calibri"/>
                <w:color w:val="7F7F7F" w:themeColor="text1" w:themeTint="80"/>
                <w:sz w:val="22"/>
                <w:szCs w:val="22"/>
              </w:rPr>
              <w:t>€23 mln.</w:t>
            </w:r>
          </w:p>
        </w:tc>
        <w:tc>
          <w:tcPr>
            <w:tcW w:w="1133" w:type="dxa"/>
            <w:tcBorders>
              <w:top w:val="single" w:color="7F7F7F" w:themeColor="text1" w:themeTint="80" w:sz="8" w:space="0"/>
              <w:left w:val="nil"/>
              <w:bottom w:val="nil"/>
              <w:right w:val="nil"/>
            </w:tcBorders>
            <w:hideMark/>
          </w:tcPr>
          <w:p w:rsidRPr="00CE46B7" w:rsidR="00DD5FF5" w:rsidP="00CE46B7" w:rsidRDefault="00DD5FF5" w14:paraId="1ABAA858" w14:textId="77777777">
            <w:pPr>
              <w:jc w:val="right"/>
              <w:rPr>
                <w:rFonts w:ascii="Calibri" w:hAnsi="Calibri" w:eastAsia="Calibri" w:cs="Calibri"/>
                <w:sz w:val="22"/>
                <w:szCs w:val="22"/>
              </w:rPr>
            </w:pPr>
            <w:r w:rsidRPr="00CE46B7">
              <w:rPr>
                <w:rFonts w:ascii="Calibri" w:hAnsi="Calibri" w:eastAsia="Calibri" w:cs="Calibri"/>
                <w:sz w:val="22"/>
                <w:szCs w:val="22"/>
              </w:rPr>
              <w:t>€246 mln.</w:t>
            </w:r>
          </w:p>
          <w:p w:rsidRPr="00CE46B7" w:rsidR="00DD5FF5" w:rsidP="00CE46B7" w:rsidRDefault="00DD5FF5" w14:paraId="05D8FE41" w14:textId="77777777">
            <w:pPr>
              <w:jc w:val="right"/>
              <w:rPr>
                <w:rFonts w:ascii="Calibri" w:hAnsi="Calibri" w:cs="Calibri"/>
                <w:sz w:val="22"/>
                <w:szCs w:val="22"/>
              </w:rPr>
            </w:pPr>
            <w:r w:rsidRPr="00CE46B7">
              <w:rPr>
                <w:rFonts w:ascii="Calibri" w:hAnsi="Calibri" w:eastAsia="Calibri" w:cs="Calibri"/>
                <w:color w:val="7F7F7F" w:themeColor="text1" w:themeTint="80"/>
                <w:sz w:val="22"/>
                <w:szCs w:val="22"/>
              </w:rPr>
              <w:t>€25 mln.</w:t>
            </w:r>
          </w:p>
        </w:tc>
      </w:tr>
      <w:tr w:rsidRPr="00CE46B7" w:rsidR="00DD5FF5" w:rsidTr="00CE46B7" w14:paraId="63215722" w14:textId="77777777">
        <w:trPr>
          <w:trHeight w:val="300"/>
        </w:trPr>
        <w:tc>
          <w:tcPr>
            <w:tcW w:w="4395" w:type="dxa"/>
            <w:tcBorders>
              <w:top w:val="nil"/>
              <w:left w:val="nil"/>
              <w:bottom w:val="nil"/>
              <w:right w:val="nil"/>
            </w:tcBorders>
            <w:hideMark/>
          </w:tcPr>
          <w:p w:rsidRPr="00CE46B7" w:rsidR="00DD5FF5" w:rsidP="006505BE" w:rsidRDefault="00DD5FF5" w14:paraId="161065F1" w14:textId="77777777">
            <w:pPr>
              <w:rPr>
                <w:rFonts w:ascii="Calibri" w:hAnsi="Calibri" w:eastAsia="Calibri" w:cs="Calibri"/>
                <w:i/>
                <w:iCs/>
                <w:sz w:val="22"/>
                <w:szCs w:val="22"/>
                <w:lang w:val="nl-NL"/>
              </w:rPr>
            </w:pPr>
            <w:r w:rsidRPr="00CE46B7">
              <w:rPr>
                <w:rFonts w:ascii="Calibri" w:hAnsi="Calibri" w:eastAsia="Calibri" w:cs="Calibri"/>
                <w:i/>
                <w:iCs/>
                <w:sz w:val="22"/>
                <w:szCs w:val="22"/>
                <w:lang w:val="nl-NL"/>
              </w:rPr>
              <w:t>Fte’s werkzaam bij portfoliobedrijven</w:t>
            </w:r>
          </w:p>
          <w:p w:rsidRPr="00CE46B7" w:rsidR="00DD5FF5" w:rsidP="006505BE" w:rsidRDefault="00DD5FF5" w14:paraId="0E2387B9" w14:textId="77777777">
            <w:pPr>
              <w:rPr>
                <w:rFonts w:ascii="Calibri" w:hAnsi="Calibri" w:cs="Calibri" w:eastAsiaTheme="minorHAnsi"/>
                <w:sz w:val="22"/>
                <w:szCs w:val="22"/>
                <w:lang w:val="nl-NL"/>
              </w:rPr>
            </w:pPr>
            <w:r w:rsidRPr="00CE46B7">
              <w:rPr>
                <w:rFonts w:ascii="Calibri" w:hAnsi="Calibri" w:eastAsia="Calibri" w:cs="Calibri"/>
                <w:i/>
                <w:iCs/>
                <w:color w:val="7F7F7F" w:themeColor="text1" w:themeTint="80"/>
                <w:sz w:val="22"/>
                <w:szCs w:val="22"/>
                <w:lang w:val="nl-NL"/>
              </w:rPr>
              <w:t>&gt; waarvan aan Invest-NL toe te schrijven</w:t>
            </w:r>
          </w:p>
        </w:tc>
        <w:tc>
          <w:tcPr>
            <w:tcW w:w="1292" w:type="dxa"/>
            <w:tcBorders>
              <w:top w:val="nil"/>
              <w:left w:val="nil"/>
              <w:bottom w:val="nil"/>
              <w:right w:val="nil"/>
            </w:tcBorders>
            <w:hideMark/>
          </w:tcPr>
          <w:p w:rsidRPr="00CE46B7" w:rsidR="00DD5FF5" w:rsidP="00CE46B7" w:rsidRDefault="00DD5FF5" w14:paraId="041A8E64" w14:textId="77777777">
            <w:pPr>
              <w:jc w:val="right"/>
              <w:rPr>
                <w:rFonts w:ascii="Calibri" w:hAnsi="Calibri" w:eastAsia="Calibri" w:cs="Calibri"/>
                <w:sz w:val="22"/>
                <w:szCs w:val="22"/>
              </w:rPr>
            </w:pPr>
            <w:r w:rsidRPr="00CE46B7">
              <w:rPr>
                <w:rFonts w:ascii="Calibri" w:hAnsi="Calibri" w:eastAsia="Calibri" w:cs="Calibri"/>
                <w:sz w:val="22"/>
                <w:szCs w:val="22"/>
              </w:rPr>
              <w:t>14.292</w:t>
            </w:r>
          </w:p>
          <w:p w:rsidRPr="00CE46B7" w:rsidR="00DD5FF5" w:rsidP="00CE46B7" w:rsidRDefault="00DD5FF5" w14:paraId="09D53F10" w14:textId="77777777">
            <w:pPr>
              <w:jc w:val="right"/>
              <w:rPr>
                <w:rFonts w:ascii="Calibri" w:hAnsi="Calibri" w:eastAsia="Calibri" w:cs="Calibri"/>
                <w:sz w:val="22"/>
                <w:szCs w:val="22"/>
              </w:rPr>
            </w:pPr>
            <w:r w:rsidRPr="00CE46B7">
              <w:rPr>
                <w:rFonts w:ascii="Calibri" w:hAnsi="Calibri" w:eastAsia="Calibri" w:cs="Calibri"/>
                <w:color w:val="7F7F7F" w:themeColor="text1" w:themeTint="80"/>
                <w:sz w:val="22"/>
                <w:szCs w:val="22"/>
              </w:rPr>
              <w:t>928</w:t>
            </w:r>
          </w:p>
        </w:tc>
        <w:tc>
          <w:tcPr>
            <w:tcW w:w="1292" w:type="dxa"/>
            <w:tcBorders>
              <w:top w:val="nil"/>
              <w:left w:val="nil"/>
              <w:bottom w:val="nil"/>
              <w:right w:val="nil"/>
            </w:tcBorders>
            <w:hideMark/>
          </w:tcPr>
          <w:p w:rsidRPr="00CE46B7" w:rsidR="00DD5FF5" w:rsidP="00CE46B7" w:rsidRDefault="00DD5FF5" w14:paraId="54E10D25" w14:textId="77777777">
            <w:pPr>
              <w:jc w:val="right"/>
              <w:rPr>
                <w:rFonts w:ascii="Calibri" w:hAnsi="Calibri" w:eastAsia="Calibri" w:cs="Calibri"/>
                <w:sz w:val="22"/>
                <w:szCs w:val="22"/>
              </w:rPr>
            </w:pPr>
            <w:r w:rsidRPr="00CE46B7">
              <w:rPr>
                <w:rFonts w:ascii="Calibri" w:hAnsi="Calibri" w:eastAsia="Calibri" w:cs="Calibri"/>
                <w:sz w:val="22"/>
                <w:szCs w:val="22"/>
              </w:rPr>
              <w:t>6.901</w:t>
            </w:r>
          </w:p>
          <w:p w:rsidRPr="00CE46B7" w:rsidR="00DD5FF5" w:rsidP="00CE46B7" w:rsidRDefault="00DD5FF5" w14:paraId="58C23775" w14:textId="77777777">
            <w:pPr>
              <w:jc w:val="right"/>
              <w:rPr>
                <w:rFonts w:ascii="Calibri" w:hAnsi="Calibri" w:eastAsia="Calibri" w:cs="Calibri"/>
                <w:sz w:val="22"/>
                <w:szCs w:val="22"/>
              </w:rPr>
            </w:pPr>
            <w:r w:rsidRPr="00CE46B7">
              <w:rPr>
                <w:rFonts w:ascii="Calibri" w:hAnsi="Calibri" w:eastAsia="Calibri" w:cs="Calibri"/>
                <w:color w:val="7F7F7F" w:themeColor="text1" w:themeTint="80"/>
                <w:sz w:val="22"/>
                <w:szCs w:val="22"/>
              </w:rPr>
              <w:t>560</w:t>
            </w:r>
          </w:p>
        </w:tc>
        <w:tc>
          <w:tcPr>
            <w:tcW w:w="1133" w:type="dxa"/>
            <w:tcBorders>
              <w:top w:val="nil"/>
              <w:left w:val="nil"/>
              <w:bottom w:val="nil"/>
              <w:right w:val="nil"/>
            </w:tcBorders>
            <w:hideMark/>
          </w:tcPr>
          <w:p w:rsidRPr="00CE46B7" w:rsidR="00DD5FF5" w:rsidP="00CE46B7" w:rsidRDefault="00DD5FF5" w14:paraId="2DD65660" w14:textId="77777777">
            <w:pPr>
              <w:jc w:val="right"/>
              <w:rPr>
                <w:rFonts w:ascii="Calibri" w:hAnsi="Calibri" w:eastAsia="Calibri" w:cs="Calibri"/>
                <w:sz w:val="22"/>
                <w:szCs w:val="22"/>
              </w:rPr>
            </w:pPr>
            <w:r w:rsidRPr="00CE46B7">
              <w:rPr>
                <w:rFonts w:ascii="Calibri" w:hAnsi="Calibri" w:eastAsia="Calibri" w:cs="Calibri"/>
                <w:sz w:val="22"/>
                <w:szCs w:val="22"/>
              </w:rPr>
              <w:t>5.463</w:t>
            </w:r>
          </w:p>
          <w:p w:rsidRPr="00CE46B7" w:rsidR="00DD5FF5" w:rsidP="00CE46B7" w:rsidRDefault="00DD5FF5" w14:paraId="12BC76AC" w14:textId="77777777">
            <w:pPr>
              <w:jc w:val="right"/>
              <w:rPr>
                <w:rFonts w:ascii="Calibri" w:hAnsi="Calibri" w:eastAsia="Calibri" w:cs="Calibri"/>
                <w:sz w:val="22"/>
                <w:szCs w:val="22"/>
              </w:rPr>
            </w:pPr>
            <w:r w:rsidRPr="00CE46B7">
              <w:rPr>
                <w:rFonts w:ascii="Calibri" w:hAnsi="Calibri" w:eastAsia="Calibri" w:cs="Calibri"/>
                <w:color w:val="7F7F7F" w:themeColor="text1" w:themeTint="80"/>
                <w:sz w:val="22"/>
                <w:szCs w:val="22"/>
              </w:rPr>
              <w:t>380</w:t>
            </w:r>
          </w:p>
        </w:tc>
      </w:tr>
      <w:tr w:rsidRPr="00CE46B7" w:rsidR="00DD5FF5" w:rsidTr="00CE46B7" w14:paraId="25A6D18C" w14:textId="77777777">
        <w:trPr>
          <w:trHeight w:val="300"/>
        </w:trPr>
        <w:tc>
          <w:tcPr>
            <w:tcW w:w="4395" w:type="dxa"/>
            <w:tcBorders>
              <w:top w:val="nil"/>
              <w:left w:val="nil"/>
              <w:bottom w:val="nil"/>
              <w:right w:val="nil"/>
            </w:tcBorders>
            <w:hideMark/>
          </w:tcPr>
          <w:p w:rsidRPr="00CE46B7" w:rsidR="00DD5FF5" w:rsidP="006505BE" w:rsidRDefault="00DD5FF5" w14:paraId="1118AB77" w14:textId="77777777">
            <w:pPr>
              <w:rPr>
                <w:rFonts w:ascii="Calibri" w:hAnsi="Calibri" w:eastAsia="Calibri" w:cs="Calibri"/>
                <w:i/>
                <w:iCs/>
                <w:sz w:val="22"/>
                <w:szCs w:val="22"/>
                <w:lang w:val="nl-NL"/>
              </w:rPr>
            </w:pPr>
            <w:bookmarkStart w:name="_Hlk179201586" w:id="27"/>
            <w:r w:rsidRPr="00CE46B7">
              <w:rPr>
                <w:rFonts w:ascii="Calibri" w:hAnsi="Calibri" w:eastAsia="Calibri" w:cs="Calibri"/>
                <w:i/>
                <w:iCs/>
                <w:sz w:val="22"/>
                <w:szCs w:val="22"/>
                <w:lang w:val="nl-NL"/>
              </w:rPr>
              <w:t>Vermeden CO2 door portfoliobedrijven (in ton)</w:t>
            </w:r>
          </w:p>
          <w:p w:rsidRPr="00CE46B7" w:rsidR="00DD5FF5" w:rsidP="006505BE" w:rsidRDefault="00DD5FF5" w14:paraId="7A76AE39" w14:textId="77777777">
            <w:pPr>
              <w:rPr>
                <w:rFonts w:ascii="Calibri" w:hAnsi="Calibri" w:cs="Calibri" w:eastAsiaTheme="minorHAnsi"/>
                <w:sz w:val="22"/>
                <w:szCs w:val="22"/>
                <w:lang w:val="nl-NL"/>
              </w:rPr>
            </w:pPr>
            <w:r w:rsidRPr="00CE46B7">
              <w:rPr>
                <w:rFonts w:ascii="Calibri" w:hAnsi="Calibri" w:eastAsia="Calibri" w:cs="Calibri"/>
                <w:i/>
                <w:iCs/>
                <w:color w:val="7F7F7F" w:themeColor="text1" w:themeTint="80"/>
                <w:sz w:val="22"/>
                <w:szCs w:val="22"/>
                <w:lang w:val="nl-NL"/>
              </w:rPr>
              <w:t>&gt; waarvan aan Invest-NL toe te schrijven</w:t>
            </w:r>
          </w:p>
        </w:tc>
        <w:tc>
          <w:tcPr>
            <w:tcW w:w="1292" w:type="dxa"/>
            <w:tcBorders>
              <w:top w:val="nil"/>
              <w:left w:val="nil"/>
              <w:bottom w:val="nil"/>
              <w:right w:val="nil"/>
            </w:tcBorders>
            <w:hideMark/>
          </w:tcPr>
          <w:p w:rsidRPr="00CE46B7" w:rsidR="00DD5FF5" w:rsidP="00CE46B7" w:rsidRDefault="00DD5FF5" w14:paraId="3606B12D" w14:textId="77777777">
            <w:pPr>
              <w:jc w:val="right"/>
              <w:rPr>
                <w:rFonts w:ascii="Calibri" w:hAnsi="Calibri" w:eastAsia="Calibri" w:cs="Calibri"/>
                <w:sz w:val="22"/>
                <w:szCs w:val="22"/>
              </w:rPr>
            </w:pPr>
            <w:r w:rsidRPr="00CE46B7">
              <w:rPr>
                <w:rFonts w:ascii="Calibri" w:hAnsi="Calibri" w:eastAsia="Calibri" w:cs="Calibri"/>
                <w:sz w:val="22"/>
                <w:szCs w:val="22"/>
              </w:rPr>
              <w:t>12.100</w:t>
            </w:r>
            <w:r w:rsidRPr="00CE46B7">
              <w:rPr>
                <w:rStyle w:val="Voetnootmarkering"/>
                <w:rFonts w:ascii="Calibri" w:hAnsi="Calibri" w:eastAsia="Calibri" w:cs="Calibri"/>
                <w:sz w:val="22"/>
                <w:szCs w:val="22"/>
              </w:rPr>
              <w:footnoteReference w:id="1"/>
            </w:r>
          </w:p>
          <w:p w:rsidRPr="00CE46B7" w:rsidR="00DD5FF5" w:rsidP="00CE46B7" w:rsidRDefault="00DD5FF5" w14:paraId="39C7D78D" w14:textId="77777777">
            <w:pPr>
              <w:jc w:val="right"/>
              <w:rPr>
                <w:rFonts w:ascii="Calibri" w:hAnsi="Calibri" w:eastAsia="Calibri" w:cs="Calibri"/>
                <w:sz w:val="22"/>
                <w:szCs w:val="22"/>
              </w:rPr>
            </w:pPr>
            <w:r w:rsidRPr="00CE46B7">
              <w:rPr>
                <w:rFonts w:ascii="Calibri" w:hAnsi="Calibri" w:eastAsia="Calibri" w:cs="Calibri"/>
                <w:color w:val="7F7F7F" w:themeColor="text1" w:themeTint="80"/>
                <w:sz w:val="22"/>
                <w:szCs w:val="22"/>
              </w:rPr>
              <w:t>300</w:t>
            </w:r>
          </w:p>
        </w:tc>
        <w:tc>
          <w:tcPr>
            <w:tcW w:w="1292" w:type="dxa"/>
            <w:tcBorders>
              <w:top w:val="nil"/>
              <w:left w:val="nil"/>
              <w:bottom w:val="nil"/>
              <w:right w:val="nil"/>
            </w:tcBorders>
            <w:hideMark/>
          </w:tcPr>
          <w:p w:rsidRPr="00CE46B7" w:rsidR="00DD5FF5" w:rsidP="00CE46B7" w:rsidRDefault="00DD5FF5" w14:paraId="42A50BA6" w14:textId="77777777">
            <w:pPr>
              <w:jc w:val="right"/>
              <w:rPr>
                <w:rFonts w:ascii="Calibri" w:hAnsi="Calibri" w:eastAsia="Calibri" w:cs="Calibri"/>
                <w:sz w:val="22"/>
                <w:szCs w:val="22"/>
              </w:rPr>
            </w:pPr>
            <w:r w:rsidRPr="00CE46B7">
              <w:rPr>
                <w:rFonts w:ascii="Calibri" w:hAnsi="Calibri" w:eastAsia="Calibri" w:cs="Calibri"/>
                <w:sz w:val="22"/>
                <w:szCs w:val="22"/>
              </w:rPr>
              <w:t>643.100</w:t>
            </w:r>
          </w:p>
          <w:p w:rsidRPr="00CE46B7" w:rsidR="00DD5FF5" w:rsidP="00CE46B7" w:rsidRDefault="00DD5FF5" w14:paraId="50BCA776" w14:textId="77777777">
            <w:pPr>
              <w:jc w:val="right"/>
              <w:rPr>
                <w:rFonts w:ascii="Calibri" w:hAnsi="Calibri" w:eastAsia="Calibri" w:cs="Calibri"/>
                <w:sz w:val="22"/>
                <w:szCs w:val="22"/>
              </w:rPr>
            </w:pPr>
            <w:r w:rsidRPr="00CE46B7">
              <w:rPr>
                <w:rFonts w:ascii="Calibri" w:hAnsi="Calibri" w:eastAsia="Calibri" w:cs="Calibri"/>
                <w:color w:val="7F7F7F" w:themeColor="text1" w:themeTint="80"/>
                <w:sz w:val="22"/>
                <w:szCs w:val="22"/>
              </w:rPr>
              <w:t>27.100</w:t>
            </w:r>
          </w:p>
        </w:tc>
        <w:tc>
          <w:tcPr>
            <w:tcW w:w="1133" w:type="dxa"/>
            <w:tcBorders>
              <w:top w:val="nil"/>
              <w:left w:val="nil"/>
              <w:bottom w:val="nil"/>
              <w:right w:val="nil"/>
            </w:tcBorders>
            <w:hideMark/>
          </w:tcPr>
          <w:p w:rsidRPr="00CE46B7" w:rsidR="00DD5FF5" w:rsidP="00CE46B7" w:rsidRDefault="00DD5FF5" w14:paraId="707130A2" w14:textId="77777777">
            <w:pPr>
              <w:jc w:val="right"/>
              <w:rPr>
                <w:rFonts w:ascii="Calibri" w:hAnsi="Calibri" w:eastAsia="Calibri" w:cs="Calibri"/>
                <w:sz w:val="22"/>
                <w:szCs w:val="22"/>
              </w:rPr>
            </w:pPr>
            <w:r w:rsidRPr="00CE46B7">
              <w:rPr>
                <w:rFonts w:ascii="Calibri" w:hAnsi="Calibri" w:eastAsia="Calibri" w:cs="Calibri"/>
                <w:sz w:val="22"/>
                <w:szCs w:val="22"/>
              </w:rPr>
              <w:t>51.200</w:t>
            </w:r>
          </w:p>
          <w:p w:rsidRPr="00CE46B7" w:rsidR="00DD5FF5" w:rsidP="00CE46B7" w:rsidRDefault="00DD5FF5" w14:paraId="41639DBA" w14:textId="77777777">
            <w:pPr>
              <w:jc w:val="right"/>
              <w:rPr>
                <w:rFonts w:ascii="Calibri" w:hAnsi="Calibri" w:cs="Calibri" w:eastAsiaTheme="minorHAnsi"/>
                <w:sz w:val="22"/>
                <w:szCs w:val="22"/>
              </w:rPr>
            </w:pPr>
            <w:r w:rsidRPr="00CE46B7">
              <w:rPr>
                <w:rFonts w:ascii="Calibri" w:hAnsi="Calibri" w:eastAsia="Calibri" w:cs="Calibri"/>
                <w:color w:val="7F7F7F" w:themeColor="text1" w:themeTint="80"/>
                <w:sz w:val="22"/>
                <w:szCs w:val="22"/>
              </w:rPr>
              <w:t>1.700</w:t>
            </w:r>
          </w:p>
        </w:tc>
      </w:tr>
    </w:tbl>
    <w:bookmarkEnd w:id="26"/>
    <w:bookmarkEnd w:id="27"/>
    <w:p w:rsidRPr="00CE46B7" w:rsidR="00DD5FF5" w:rsidP="00DD5FF5" w:rsidRDefault="00DD5FF5" w14:paraId="0BC1ADB2" w14:textId="77777777">
      <w:pPr>
        <w:rPr>
          <w:rFonts w:ascii="Calibri" w:hAnsi="Calibri" w:eastAsia="Verdana" w:cs="Calibri"/>
          <w:b/>
          <w:bCs/>
        </w:rPr>
      </w:pPr>
      <w:r w:rsidRPr="00CE46B7">
        <w:rPr>
          <w:rFonts w:ascii="Calibri" w:hAnsi="Calibri" w:eastAsia="Verdana" w:cs="Calibri"/>
          <w:b/>
          <w:bCs/>
        </w:rPr>
        <w:t>Vooruitblik</w:t>
      </w:r>
    </w:p>
    <w:p w:rsidRPr="00CE46B7" w:rsidR="00DD5FF5" w:rsidP="00DD5FF5" w:rsidRDefault="00DD5FF5" w14:paraId="2031443B" w14:textId="77777777">
      <w:pPr>
        <w:pStyle w:val="Normaalweb"/>
        <w:spacing w:after="0" w:afterAutospacing="0" w:line="240" w:lineRule="atLeast"/>
        <w:rPr>
          <w:rFonts w:ascii="Calibri" w:hAnsi="Calibri" w:cs="Calibri"/>
          <w:sz w:val="22"/>
          <w:szCs w:val="22"/>
        </w:rPr>
      </w:pPr>
      <w:bookmarkStart w:name="OLE_LINK41" w:id="28"/>
      <w:r w:rsidRPr="00CE46B7">
        <w:rPr>
          <w:rFonts w:ascii="Calibri" w:hAnsi="Calibri" w:cs="Calibri"/>
          <w:sz w:val="22"/>
          <w:szCs w:val="22"/>
        </w:rPr>
        <w:t>Dit jaar viert Invest-NL haar vijfjarig bestaan. Hoewel de organisatie nog volop in ontwikkeling is, is zij in korte tijd uitgegroeid tot een prominente speler in het publieke investeringslandschap. Naast de inzet van eigen kapitaal vervult Invest-NL in toenemende mate een bredere systeemrol: het mobiliseren van privaat kapitaal ten behoeve van de maatschappelijke transities.</w:t>
      </w:r>
    </w:p>
    <w:p w:rsidRPr="00CE46B7" w:rsidR="00DD5FF5" w:rsidP="00DD5FF5" w:rsidRDefault="00DD5FF5" w14:paraId="1D13589D" w14:textId="77777777">
      <w:pPr>
        <w:pStyle w:val="Normaalweb"/>
        <w:spacing w:after="0" w:afterAutospacing="0" w:line="240" w:lineRule="atLeast"/>
        <w:rPr>
          <w:rFonts w:ascii="Calibri" w:hAnsi="Calibri" w:cs="Calibri"/>
          <w:sz w:val="22"/>
          <w:szCs w:val="22"/>
        </w:rPr>
      </w:pPr>
      <w:r w:rsidRPr="00CE46B7">
        <w:rPr>
          <w:rFonts w:ascii="Calibri" w:hAnsi="Calibri" w:eastAsia="Verdana" w:cs="Calibri"/>
          <w:sz w:val="22"/>
          <w:szCs w:val="22"/>
        </w:rPr>
        <w:t xml:space="preserve">Ik heb er vertrouwen in dat Invest-NL door zal blijven groeien als belangrijk vehikel voor investeringen in innovatie en het versterken van het verdienvermogen van </w:t>
      </w:r>
      <w:r w:rsidRPr="00CE46B7">
        <w:rPr>
          <w:rFonts w:ascii="Calibri" w:hAnsi="Calibri" w:eastAsia="Verdana" w:cs="Calibri"/>
          <w:sz w:val="22"/>
          <w:szCs w:val="22"/>
        </w:rPr>
        <w:lastRenderedPageBreak/>
        <w:t xml:space="preserve">onze economie. </w:t>
      </w:r>
      <w:r w:rsidRPr="00CE46B7">
        <w:rPr>
          <w:rFonts w:ascii="Calibri" w:hAnsi="Calibri" w:cs="Calibri"/>
          <w:sz w:val="22"/>
          <w:szCs w:val="22"/>
        </w:rPr>
        <w:t xml:space="preserve">In 2025 richt Invest-NL zich, mede dankzij de eergenoemde additionele middelen, onder meer op verbreding van het instrumentarium – zoals met </w:t>
      </w:r>
      <w:r w:rsidRPr="00CE46B7">
        <w:rPr>
          <w:rFonts w:ascii="Calibri" w:hAnsi="Calibri" w:cs="Calibri"/>
          <w:i/>
          <w:iCs/>
          <w:sz w:val="22"/>
          <w:szCs w:val="22"/>
        </w:rPr>
        <w:t>blended finance</w:t>
      </w:r>
      <w:r w:rsidRPr="00CE46B7">
        <w:rPr>
          <w:rFonts w:ascii="Calibri" w:hAnsi="Calibri" w:cs="Calibri"/>
          <w:sz w:val="22"/>
          <w:szCs w:val="22"/>
        </w:rPr>
        <w:t xml:space="preserve"> – en op het beter bedienen van bedrijven met een grotere financieringsbehoefte. Samenwerking met publieke en private partners blijft daarbij centraal staan, onder andere binnen ketens en Europese programma’s. Ook zet Invest-NL verdere stappen in de verkenning van haar rol op het gebied van </w:t>
      </w:r>
      <w:r w:rsidRPr="00CE46B7">
        <w:rPr>
          <w:rFonts w:ascii="Calibri" w:hAnsi="Calibri" w:cs="Calibri"/>
          <w:i/>
          <w:iCs/>
          <w:sz w:val="22"/>
          <w:szCs w:val="22"/>
        </w:rPr>
        <w:t>dual use</w:t>
      </w:r>
      <w:r w:rsidRPr="00CE46B7">
        <w:rPr>
          <w:rFonts w:ascii="Calibri" w:hAnsi="Calibri" w:cs="Calibri"/>
          <w:sz w:val="22"/>
          <w:szCs w:val="22"/>
        </w:rPr>
        <w:t xml:space="preserve"> en defensiegerelateerde investeringen en de samenwerking met pensioenfondsen, gericht op de inzet van institutioneel kapitaal voor impactvolle investeringen.</w:t>
      </w:r>
    </w:p>
    <w:p w:rsidRPr="00CE46B7" w:rsidR="00DD5FF5" w:rsidP="00DD5FF5" w:rsidRDefault="00DD5FF5" w14:paraId="0A3B35F6" w14:textId="77777777">
      <w:pPr>
        <w:pStyle w:val="Normaalweb"/>
        <w:spacing w:after="0" w:afterAutospacing="0" w:line="240" w:lineRule="atLeast"/>
        <w:rPr>
          <w:rFonts w:ascii="Calibri" w:hAnsi="Calibri" w:cs="Calibri"/>
          <w:sz w:val="22"/>
          <w:szCs w:val="22"/>
        </w:rPr>
      </w:pPr>
      <w:bookmarkStart w:name="OLE_LINK70" w:id="29"/>
      <w:bookmarkStart w:name="OLE_LINK71" w:id="30"/>
      <w:r w:rsidRPr="00CE46B7">
        <w:rPr>
          <w:rFonts w:ascii="Calibri" w:hAnsi="Calibri" w:cs="Calibri"/>
          <w:sz w:val="22"/>
          <w:szCs w:val="22"/>
        </w:rPr>
        <w:t xml:space="preserve">Ondanks de Rijksbrede taakstelling op subsidies, die ook leidt tot een forse bezuiniging op de ontwikkeltaak van Invest-NL, blijft de afdeling Business Development een belangrijke rol spelen. De focus ligt daarbij steeds meer op het investeerbaar maken van proposities en het ontwikkelen van financiële instrumenten. </w:t>
      </w:r>
      <w:bookmarkEnd w:id="29"/>
      <w:r w:rsidRPr="00CE46B7">
        <w:rPr>
          <w:rFonts w:ascii="Calibri" w:hAnsi="Calibri" w:cs="Calibri"/>
          <w:sz w:val="22"/>
          <w:szCs w:val="22"/>
        </w:rPr>
        <w:t xml:space="preserve">Deze activiteiten stellen Invest-NL nog beter in staat om structurele knelpunten in de financiering van innovatieve ondernemingen aan te pakken. </w:t>
      </w:r>
    </w:p>
    <w:p w:rsidRPr="00CE46B7" w:rsidR="00DD5FF5" w:rsidP="00DD5FF5" w:rsidRDefault="00DD5FF5" w14:paraId="1C91D751" w14:textId="77777777">
      <w:pPr>
        <w:pStyle w:val="Normaalweb"/>
        <w:spacing w:after="0" w:afterAutospacing="0" w:line="240" w:lineRule="atLeast"/>
        <w:rPr>
          <w:rFonts w:ascii="Calibri" w:hAnsi="Calibri" w:cs="Calibri"/>
          <w:sz w:val="22"/>
          <w:szCs w:val="22"/>
        </w:rPr>
      </w:pPr>
      <w:bookmarkStart w:name="OLE_LINK66" w:id="31"/>
      <w:bookmarkStart w:name="OLE_LINK79" w:id="32"/>
      <w:bookmarkEnd w:id="30"/>
      <w:r w:rsidRPr="00CE46B7">
        <w:rPr>
          <w:rFonts w:ascii="Calibri" w:hAnsi="Calibri" w:cs="Calibri"/>
          <w:sz w:val="22"/>
          <w:szCs w:val="22"/>
        </w:rPr>
        <w:t xml:space="preserve">Tot slot zal actief worden doorgewerkt aan de eerdergenoemde voorbereiding van de integratie van Invest-NL en Invest International. Het toewerken naar één krachtige nationale investeringsinstelling biedt kansen voor een breder, slagvaardiger en beter afgestemd instrumentarium voor ondernemers met nationale én internationale ambities. </w:t>
      </w:r>
      <w:bookmarkEnd w:id="28"/>
      <w:bookmarkEnd w:id="31"/>
    </w:p>
    <w:bookmarkEnd w:id="6"/>
    <w:bookmarkEnd w:id="32"/>
    <w:p w:rsidRPr="00CE46B7" w:rsidR="00DD5FF5" w:rsidP="00CE46B7" w:rsidRDefault="00DD5FF5" w14:paraId="21FDF3B4" w14:textId="77777777">
      <w:pPr>
        <w:pStyle w:val="Geenafstand"/>
        <w:rPr>
          <w:rFonts w:ascii="Calibri" w:hAnsi="Calibri" w:cs="Calibri"/>
          <w:sz w:val="22"/>
          <w:szCs w:val="22"/>
        </w:rPr>
      </w:pPr>
    </w:p>
    <w:p w:rsidRPr="00CE46B7" w:rsidR="00CE46B7" w:rsidP="00CE46B7" w:rsidRDefault="00CE46B7" w14:paraId="4E06E6D9" w14:textId="414EA477">
      <w:pPr>
        <w:pStyle w:val="Geenafstand"/>
        <w:rPr>
          <w:rFonts w:ascii="Calibri" w:hAnsi="Calibri" w:cs="Calibri"/>
          <w:sz w:val="22"/>
          <w:szCs w:val="22"/>
        </w:rPr>
      </w:pPr>
      <w:r w:rsidRPr="00CE46B7">
        <w:rPr>
          <w:rFonts w:ascii="Calibri" w:hAnsi="Calibri" w:cs="Calibri"/>
          <w:sz w:val="22"/>
          <w:szCs w:val="22"/>
        </w:rPr>
        <w:t>De m</w:t>
      </w:r>
      <w:r w:rsidRPr="00CE46B7">
        <w:rPr>
          <w:rFonts w:ascii="Calibri" w:hAnsi="Calibri" w:cs="Calibri"/>
          <w:sz w:val="22"/>
          <w:szCs w:val="22"/>
        </w:rPr>
        <w:t>inister van Economische Zaken</w:t>
      </w:r>
      <w:r w:rsidRPr="00CE46B7">
        <w:rPr>
          <w:rFonts w:ascii="Calibri" w:hAnsi="Calibri" w:cs="Calibri"/>
          <w:sz w:val="22"/>
          <w:szCs w:val="22"/>
        </w:rPr>
        <w:t>,</w:t>
      </w:r>
    </w:p>
    <w:p w:rsidRPr="00CE46B7" w:rsidR="00DD5FF5" w:rsidP="00CE46B7" w:rsidRDefault="00DD5FF5" w14:paraId="046EEE26" w14:textId="79AD058A">
      <w:pPr>
        <w:pStyle w:val="Geenafstand"/>
        <w:rPr>
          <w:rFonts w:ascii="Calibri" w:hAnsi="Calibri" w:cs="Calibri"/>
          <w:sz w:val="22"/>
          <w:szCs w:val="22"/>
        </w:rPr>
      </w:pPr>
      <w:r w:rsidRPr="00CE46B7">
        <w:rPr>
          <w:rFonts w:ascii="Calibri" w:hAnsi="Calibri" w:cs="Calibri"/>
          <w:sz w:val="22"/>
          <w:szCs w:val="22"/>
        </w:rPr>
        <w:t>V</w:t>
      </w:r>
      <w:r w:rsidRPr="00CE46B7" w:rsidR="00CE46B7">
        <w:rPr>
          <w:rFonts w:ascii="Calibri" w:hAnsi="Calibri" w:cs="Calibri"/>
          <w:sz w:val="22"/>
          <w:szCs w:val="22"/>
        </w:rPr>
        <w:t xml:space="preserve">.P.G. </w:t>
      </w:r>
      <w:r w:rsidRPr="00CE46B7">
        <w:rPr>
          <w:rFonts w:ascii="Calibri" w:hAnsi="Calibri" w:cs="Calibri"/>
          <w:sz w:val="22"/>
          <w:szCs w:val="22"/>
        </w:rPr>
        <w:t>Karremans</w:t>
      </w:r>
    </w:p>
    <w:p w:rsidRPr="00CE46B7" w:rsidR="00E6311E" w:rsidP="00CE46B7" w:rsidRDefault="00E6311E" w14:paraId="1D205B83" w14:textId="77777777">
      <w:pPr>
        <w:pStyle w:val="Geenafstand"/>
        <w:rPr>
          <w:rFonts w:ascii="Calibri" w:hAnsi="Calibri" w:cs="Calibri"/>
          <w:sz w:val="22"/>
          <w:szCs w:val="22"/>
        </w:rPr>
      </w:pPr>
    </w:p>
    <w:sectPr w:rsidRPr="00CE46B7" w:rsidR="00E6311E" w:rsidSect="00443BD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BC43" w14:textId="77777777" w:rsidR="00DD5FF5" w:rsidRDefault="00DD5FF5" w:rsidP="00DD5FF5">
      <w:pPr>
        <w:spacing w:after="0" w:line="240" w:lineRule="auto"/>
      </w:pPr>
      <w:r>
        <w:separator/>
      </w:r>
    </w:p>
  </w:endnote>
  <w:endnote w:type="continuationSeparator" w:id="0">
    <w:p w14:paraId="1E676EDD" w14:textId="77777777" w:rsidR="00DD5FF5" w:rsidRDefault="00DD5FF5" w:rsidP="00DD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A77C" w14:textId="77777777" w:rsidR="00DD5FF5" w:rsidRPr="00DD5FF5" w:rsidRDefault="00DD5FF5" w:rsidP="00DD5F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993C" w14:textId="77777777" w:rsidR="00DD5FF5" w:rsidRPr="00DD5FF5" w:rsidRDefault="00DD5FF5" w:rsidP="00DD5F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235B" w14:textId="77777777" w:rsidR="00DD5FF5" w:rsidRPr="00DD5FF5" w:rsidRDefault="00DD5FF5" w:rsidP="00DD5F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B444" w14:textId="77777777" w:rsidR="00DD5FF5" w:rsidRDefault="00DD5FF5" w:rsidP="00DD5FF5">
      <w:pPr>
        <w:spacing w:after="0" w:line="240" w:lineRule="auto"/>
      </w:pPr>
      <w:r>
        <w:separator/>
      </w:r>
    </w:p>
  </w:footnote>
  <w:footnote w:type="continuationSeparator" w:id="0">
    <w:p w14:paraId="4A4D5AD1" w14:textId="77777777" w:rsidR="00DD5FF5" w:rsidRDefault="00DD5FF5" w:rsidP="00DD5FF5">
      <w:pPr>
        <w:spacing w:after="0" w:line="240" w:lineRule="auto"/>
      </w:pPr>
      <w:r>
        <w:continuationSeparator/>
      </w:r>
    </w:p>
  </w:footnote>
  <w:footnote w:id="1">
    <w:p w14:paraId="57C1BC39" w14:textId="77777777" w:rsidR="00DD5FF5" w:rsidRPr="00CE46B7" w:rsidRDefault="00DD5FF5" w:rsidP="00DD5FF5">
      <w:pPr>
        <w:pStyle w:val="Voetnoottekst"/>
        <w:rPr>
          <w:rFonts w:ascii="Calibri" w:hAnsi="Calibri" w:cs="Calibri"/>
          <w:sz w:val="20"/>
        </w:rPr>
      </w:pPr>
      <w:r w:rsidRPr="00CE46B7">
        <w:rPr>
          <w:rStyle w:val="Voetnootmarkering"/>
          <w:rFonts w:ascii="Calibri" w:hAnsi="Calibri" w:cs="Calibri"/>
          <w:sz w:val="20"/>
        </w:rPr>
        <w:footnoteRef/>
      </w:r>
      <w:r w:rsidRPr="00CE46B7">
        <w:rPr>
          <w:rFonts w:ascii="Calibri" w:hAnsi="Calibri" w:cs="Calibri"/>
          <w:sz w:val="20"/>
        </w:rPr>
        <w:t xml:space="preserve"> De forse afname in vermeden emissies kwam voor een groot deel voort uit de succesvolle exit uit Sif en het faillissement van Umincorp. Daarnaast is het aandeel van Invest-NL bij een aantal participaties verwaterd.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ECE8" w14:textId="77777777" w:rsidR="00DD5FF5" w:rsidRPr="00DD5FF5" w:rsidRDefault="00DD5FF5" w:rsidP="00DD5F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E594" w14:textId="77777777" w:rsidR="00DD5FF5" w:rsidRPr="00DD5FF5" w:rsidRDefault="00DD5FF5" w:rsidP="00DD5F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EEEF" w14:textId="77777777" w:rsidR="00DD5FF5" w:rsidRPr="00DD5FF5" w:rsidRDefault="00DD5FF5" w:rsidP="00DD5F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F5"/>
    <w:rsid w:val="001F5D8E"/>
    <w:rsid w:val="0025703A"/>
    <w:rsid w:val="00443BDD"/>
    <w:rsid w:val="00612A2D"/>
    <w:rsid w:val="00C57495"/>
    <w:rsid w:val="00CE46B7"/>
    <w:rsid w:val="00DD5FF5"/>
    <w:rsid w:val="00E52EB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EBF7"/>
  <w15:chartTrackingRefBased/>
  <w15:docId w15:val="{87AC39C9-4623-400E-AF61-5A20744F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5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5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5F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5F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5F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5F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5F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5F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5F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5F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5F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5F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5F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5F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5F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5F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5F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5FF5"/>
    <w:rPr>
      <w:rFonts w:eastAsiaTheme="majorEastAsia" w:cstheme="majorBidi"/>
      <w:color w:val="272727" w:themeColor="text1" w:themeTint="D8"/>
    </w:rPr>
  </w:style>
  <w:style w:type="paragraph" w:styleId="Titel">
    <w:name w:val="Title"/>
    <w:basedOn w:val="Standaard"/>
    <w:next w:val="Standaard"/>
    <w:link w:val="TitelChar"/>
    <w:uiPriority w:val="10"/>
    <w:qFormat/>
    <w:rsid w:val="00DD5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5F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5F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5F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5F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5FF5"/>
    <w:rPr>
      <w:i/>
      <w:iCs/>
      <w:color w:val="404040" w:themeColor="text1" w:themeTint="BF"/>
    </w:rPr>
  </w:style>
  <w:style w:type="paragraph" w:styleId="Lijstalinea">
    <w:name w:val="List Paragraph"/>
    <w:basedOn w:val="Standaard"/>
    <w:uiPriority w:val="34"/>
    <w:qFormat/>
    <w:rsid w:val="00DD5FF5"/>
    <w:pPr>
      <w:ind w:left="720"/>
      <w:contextualSpacing/>
    </w:pPr>
  </w:style>
  <w:style w:type="character" w:styleId="Intensievebenadrukking">
    <w:name w:val="Intense Emphasis"/>
    <w:basedOn w:val="Standaardalinea-lettertype"/>
    <w:uiPriority w:val="21"/>
    <w:qFormat/>
    <w:rsid w:val="00DD5FF5"/>
    <w:rPr>
      <w:i/>
      <w:iCs/>
      <w:color w:val="0F4761" w:themeColor="accent1" w:themeShade="BF"/>
    </w:rPr>
  </w:style>
  <w:style w:type="paragraph" w:styleId="Duidelijkcitaat">
    <w:name w:val="Intense Quote"/>
    <w:basedOn w:val="Standaard"/>
    <w:next w:val="Standaard"/>
    <w:link w:val="DuidelijkcitaatChar"/>
    <w:uiPriority w:val="30"/>
    <w:qFormat/>
    <w:rsid w:val="00DD5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5FF5"/>
    <w:rPr>
      <w:i/>
      <w:iCs/>
      <w:color w:val="0F4761" w:themeColor="accent1" w:themeShade="BF"/>
    </w:rPr>
  </w:style>
  <w:style w:type="character" w:styleId="Intensieveverwijzing">
    <w:name w:val="Intense Reference"/>
    <w:basedOn w:val="Standaardalinea-lettertype"/>
    <w:uiPriority w:val="32"/>
    <w:qFormat/>
    <w:rsid w:val="00DD5FF5"/>
    <w:rPr>
      <w:b/>
      <w:bCs/>
      <w:smallCaps/>
      <w:color w:val="0F4761" w:themeColor="accent1" w:themeShade="BF"/>
      <w:spacing w:val="5"/>
    </w:rPr>
  </w:style>
  <w:style w:type="paragraph" w:styleId="Koptekst">
    <w:name w:val="header"/>
    <w:basedOn w:val="Standaard"/>
    <w:link w:val="KoptekstChar"/>
    <w:rsid w:val="00DD5F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D5FF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D5F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D5FF5"/>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59"/>
    <w:rsid w:val="00DD5FF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DD5FF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D5FF5"/>
    <w:rPr>
      <w:rFonts w:ascii="Verdana" w:hAnsi="Verdana"/>
      <w:noProof/>
      <w:sz w:val="13"/>
      <w:szCs w:val="24"/>
      <w:lang w:eastAsia="nl-NL"/>
    </w:rPr>
  </w:style>
  <w:style w:type="paragraph" w:customStyle="1" w:styleId="Huisstijl-Gegeven">
    <w:name w:val="Huisstijl-Gegeven"/>
    <w:basedOn w:val="Standaard"/>
    <w:link w:val="Huisstijl-GegevenCharChar"/>
    <w:rsid w:val="00DD5FF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D5FF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D5FF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D5FF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D5FF5"/>
    <w:pPr>
      <w:spacing w:after="0"/>
    </w:pPr>
    <w:rPr>
      <w:b/>
    </w:rPr>
  </w:style>
  <w:style w:type="paragraph" w:customStyle="1" w:styleId="Huisstijl-Paginanummering">
    <w:name w:val="Huisstijl-Paginanummering"/>
    <w:basedOn w:val="Standaard"/>
    <w:rsid w:val="00DD5FF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D5FF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D5FF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D5FF5"/>
    <w:rPr>
      <w:rFonts w:ascii="Verdana" w:eastAsia="Times New Roman" w:hAnsi="Verdana" w:cs="Times New Roman"/>
      <w:kern w:val="0"/>
      <w:sz w:val="13"/>
      <w:szCs w:val="20"/>
      <w:lang w:eastAsia="nl-NL"/>
      <w14:ligatures w14:val="none"/>
    </w:rPr>
  </w:style>
  <w:style w:type="paragraph" w:styleId="Normaalweb">
    <w:name w:val="Normal (Web)"/>
    <w:basedOn w:val="Standaard"/>
    <w:uiPriority w:val="99"/>
    <w:unhideWhenUsed/>
    <w:rsid w:val="00DD5FF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DD5FF5"/>
    <w:pPr>
      <w:spacing w:after="0" w:line="240" w:lineRule="auto"/>
    </w:pPr>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DD5FF5"/>
    <w:rPr>
      <w:vertAlign w:val="superscript"/>
    </w:rPr>
  </w:style>
  <w:style w:type="paragraph" w:customStyle="1" w:styleId="Geenafstand1">
    <w:name w:val="Geen afstand1"/>
    <w:uiPriority w:val="1"/>
    <w:qFormat/>
    <w:rsid w:val="00DD5FF5"/>
    <w:pPr>
      <w:spacing w:after="0" w:line="240" w:lineRule="auto"/>
    </w:pPr>
    <w:rPr>
      <w:rFonts w:ascii="Garamond" w:eastAsia="Calibri" w:hAnsi="Garamond" w:cs="Times New Roman"/>
      <w:kern w:val="0"/>
      <w:sz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3051</ap:Words>
  <ap:Characters>16781</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2025-12-04T14:03:00.0000000Z</dcterms:created>
  <dcterms:modified xsi:type="dcterms:W3CDTF">2025-12-04T14:03:00.0000000Z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