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C101C2" w:rsidRDefault="00C101C2" w14:paraId="38BCA4E2" w14:textId="02B9E0BB">
      <w:pPr>
        <w:rPr>
          <w:b/>
          <w:szCs w:val="18"/>
          <w:lang w:val="nl-NL"/>
        </w:rPr>
      </w:pPr>
      <w:bookmarkStart w:name="_Hlk108774585" w:id="0"/>
      <w:r>
        <w:rPr>
          <w:b/>
          <w:szCs w:val="18"/>
          <w:lang w:val="nl-NL"/>
        </w:rPr>
        <w:t xml:space="preserve">VERSLAG RAAD BUITENLANDSE ZAKEN </w:t>
      </w:r>
      <w:r w:rsidR="006C111C">
        <w:rPr>
          <w:b/>
          <w:szCs w:val="18"/>
          <w:lang w:val="nl-NL"/>
        </w:rPr>
        <w:t>VAN 20 november 2025</w:t>
      </w:r>
    </w:p>
    <w:p w:rsidRPr="00922C57" w:rsidR="00922C57" w:rsidP="00922C57" w:rsidRDefault="006C111C" w14:paraId="2636AA1C" w14:textId="7B831627">
      <w:pPr>
        <w:rPr>
          <w:lang w:val="nl-NL"/>
        </w:rPr>
      </w:pPr>
      <w:r w:rsidRPr="004B760A">
        <w:rPr>
          <w:bCs/>
          <w:szCs w:val="18"/>
          <w:lang w:val="nl-NL" w:eastAsia="ja-JP"/>
        </w:rPr>
        <w:t xml:space="preserve">Op </w:t>
      </w:r>
      <w:r>
        <w:rPr>
          <w:bCs/>
          <w:szCs w:val="18"/>
          <w:lang w:val="nl-NL" w:eastAsia="ja-JP"/>
        </w:rPr>
        <w:t>donderdag</w:t>
      </w:r>
      <w:r w:rsidRPr="004B760A">
        <w:rPr>
          <w:bCs/>
          <w:szCs w:val="18"/>
          <w:lang w:val="nl-NL" w:eastAsia="ja-JP"/>
        </w:rPr>
        <w:t xml:space="preserve"> 20 </w:t>
      </w:r>
      <w:r>
        <w:rPr>
          <w:bCs/>
          <w:szCs w:val="18"/>
          <w:lang w:val="nl-NL" w:eastAsia="ja-JP"/>
        </w:rPr>
        <w:t>novemb</w:t>
      </w:r>
      <w:r w:rsidR="0055688D">
        <w:rPr>
          <w:bCs/>
          <w:szCs w:val="18"/>
          <w:lang w:val="nl-NL" w:eastAsia="ja-JP"/>
        </w:rPr>
        <w:t>er jl. vond</w:t>
      </w:r>
      <w:r w:rsidRPr="004B760A">
        <w:rPr>
          <w:bCs/>
          <w:szCs w:val="18"/>
          <w:lang w:val="nl-NL" w:eastAsia="ja-JP"/>
        </w:rPr>
        <w:t xml:space="preserve"> de Raad Buitenlandse Zaken (RBZ) plaats in </w:t>
      </w:r>
      <w:r>
        <w:rPr>
          <w:bCs/>
          <w:szCs w:val="18"/>
          <w:lang w:val="nl-NL" w:eastAsia="ja-JP"/>
        </w:rPr>
        <w:t>Brussel</w:t>
      </w:r>
      <w:r w:rsidRPr="004B760A">
        <w:rPr>
          <w:bCs/>
          <w:szCs w:val="18"/>
          <w:lang w:val="nl-NL" w:eastAsia="ja-JP"/>
        </w:rPr>
        <w:t xml:space="preserve">. De minister van Buitenlandse Zaken </w:t>
      </w:r>
      <w:r w:rsidR="00A27344">
        <w:rPr>
          <w:bCs/>
          <w:szCs w:val="18"/>
          <w:lang w:val="nl-NL" w:eastAsia="ja-JP"/>
        </w:rPr>
        <w:t>heeft deelgenomen</w:t>
      </w:r>
      <w:r w:rsidR="0055688D">
        <w:rPr>
          <w:bCs/>
          <w:szCs w:val="18"/>
          <w:lang w:val="nl-NL" w:eastAsia="ja-JP"/>
        </w:rPr>
        <w:t>.</w:t>
      </w:r>
      <w:r w:rsidRPr="004B760A">
        <w:rPr>
          <w:bCs/>
          <w:szCs w:val="18"/>
          <w:lang w:val="nl-NL" w:eastAsia="ja-JP"/>
        </w:rPr>
        <w:t xml:space="preserve"> </w:t>
      </w:r>
      <w:r w:rsidR="00A27344">
        <w:rPr>
          <w:bCs/>
          <w:szCs w:val="18"/>
          <w:lang w:val="nl-NL" w:eastAsia="ja-JP"/>
        </w:rPr>
        <w:t xml:space="preserve">Op de </w:t>
      </w:r>
      <w:r w:rsidRPr="00922C57" w:rsidR="00A27344">
        <w:rPr>
          <w:bCs/>
          <w:szCs w:val="18"/>
          <w:lang w:val="nl-NL" w:eastAsia="ja-JP"/>
        </w:rPr>
        <w:t xml:space="preserve">agenda stond </w:t>
      </w:r>
      <w:r w:rsidRPr="00922C57">
        <w:rPr>
          <w:bCs/>
          <w:szCs w:val="18"/>
          <w:lang w:val="nl-NL" w:eastAsia="ja-JP"/>
        </w:rPr>
        <w:t>de Russische agressie tegen Oekraïne, de situatie in het Midden-Oosten, Soedan</w:t>
      </w:r>
      <w:r w:rsidR="00D6448A">
        <w:rPr>
          <w:bCs/>
          <w:szCs w:val="18"/>
          <w:lang w:val="nl-NL" w:eastAsia="ja-JP"/>
        </w:rPr>
        <w:t xml:space="preserve"> en </w:t>
      </w:r>
      <w:r w:rsidR="00922C57">
        <w:rPr>
          <w:bCs/>
          <w:szCs w:val="18"/>
          <w:lang w:val="nl-NL" w:eastAsia="ja-JP"/>
        </w:rPr>
        <w:t xml:space="preserve">de </w:t>
      </w:r>
      <w:r w:rsidRPr="00922C57" w:rsidR="00922C57">
        <w:rPr>
          <w:bCs/>
          <w:szCs w:val="18"/>
          <w:lang w:val="nl-NL" w:eastAsia="ja-JP"/>
        </w:rPr>
        <w:t>Sahel</w:t>
      </w:r>
      <w:r w:rsidR="00D6448A">
        <w:rPr>
          <w:bCs/>
          <w:szCs w:val="18"/>
          <w:lang w:val="nl-NL" w:eastAsia="ja-JP"/>
        </w:rPr>
        <w:t xml:space="preserve">. </w:t>
      </w:r>
      <w:r w:rsidR="003F328F">
        <w:rPr>
          <w:bCs/>
          <w:szCs w:val="18"/>
          <w:lang w:val="nl-NL" w:eastAsia="ja-JP"/>
        </w:rPr>
        <w:t>Tevens</w:t>
      </w:r>
      <w:r w:rsidR="00BF56AA">
        <w:rPr>
          <w:bCs/>
          <w:szCs w:val="18"/>
          <w:lang w:val="nl-NL" w:eastAsia="ja-JP"/>
        </w:rPr>
        <w:t xml:space="preserve"> vond</w:t>
      </w:r>
      <w:r w:rsidR="00D6448A">
        <w:rPr>
          <w:bCs/>
          <w:szCs w:val="18"/>
          <w:lang w:val="nl-NL" w:eastAsia="ja-JP"/>
        </w:rPr>
        <w:t xml:space="preserve"> </w:t>
      </w:r>
      <w:r w:rsidR="00BF56AA">
        <w:rPr>
          <w:bCs/>
          <w:szCs w:val="18"/>
          <w:lang w:val="nl-NL" w:eastAsia="ja-JP"/>
        </w:rPr>
        <w:t xml:space="preserve">de </w:t>
      </w:r>
      <w:r w:rsidR="00BF56AA">
        <w:rPr>
          <w:rFonts w:cs="Times New Roman"/>
          <w:bCs/>
          <w:szCs w:val="18"/>
          <w:lang w:val="nl-NL" w:eastAsia="ja-JP"/>
        </w:rPr>
        <w:t xml:space="preserve">eerste bijeenkomst van de door de EU-geïnitieerde </w:t>
      </w:r>
      <w:r w:rsidRPr="00BF56AA" w:rsidR="00BF56AA">
        <w:rPr>
          <w:rFonts w:cs="Times New Roman"/>
          <w:bCs/>
          <w:i/>
          <w:iCs/>
          <w:szCs w:val="18"/>
          <w:lang w:val="nl-NL" w:eastAsia="ja-JP"/>
        </w:rPr>
        <w:t>Palestine Donor Group</w:t>
      </w:r>
      <w:r w:rsidR="000F2F66">
        <w:rPr>
          <w:rFonts w:cs="Times New Roman"/>
          <w:bCs/>
          <w:i/>
          <w:iCs/>
          <w:szCs w:val="18"/>
          <w:lang w:val="nl-NL" w:eastAsia="ja-JP"/>
        </w:rPr>
        <w:t xml:space="preserve"> </w:t>
      </w:r>
      <w:r w:rsidRPr="000F2F66" w:rsidR="000F2F66">
        <w:rPr>
          <w:rFonts w:cs="Times New Roman"/>
          <w:bCs/>
          <w:szCs w:val="18"/>
          <w:lang w:val="nl-NL" w:eastAsia="ja-JP"/>
        </w:rPr>
        <w:t>(PDG)</w:t>
      </w:r>
      <w:r w:rsidR="00095EB3">
        <w:rPr>
          <w:rFonts w:cs="Times New Roman"/>
          <w:bCs/>
          <w:szCs w:val="18"/>
          <w:lang w:val="nl-NL" w:eastAsia="ja-JP"/>
        </w:rPr>
        <w:t>,</w:t>
      </w:r>
      <w:r w:rsidRPr="00BF56AA" w:rsidR="00BF56AA">
        <w:rPr>
          <w:rFonts w:cs="Times New Roman"/>
          <w:bCs/>
          <w:i/>
          <w:iCs/>
          <w:szCs w:val="18"/>
          <w:lang w:val="nl-NL" w:eastAsia="ja-JP"/>
        </w:rPr>
        <w:t xml:space="preserve"> </w:t>
      </w:r>
      <w:r w:rsidRPr="000F2F66" w:rsidR="00BF56AA">
        <w:rPr>
          <w:rFonts w:cs="Times New Roman"/>
          <w:bCs/>
          <w:szCs w:val="18"/>
          <w:lang w:val="nl-NL" w:eastAsia="ja-JP"/>
        </w:rPr>
        <w:t>en</w:t>
      </w:r>
      <w:r w:rsidR="00BF56AA">
        <w:rPr>
          <w:rFonts w:cs="Times New Roman"/>
          <w:bCs/>
          <w:i/>
          <w:iCs/>
          <w:szCs w:val="18"/>
          <w:lang w:val="nl-NL" w:eastAsia="ja-JP"/>
        </w:rPr>
        <w:t xml:space="preserve"> </w:t>
      </w:r>
      <w:r w:rsidR="00D6448A">
        <w:rPr>
          <w:bCs/>
          <w:szCs w:val="18"/>
          <w:lang w:val="nl-NL" w:eastAsia="ja-JP"/>
        </w:rPr>
        <w:t>een</w:t>
      </w:r>
      <w:r w:rsidRPr="00922C57" w:rsidR="00922C57">
        <w:rPr>
          <w:bCs/>
          <w:szCs w:val="18"/>
          <w:lang w:val="nl-NL" w:eastAsia="ja-JP"/>
        </w:rPr>
        <w:t xml:space="preserve"> informele lunch bijeenkomst met </w:t>
      </w:r>
      <w:r w:rsidR="00D6448A">
        <w:rPr>
          <w:bCs/>
          <w:szCs w:val="18"/>
          <w:lang w:val="nl-NL" w:eastAsia="ja-JP"/>
        </w:rPr>
        <w:t xml:space="preserve">de </w:t>
      </w:r>
      <w:r w:rsidRPr="004C2393" w:rsidR="004C2393">
        <w:rPr>
          <w:bCs/>
          <w:i/>
          <w:iCs/>
          <w:szCs w:val="18"/>
          <w:lang w:val="nl-NL" w:eastAsia="ja-JP"/>
        </w:rPr>
        <w:t>Association of Southeast Asian Nations</w:t>
      </w:r>
      <w:r w:rsidRPr="004C2393" w:rsidR="004C2393">
        <w:rPr>
          <w:bCs/>
          <w:szCs w:val="18"/>
          <w:lang w:val="nl-NL" w:eastAsia="ja-JP"/>
        </w:rPr>
        <w:t xml:space="preserve"> </w:t>
      </w:r>
      <w:r w:rsidR="004C2393">
        <w:rPr>
          <w:bCs/>
          <w:szCs w:val="18"/>
          <w:lang w:val="nl-NL" w:eastAsia="ja-JP"/>
        </w:rPr>
        <w:t>(</w:t>
      </w:r>
      <w:r w:rsidRPr="00922C57" w:rsidR="005052D8">
        <w:rPr>
          <w:bCs/>
          <w:szCs w:val="18"/>
          <w:lang w:val="nl-NL" w:eastAsia="ja-JP"/>
        </w:rPr>
        <w:t>ASEAN</w:t>
      </w:r>
      <w:r w:rsidR="004C2393">
        <w:rPr>
          <w:bCs/>
          <w:szCs w:val="18"/>
          <w:lang w:val="nl-NL" w:eastAsia="ja-JP"/>
        </w:rPr>
        <w:t>)</w:t>
      </w:r>
      <w:r w:rsidR="00AD2FD8">
        <w:rPr>
          <w:bCs/>
          <w:szCs w:val="18"/>
          <w:lang w:val="nl-NL" w:eastAsia="ja-JP"/>
        </w:rPr>
        <w:t xml:space="preserve"> </w:t>
      </w:r>
      <w:r w:rsidR="00D6448A">
        <w:rPr>
          <w:bCs/>
          <w:szCs w:val="18"/>
          <w:lang w:val="nl-NL" w:eastAsia="ja-JP"/>
        </w:rPr>
        <w:t>landen plaats</w:t>
      </w:r>
      <w:r w:rsidRPr="00922C57">
        <w:rPr>
          <w:bCs/>
          <w:szCs w:val="18"/>
          <w:lang w:val="nl-NL" w:eastAsia="ja-JP"/>
        </w:rPr>
        <w:t>.</w:t>
      </w:r>
      <w:r w:rsidRPr="00922C57" w:rsidR="00A27344">
        <w:rPr>
          <w:bCs/>
          <w:szCs w:val="18"/>
          <w:lang w:val="nl-NL" w:eastAsia="ja-JP"/>
        </w:rPr>
        <w:t xml:space="preserve"> </w:t>
      </w:r>
      <w:r w:rsidRPr="00922C57">
        <w:rPr>
          <w:bCs/>
          <w:szCs w:val="18"/>
          <w:lang w:val="nl-NL" w:eastAsia="ja-JP"/>
        </w:rPr>
        <w:t xml:space="preserve">Aansluitend </w:t>
      </w:r>
      <w:r w:rsidRPr="00922C57" w:rsidR="00867DF3">
        <w:rPr>
          <w:bCs/>
          <w:szCs w:val="18"/>
          <w:lang w:val="nl-NL" w:eastAsia="ja-JP"/>
        </w:rPr>
        <w:t>op</w:t>
      </w:r>
      <w:r w:rsidRPr="00922C57">
        <w:rPr>
          <w:bCs/>
          <w:szCs w:val="18"/>
          <w:lang w:val="nl-NL" w:eastAsia="ja-JP"/>
        </w:rPr>
        <w:t xml:space="preserve"> de RBZ v</w:t>
      </w:r>
      <w:r w:rsidRPr="00922C57" w:rsidR="00867DF3">
        <w:rPr>
          <w:bCs/>
          <w:szCs w:val="18"/>
          <w:lang w:val="nl-NL" w:eastAsia="ja-JP"/>
        </w:rPr>
        <w:t>ond</w:t>
      </w:r>
      <w:r w:rsidRPr="00922C57">
        <w:rPr>
          <w:bCs/>
          <w:szCs w:val="18"/>
          <w:lang w:val="nl-NL" w:eastAsia="ja-JP"/>
        </w:rPr>
        <w:t xml:space="preserve"> </w:t>
      </w:r>
      <w:r w:rsidR="00922C57">
        <w:rPr>
          <w:bCs/>
          <w:szCs w:val="18"/>
          <w:lang w:val="nl-NL" w:eastAsia="ja-JP"/>
        </w:rPr>
        <w:t>een</w:t>
      </w:r>
      <w:r w:rsidRPr="00922C57" w:rsidR="00922C57">
        <w:rPr>
          <w:bCs/>
          <w:szCs w:val="18"/>
          <w:lang w:val="nl-NL" w:eastAsia="ja-JP"/>
        </w:rPr>
        <w:t xml:space="preserve"> </w:t>
      </w:r>
      <w:r w:rsidR="003059BA">
        <w:rPr>
          <w:bCs/>
          <w:szCs w:val="18"/>
          <w:lang w:val="nl-NL" w:eastAsia="ja-JP"/>
        </w:rPr>
        <w:t>ministeriële</w:t>
      </w:r>
      <w:r w:rsidR="00922C57">
        <w:rPr>
          <w:bCs/>
          <w:szCs w:val="18"/>
          <w:lang w:val="nl-NL" w:eastAsia="ja-JP"/>
        </w:rPr>
        <w:t xml:space="preserve"> </w:t>
      </w:r>
      <w:r w:rsidRPr="00922C57" w:rsidR="00922C57">
        <w:rPr>
          <w:bCs/>
          <w:szCs w:val="18"/>
          <w:lang w:val="nl-NL" w:eastAsia="ja-JP"/>
        </w:rPr>
        <w:t xml:space="preserve">EU-Indo-Pacific </w:t>
      </w:r>
      <w:r w:rsidR="00922C57">
        <w:rPr>
          <w:bCs/>
          <w:szCs w:val="18"/>
          <w:lang w:val="nl-NL" w:eastAsia="ja-JP"/>
        </w:rPr>
        <w:t>bijeenkomst</w:t>
      </w:r>
      <w:r w:rsidRPr="00922C57" w:rsidR="00922C57">
        <w:rPr>
          <w:bCs/>
          <w:szCs w:val="18"/>
          <w:lang w:val="nl-NL" w:eastAsia="ja-JP"/>
        </w:rPr>
        <w:t xml:space="preserve"> plaats. </w:t>
      </w:r>
      <w:bookmarkEnd w:id="0"/>
      <w:r w:rsidRPr="00922C57" w:rsidR="00922C57">
        <w:rPr>
          <w:bCs/>
          <w:szCs w:val="18"/>
          <w:lang w:val="nl-NL" w:eastAsia="ja-JP"/>
        </w:rPr>
        <w:t>Tevens</w:t>
      </w:r>
      <w:r w:rsidR="00922C57">
        <w:rPr>
          <w:bCs/>
          <w:szCs w:val="18"/>
          <w:lang w:val="nl-NL" w:eastAsia="ja-JP"/>
        </w:rPr>
        <w:t xml:space="preserve"> wordt uw Kamer middels dit verslag geïnformeerd over </w:t>
      </w:r>
      <w:r w:rsidR="00CB5AFB">
        <w:rPr>
          <w:bCs/>
          <w:szCs w:val="18"/>
          <w:lang w:val="nl-NL" w:eastAsia="ja-JP"/>
        </w:rPr>
        <w:t>een aantal</w:t>
      </w:r>
      <w:r w:rsidR="00BD0D1D">
        <w:rPr>
          <w:szCs w:val="18"/>
          <w:lang w:val="nl-NL" w:eastAsia="ja-JP"/>
        </w:rPr>
        <w:t xml:space="preserve"> moties </w:t>
      </w:r>
      <w:r w:rsidR="003B62F5">
        <w:rPr>
          <w:szCs w:val="18"/>
          <w:lang w:val="nl-NL" w:eastAsia="ja-JP"/>
        </w:rPr>
        <w:t>met betrekking tot</w:t>
      </w:r>
      <w:r w:rsidR="00BD0D1D">
        <w:rPr>
          <w:szCs w:val="18"/>
          <w:lang w:val="nl-NL" w:eastAsia="ja-JP"/>
        </w:rPr>
        <w:t xml:space="preserve"> Nigeria</w:t>
      </w:r>
      <w:r w:rsidR="008E0FDE">
        <w:rPr>
          <w:szCs w:val="18"/>
          <w:lang w:val="nl-NL" w:eastAsia="ja-JP"/>
        </w:rPr>
        <w:t>.</w:t>
      </w:r>
    </w:p>
    <w:p w:rsidRPr="00922C57" w:rsidR="006C111C" w:rsidP="006C111C" w:rsidRDefault="00922C57" w14:paraId="452FAB7E" w14:textId="61510357">
      <w:pPr>
        <w:spacing w:after="0"/>
        <w:contextualSpacing/>
        <w:rPr>
          <w:rFonts w:eastAsia="Malgun Gothic"/>
          <w:b/>
          <w:szCs w:val="18"/>
          <w:lang w:val="nl-NL" w:eastAsia="ko-KR"/>
        </w:rPr>
      </w:pPr>
      <w:r>
        <w:rPr>
          <w:rFonts w:eastAsia="Malgun Gothic"/>
          <w:b/>
          <w:szCs w:val="18"/>
          <w:lang w:val="nl-NL" w:eastAsia="ko-KR"/>
        </w:rPr>
        <w:t xml:space="preserve">Russische agressie tegen Oekraïne </w:t>
      </w:r>
    </w:p>
    <w:p w:rsidRPr="00B453B6" w:rsidR="00B453B6" w:rsidP="006C111C" w:rsidRDefault="00B80EE1" w14:paraId="23A2B40B" w14:textId="46B6B246">
      <w:pPr>
        <w:spacing w:after="0"/>
        <w:contextualSpacing/>
        <w:rPr>
          <w:rFonts w:cs="Times New Roman"/>
          <w:bCs/>
          <w:szCs w:val="18"/>
          <w:lang w:val="nl-NL" w:eastAsia="ja-JP"/>
        </w:rPr>
      </w:pPr>
      <w:r w:rsidRPr="00B80EE1">
        <w:rPr>
          <w:lang w:val="nl-NL"/>
        </w:rPr>
        <w:t xml:space="preserve">De Raad stond stil bij de voortdurende Russische agressieoorlog tegen Oekraïne en sprak over het belang van voortzetting van EU-steun aan Oekraïne. De Oekraïense minister van Buitenlandse Zaken Andrii Sybiha sloot </w:t>
      </w:r>
      <w:r w:rsidR="009E0155">
        <w:rPr>
          <w:lang w:val="nl-NL"/>
        </w:rPr>
        <w:t xml:space="preserve">digitaal </w:t>
      </w:r>
      <w:r w:rsidRPr="00B80EE1">
        <w:rPr>
          <w:lang w:val="nl-NL"/>
        </w:rPr>
        <w:t>aan bij het eerste gedeelte van de bespreking.</w:t>
      </w:r>
      <w:r w:rsidR="00494BFB">
        <w:rPr>
          <w:lang w:val="nl-NL"/>
        </w:rPr>
        <w:t xml:space="preserve"> </w:t>
      </w:r>
      <w:r w:rsidR="000E115A">
        <w:rPr>
          <w:lang w:val="nl-NL"/>
        </w:rPr>
        <w:t xml:space="preserve">De Raad sprak </w:t>
      </w:r>
      <w:r w:rsidR="00494BFB">
        <w:rPr>
          <w:lang w:val="nl-NL"/>
        </w:rPr>
        <w:t xml:space="preserve">in dit kader </w:t>
      </w:r>
      <w:r w:rsidR="000E115A">
        <w:rPr>
          <w:lang w:val="nl-NL"/>
        </w:rPr>
        <w:t xml:space="preserve">over de </w:t>
      </w:r>
      <w:r w:rsidR="00C57900">
        <w:rPr>
          <w:lang w:val="nl-NL"/>
        </w:rPr>
        <w:t>noodzaak en</w:t>
      </w:r>
      <w:r w:rsidR="000E115A">
        <w:rPr>
          <w:lang w:val="nl-NL"/>
        </w:rPr>
        <w:t xml:space="preserve"> urgentie van </w:t>
      </w:r>
      <w:r w:rsidR="00EF68ED">
        <w:rPr>
          <w:lang w:val="nl-NL"/>
        </w:rPr>
        <w:t>geïntensiveerde</w:t>
      </w:r>
      <w:r w:rsidR="000E115A">
        <w:rPr>
          <w:lang w:val="nl-NL"/>
        </w:rPr>
        <w:t xml:space="preserve"> financiële en militaire steun aan </w:t>
      </w:r>
      <w:r w:rsidR="00DC186E">
        <w:rPr>
          <w:lang w:val="nl-NL"/>
        </w:rPr>
        <w:t>Oekraïne</w:t>
      </w:r>
      <w:r w:rsidR="000E115A">
        <w:rPr>
          <w:lang w:val="nl-NL"/>
        </w:rPr>
        <w:t xml:space="preserve"> </w:t>
      </w:r>
      <w:r w:rsidR="00DC186E">
        <w:rPr>
          <w:lang w:val="nl-NL"/>
        </w:rPr>
        <w:t>voor 2026-2027.</w:t>
      </w:r>
      <w:r w:rsidR="000E115A">
        <w:rPr>
          <w:lang w:val="nl-NL"/>
        </w:rPr>
        <w:t xml:space="preserve"> Een brede groep lidstaten, waaronder Nederland, sprak zich hierbij uit voor het </w:t>
      </w:r>
      <w:r w:rsidR="00B870FA">
        <w:rPr>
          <w:lang w:val="nl-NL"/>
        </w:rPr>
        <w:t xml:space="preserve">op korte termijn </w:t>
      </w:r>
      <w:r w:rsidR="000E115A">
        <w:rPr>
          <w:lang w:val="nl-NL"/>
        </w:rPr>
        <w:t xml:space="preserve">uitwerken van de </w:t>
      </w:r>
      <w:r w:rsidR="009E0155">
        <w:rPr>
          <w:lang w:val="nl-NL"/>
        </w:rPr>
        <w:t>financierings</w:t>
      </w:r>
      <w:r w:rsidR="000E115A">
        <w:rPr>
          <w:lang w:val="nl-NL"/>
        </w:rPr>
        <w:t>optie</w:t>
      </w:r>
      <w:r w:rsidR="009E0155">
        <w:rPr>
          <w:lang w:val="nl-NL"/>
        </w:rPr>
        <w:t xml:space="preserve">s die de Commissie presenteerde, waaronder de </w:t>
      </w:r>
      <w:r w:rsidR="000E115A">
        <w:rPr>
          <w:lang w:val="nl-NL"/>
        </w:rPr>
        <w:t xml:space="preserve">optie </w:t>
      </w:r>
      <w:r w:rsidR="009E0155">
        <w:rPr>
          <w:lang w:val="nl-NL"/>
        </w:rPr>
        <w:t xml:space="preserve">met </w:t>
      </w:r>
      <w:r w:rsidR="00B870FA">
        <w:rPr>
          <w:lang w:val="nl-NL"/>
        </w:rPr>
        <w:t xml:space="preserve">het </w:t>
      </w:r>
      <w:r w:rsidR="009E0155">
        <w:rPr>
          <w:lang w:val="nl-NL"/>
        </w:rPr>
        <w:t>gebruik van de</w:t>
      </w:r>
      <w:r w:rsidR="000E115A">
        <w:rPr>
          <w:lang w:val="nl-NL"/>
        </w:rPr>
        <w:t xml:space="preserve"> herstelleningen op basis van geïmmobiliseerde Russische Centrale Banktegoeden.</w:t>
      </w:r>
      <w:r w:rsidRPr="00B80EE1" w:rsidDel="000E115A">
        <w:rPr>
          <w:lang w:val="nl-NL"/>
        </w:rPr>
        <w:t xml:space="preserve"> </w:t>
      </w:r>
      <w:r w:rsidRPr="00B80EE1">
        <w:rPr>
          <w:lang w:val="nl-NL"/>
        </w:rPr>
        <w:t>Meerdere lidstaten, waaronder Nederland, benadrukten dat de militaire steun aan Oekraïne geïntensiveerd moet worden</w:t>
      </w:r>
      <w:r w:rsidR="009E0155">
        <w:rPr>
          <w:lang w:val="nl-NL"/>
        </w:rPr>
        <w:t xml:space="preserve"> en</w:t>
      </w:r>
      <w:r w:rsidRPr="00B80EE1">
        <w:rPr>
          <w:lang w:val="nl-NL"/>
        </w:rPr>
        <w:t xml:space="preserve"> dat alle EU-lidstaten hieraan </w:t>
      </w:r>
      <w:r w:rsidR="002A1075">
        <w:rPr>
          <w:lang w:val="nl-NL"/>
        </w:rPr>
        <w:t>een</w:t>
      </w:r>
      <w:r w:rsidRPr="00B80EE1">
        <w:rPr>
          <w:lang w:val="nl-NL"/>
        </w:rPr>
        <w:t xml:space="preserve"> </w:t>
      </w:r>
      <w:r w:rsidR="002A1075">
        <w:rPr>
          <w:lang w:val="nl-NL"/>
        </w:rPr>
        <w:t>significante</w:t>
      </w:r>
      <w:r w:rsidRPr="00B80EE1">
        <w:rPr>
          <w:lang w:val="nl-NL"/>
        </w:rPr>
        <w:t xml:space="preserve"> bijdrage moeten leveren. </w:t>
      </w:r>
      <w:r w:rsidR="00DC186E">
        <w:rPr>
          <w:lang w:val="nl-NL"/>
        </w:rPr>
        <w:t xml:space="preserve">Ook </w:t>
      </w:r>
      <w:r w:rsidR="00B870FA">
        <w:rPr>
          <w:lang w:val="nl-NL"/>
        </w:rPr>
        <w:t xml:space="preserve">benadrukten </w:t>
      </w:r>
      <w:r w:rsidR="00DC186E">
        <w:rPr>
          <w:lang w:val="nl-NL"/>
        </w:rPr>
        <w:t xml:space="preserve">verschillende lidstaten het belang van </w:t>
      </w:r>
      <w:r w:rsidR="00B870FA">
        <w:rPr>
          <w:lang w:val="nl-NL"/>
        </w:rPr>
        <w:t>steun aan de zwaar getroffen energiesector</w:t>
      </w:r>
      <w:r w:rsidR="00552355">
        <w:rPr>
          <w:lang w:val="nl-NL"/>
        </w:rPr>
        <w:t>.</w:t>
      </w:r>
      <w:r w:rsidR="00DC186E">
        <w:rPr>
          <w:lang w:val="nl-NL"/>
        </w:rPr>
        <w:t xml:space="preserve"> Een brede groep lidstaten stond stil bij het werk </w:t>
      </w:r>
      <w:r w:rsidR="00572F99">
        <w:rPr>
          <w:lang w:val="nl-NL"/>
        </w:rPr>
        <w:t>ten aanzien van</w:t>
      </w:r>
      <w:r w:rsidR="00DC186E">
        <w:rPr>
          <w:lang w:val="nl-NL"/>
        </w:rPr>
        <w:t xml:space="preserve"> de schaduwvloot</w:t>
      </w:r>
      <w:r w:rsidR="001D4B93">
        <w:rPr>
          <w:lang w:val="nl-NL"/>
        </w:rPr>
        <w:t xml:space="preserve">. </w:t>
      </w:r>
      <w:r w:rsidR="00B870FA">
        <w:rPr>
          <w:lang w:val="nl-NL"/>
        </w:rPr>
        <w:t>E</w:t>
      </w:r>
      <w:r w:rsidR="001D4B93">
        <w:rPr>
          <w:lang w:val="nl-NL"/>
        </w:rPr>
        <w:t xml:space="preserve">en groep lidstaten, waaronder Nederland, </w:t>
      </w:r>
      <w:r w:rsidR="00B870FA">
        <w:rPr>
          <w:lang w:val="nl-NL"/>
        </w:rPr>
        <w:t xml:space="preserve">verzocht </w:t>
      </w:r>
      <w:r w:rsidR="001D4B93">
        <w:rPr>
          <w:lang w:val="nl-NL"/>
        </w:rPr>
        <w:t xml:space="preserve">op korte termijn aanvullende sancties in te stellen om de economische druk op Rusland te verhogen. Nederland diende hiertoe concrete sanctievoorstellen in </w:t>
      </w:r>
      <w:r w:rsidR="00572F99">
        <w:rPr>
          <w:lang w:val="nl-NL"/>
        </w:rPr>
        <w:t>tegen</w:t>
      </w:r>
      <w:r w:rsidR="001D4B93">
        <w:rPr>
          <w:lang w:val="nl-NL"/>
        </w:rPr>
        <w:t xml:space="preserve"> de schaduwvloot. </w:t>
      </w:r>
      <w:r w:rsidR="0039333A">
        <w:rPr>
          <w:lang w:val="nl-NL"/>
        </w:rPr>
        <w:t xml:space="preserve">Conform de moties </w:t>
      </w:r>
      <w:r w:rsidRPr="00DF5EC8" w:rsidR="0039333A">
        <w:rPr>
          <w:lang w:val="nl-NL"/>
        </w:rPr>
        <w:t>Yeşilgöz-Zegerius</w:t>
      </w:r>
      <w:r w:rsidRPr="00DF5EC8" w:rsidDel="0039333A" w:rsidR="0039333A">
        <w:rPr>
          <w:lang w:val="nl-NL"/>
        </w:rPr>
        <w:t xml:space="preserve"> </w:t>
      </w:r>
      <w:r w:rsidRPr="00DF5EC8" w:rsidR="0039333A">
        <w:rPr>
          <w:lang w:val="nl-NL"/>
        </w:rPr>
        <w:t>c.s.</w:t>
      </w:r>
      <w:r w:rsidR="0039333A">
        <w:rPr>
          <w:rStyle w:val="FootnoteReference"/>
        </w:rPr>
        <w:footnoteReference w:id="2"/>
      </w:r>
      <w:r w:rsidRPr="00DF5EC8" w:rsidR="0039333A">
        <w:rPr>
          <w:lang w:val="nl-NL"/>
        </w:rPr>
        <w:t xml:space="preserve"> </w:t>
      </w:r>
      <w:r w:rsidR="00B65B3D">
        <w:rPr>
          <w:lang w:val="nl-NL"/>
        </w:rPr>
        <w:t>en</w:t>
      </w:r>
      <w:r w:rsidRPr="00DF5EC8" w:rsidR="0039333A">
        <w:rPr>
          <w:lang w:val="nl-NL"/>
        </w:rPr>
        <w:t xml:space="preserve"> Ceder</w:t>
      </w:r>
      <w:r w:rsidR="0039333A">
        <w:rPr>
          <w:rStyle w:val="FootnoteReference"/>
        </w:rPr>
        <w:footnoteReference w:id="3"/>
      </w:r>
      <w:r w:rsidRPr="00DF5EC8" w:rsidR="0039333A">
        <w:rPr>
          <w:lang w:val="nl-NL"/>
        </w:rPr>
        <w:t xml:space="preserve"> spant het kabinet zich in het </w:t>
      </w:r>
      <w:r w:rsidR="0039333A">
        <w:rPr>
          <w:lang w:val="nl-NL"/>
        </w:rPr>
        <w:t>bijzonder in voor de inzet van het bestaande EU-instrumentarium ten aanzien van omzeiling via derde landen.</w:t>
      </w:r>
      <w:r w:rsidDel="00302712" w:rsidR="00D269C0">
        <w:rPr>
          <w:lang w:val="nl-NL"/>
        </w:rPr>
        <w:t xml:space="preserve"> </w:t>
      </w:r>
      <w:r w:rsidR="00CA45FA">
        <w:rPr>
          <w:rFonts w:cs="Times New Roman"/>
          <w:bCs/>
          <w:szCs w:val="18"/>
          <w:lang w:val="nl-NL" w:eastAsia="ja-JP"/>
        </w:rPr>
        <w:t>Verschillende l</w:t>
      </w:r>
      <w:r w:rsidRPr="00B453B6" w:rsidR="00B453B6">
        <w:rPr>
          <w:rFonts w:cs="Times New Roman"/>
          <w:bCs/>
          <w:szCs w:val="18"/>
          <w:lang w:val="nl-NL" w:eastAsia="ja-JP"/>
        </w:rPr>
        <w:t xml:space="preserve">idstaten benadrukten de noodzaak voor </w:t>
      </w:r>
      <w:r w:rsidRPr="008F7936" w:rsidR="00B453B6">
        <w:rPr>
          <w:rFonts w:cs="Times New Roman"/>
          <w:bCs/>
          <w:i/>
          <w:iCs/>
          <w:szCs w:val="18"/>
          <w:lang w:val="nl-NL" w:eastAsia="ja-JP"/>
        </w:rPr>
        <w:t>accountability</w:t>
      </w:r>
      <w:r w:rsidRPr="00B453B6" w:rsidR="00B453B6">
        <w:rPr>
          <w:rFonts w:cs="Times New Roman"/>
          <w:bCs/>
          <w:szCs w:val="18"/>
          <w:lang w:val="nl-NL" w:eastAsia="ja-JP"/>
        </w:rPr>
        <w:t xml:space="preserve">. Nederland onderschrijft deze noodzaak en heeft </w:t>
      </w:r>
      <w:r w:rsidR="000E115A">
        <w:rPr>
          <w:rFonts w:cs="Times New Roman"/>
          <w:bCs/>
          <w:szCs w:val="18"/>
          <w:lang w:val="nl-NL" w:eastAsia="ja-JP"/>
        </w:rPr>
        <w:t xml:space="preserve">recent </w:t>
      </w:r>
      <w:r w:rsidR="006D0661">
        <w:rPr>
          <w:rFonts w:cs="Times New Roman"/>
          <w:bCs/>
          <w:szCs w:val="18"/>
          <w:lang w:val="nl-NL" w:eastAsia="ja-JP"/>
        </w:rPr>
        <w:t>het gastlandschap aangeboden ten behoeve van de huisvesting van</w:t>
      </w:r>
      <w:r w:rsidRPr="00B453B6" w:rsidR="00B453B6">
        <w:rPr>
          <w:rFonts w:cs="Times New Roman"/>
          <w:bCs/>
          <w:szCs w:val="18"/>
          <w:lang w:val="nl-NL" w:eastAsia="ja-JP"/>
        </w:rPr>
        <w:t xml:space="preserve"> de oprichtingsfase van het Agressietribunaal</w:t>
      </w:r>
      <w:r w:rsidR="000E115A">
        <w:rPr>
          <w:rFonts w:cs="Times New Roman"/>
          <w:bCs/>
          <w:szCs w:val="18"/>
          <w:lang w:val="nl-NL" w:eastAsia="ja-JP"/>
        </w:rPr>
        <w:t>.</w:t>
      </w:r>
      <w:r w:rsidR="00FD7CB2">
        <w:rPr>
          <w:rStyle w:val="FootnoteReference"/>
          <w:rFonts w:cs="Times New Roman"/>
          <w:bCs/>
          <w:szCs w:val="18"/>
          <w:lang w:val="nl-NL" w:eastAsia="ja-JP"/>
        </w:rPr>
        <w:footnoteReference w:id="4"/>
      </w:r>
    </w:p>
    <w:p w:rsidRPr="00B453B6" w:rsidR="00B453B6" w:rsidP="006C111C" w:rsidRDefault="00B453B6" w14:paraId="131B7D0C" w14:textId="77777777">
      <w:pPr>
        <w:spacing w:after="0"/>
        <w:contextualSpacing/>
        <w:rPr>
          <w:rFonts w:cs="Times New Roman"/>
          <w:b/>
          <w:szCs w:val="18"/>
          <w:lang w:val="nl-NL" w:eastAsia="ja-JP"/>
        </w:rPr>
      </w:pPr>
    </w:p>
    <w:p w:rsidR="006C111C" w:rsidP="006C111C" w:rsidRDefault="006C111C" w14:paraId="50D2D60B" w14:textId="163D5B13">
      <w:pPr>
        <w:spacing w:after="0"/>
        <w:contextualSpacing/>
        <w:rPr>
          <w:rFonts w:cs="Times New Roman"/>
          <w:b/>
          <w:szCs w:val="18"/>
          <w:lang w:val="nl-NL" w:eastAsia="ja-JP"/>
        </w:rPr>
      </w:pPr>
      <w:r w:rsidRPr="0004109C">
        <w:rPr>
          <w:rFonts w:cs="Times New Roman"/>
          <w:b/>
          <w:szCs w:val="18"/>
          <w:lang w:val="nl-NL" w:eastAsia="ja-JP"/>
        </w:rPr>
        <w:t xml:space="preserve">Situatie Midden Oosten </w:t>
      </w:r>
    </w:p>
    <w:p w:rsidR="006C111C" w:rsidP="005039DA" w:rsidRDefault="005039DA" w14:paraId="1BAF050A" w14:textId="0230A89E">
      <w:pPr>
        <w:spacing w:after="0"/>
        <w:contextualSpacing/>
        <w:rPr>
          <w:rFonts w:cs="Times New Roman"/>
          <w:bCs/>
          <w:szCs w:val="18"/>
          <w:lang w:val="nl-NL" w:eastAsia="ja-JP"/>
        </w:rPr>
      </w:pPr>
      <w:r>
        <w:rPr>
          <w:rFonts w:cs="Times New Roman"/>
          <w:bCs/>
          <w:szCs w:val="18"/>
          <w:lang w:val="nl-NL" w:eastAsia="ja-JP"/>
        </w:rPr>
        <w:t xml:space="preserve">De Raad stond stil bij de situatie in het Midden-Oosten, </w:t>
      </w:r>
      <w:r w:rsidRPr="005039DA">
        <w:rPr>
          <w:rFonts w:cs="Times New Roman"/>
          <w:bCs/>
          <w:szCs w:val="18"/>
          <w:lang w:val="nl-NL" w:eastAsia="ja-JP"/>
        </w:rPr>
        <w:t xml:space="preserve">met name </w:t>
      </w:r>
      <w:r w:rsidR="00B6067D">
        <w:rPr>
          <w:rFonts w:cs="Times New Roman"/>
          <w:bCs/>
          <w:szCs w:val="18"/>
          <w:lang w:val="nl-NL" w:eastAsia="ja-JP"/>
        </w:rPr>
        <w:t>bij</w:t>
      </w:r>
      <w:r w:rsidRPr="005039DA">
        <w:rPr>
          <w:rFonts w:cs="Times New Roman"/>
          <w:bCs/>
          <w:szCs w:val="18"/>
          <w:lang w:val="nl-NL" w:eastAsia="ja-JP"/>
        </w:rPr>
        <w:t xml:space="preserve"> de voortgang van de implementatie van het vredesplan van president Trump ter beëindiging van het conflict in de Gazastrook</w:t>
      </w:r>
      <w:r>
        <w:rPr>
          <w:rFonts w:cs="Times New Roman"/>
          <w:bCs/>
          <w:szCs w:val="18"/>
          <w:lang w:val="nl-NL" w:eastAsia="ja-JP"/>
        </w:rPr>
        <w:t xml:space="preserve"> en de rol die de EU hierin kan spelen. </w:t>
      </w:r>
    </w:p>
    <w:p w:rsidR="00EA2DED" w:rsidP="005039DA" w:rsidRDefault="00EA2DED" w14:paraId="5BD4A8A6" w14:textId="77777777">
      <w:pPr>
        <w:spacing w:after="0"/>
        <w:contextualSpacing/>
        <w:rPr>
          <w:rFonts w:cs="Times New Roman"/>
          <w:bCs/>
          <w:szCs w:val="18"/>
          <w:lang w:val="nl-NL" w:eastAsia="ja-JP"/>
        </w:rPr>
      </w:pPr>
    </w:p>
    <w:p w:rsidR="00B870FA" w:rsidP="00F931C0" w:rsidRDefault="00EA2DED" w14:paraId="7957205D" w14:textId="31367452">
      <w:pPr>
        <w:spacing w:after="0"/>
        <w:contextualSpacing/>
        <w:rPr>
          <w:rFonts w:cs="Times New Roman"/>
          <w:bCs/>
          <w:szCs w:val="18"/>
          <w:lang w:val="nl-NL" w:eastAsia="ja-JP"/>
        </w:rPr>
      </w:pPr>
      <w:r>
        <w:rPr>
          <w:rFonts w:cs="Times New Roman"/>
          <w:bCs/>
          <w:szCs w:val="18"/>
          <w:lang w:val="nl-NL" w:eastAsia="ja-JP"/>
        </w:rPr>
        <w:t xml:space="preserve">Binnen de Raad was brede steun voor de </w:t>
      </w:r>
      <w:r w:rsidR="00F931C0">
        <w:rPr>
          <w:rFonts w:cs="Times New Roman"/>
          <w:bCs/>
          <w:szCs w:val="18"/>
          <w:lang w:val="nl-NL" w:eastAsia="ja-JP"/>
        </w:rPr>
        <w:t>aanname van VNVR-resolutie</w:t>
      </w:r>
      <w:r w:rsidR="003F3D3B">
        <w:rPr>
          <w:rFonts w:cs="Times New Roman"/>
          <w:bCs/>
          <w:szCs w:val="18"/>
          <w:lang w:val="nl-NL" w:eastAsia="ja-JP"/>
        </w:rPr>
        <w:t xml:space="preserve"> 2803</w:t>
      </w:r>
      <w:r w:rsidR="00F931C0">
        <w:rPr>
          <w:rFonts w:cs="Times New Roman"/>
          <w:bCs/>
          <w:szCs w:val="18"/>
          <w:lang w:val="nl-NL" w:eastAsia="ja-JP"/>
        </w:rPr>
        <w:t>. Ook sprak de Raad steun uit voor</w:t>
      </w:r>
      <w:r>
        <w:rPr>
          <w:rFonts w:cs="Times New Roman"/>
          <w:bCs/>
          <w:szCs w:val="18"/>
          <w:lang w:val="nl-NL" w:eastAsia="ja-JP"/>
        </w:rPr>
        <w:t xml:space="preserve"> de voorstellen van de Hoge Vertegenwoordiger </w:t>
      </w:r>
      <w:r w:rsidRPr="00EA2DED">
        <w:rPr>
          <w:rFonts w:cs="Times New Roman"/>
          <w:bCs/>
          <w:szCs w:val="18"/>
          <w:lang w:val="nl-NL" w:eastAsia="ja-JP"/>
        </w:rPr>
        <w:t xml:space="preserve">voor het </w:t>
      </w:r>
      <w:r w:rsidR="00C25531">
        <w:rPr>
          <w:rFonts w:cs="Times New Roman"/>
          <w:bCs/>
          <w:szCs w:val="18"/>
          <w:lang w:val="nl-NL" w:eastAsia="ja-JP"/>
        </w:rPr>
        <w:t>verbreden</w:t>
      </w:r>
      <w:r w:rsidR="00A3376A">
        <w:rPr>
          <w:rFonts w:cs="Times New Roman"/>
          <w:bCs/>
          <w:szCs w:val="18"/>
          <w:lang w:val="nl-NL" w:eastAsia="ja-JP"/>
        </w:rPr>
        <w:t xml:space="preserve"> van het mandaat</w:t>
      </w:r>
      <w:r w:rsidRPr="00EA2DED" w:rsidR="00A3376A">
        <w:rPr>
          <w:rFonts w:cs="Times New Roman"/>
          <w:bCs/>
          <w:szCs w:val="18"/>
          <w:lang w:val="nl-NL" w:eastAsia="ja-JP"/>
        </w:rPr>
        <w:t xml:space="preserve"> </w:t>
      </w:r>
      <w:r w:rsidRPr="00EA2DED">
        <w:rPr>
          <w:rFonts w:cs="Times New Roman"/>
          <w:bCs/>
          <w:szCs w:val="18"/>
          <w:lang w:val="nl-NL" w:eastAsia="ja-JP"/>
        </w:rPr>
        <w:t>van</w:t>
      </w:r>
      <w:r w:rsidR="00A3376A">
        <w:rPr>
          <w:rFonts w:cs="Times New Roman"/>
          <w:bCs/>
          <w:szCs w:val="18"/>
          <w:lang w:val="nl-NL" w:eastAsia="ja-JP"/>
        </w:rPr>
        <w:t xml:space="preserve"> de </w:t>
      </w:r>
      <w:r w:rsidRPr="00677CFF" w:rsidR="00BA7ADF">
        <w:rPr>
          <w:rFonts w:cs="Times New Roman"/>
          <w:i/>
          <w:szCs w:val="18"/>
          <w:lang w:val="nl-NL" w:eastAsia="ja-JP"/>
        </w:rPr>
        <w:t>EU Border Assistance Mission to Rafah</w:t>
      </w:r>
      <w:r w:rsidRPr="00EA2DED" w:rsidR="00BA7ADF">
        <w:rPr>
          <w:rFonts w:cs="Times New Roman"/>
          <w:bCs/>
          <w:szCs w:val="18"/>
          <w:lang w:val="nl-NL" w:eastAsia="ja-JP"/>
        </w:rPr>
        <w:t xml:space="preserve"> </w:t>
      </w:r>
      <w:r w:rsidR="00BA7ADF">
        <w:rPr>
          <w:rFonts w:cs="Times New Roman"/>
          <w:bCs/>
          <w:szCs w:val="18"/>
          <w:lang w:val="nl-NL" w:eastAsia="ja-JP"/>
        </w:rPr>
        <w:t>(</w:t>
      </w:r>
      <w:r w:rsidRPr="00EA2DED">
        <w:rPr>
          <w:rFonts w:cs="Times New Roman"/>
          <w:bCs/>
          <w:szCs w:val="18"/>
          <w:lang w:val="nl-NL" w:eastAsia="ja-JP"/>
        </w:rPr>
        <w:t>EUBAM Rafah</w:t>
      </w:r>
      <w:r w:rsidR="00BA7ADF">
        <w:rPr>
          <w:rFonts w:cs="Times New Roman"/>
          <w:bCs/>
          <w:szCs w:val="18"/>
          <w:lang w:val="nl-NL" w:eastAsia="ja-JP"/>
        </w:rPr>
        <w:t>)</w:t>
      </w:r>
      <w:r w:rsidRPr="00EA2DED">
        <w:rPr>
          <w:rFonts w:cs="Times New Roman"/>
          <w:bCs/>
          <w:szCs w:val="18"/>
          <w:lang w:val="nl-NL" w:eastAsia="ja-JP"/>
        </w:rPr>
        <w:t xml:space="preserve"> en</w:t>
      </w:r>
      <w:r w:rsidR="00BA7ADF">
        <w:rPr>
          <w:rFonts w:cs="Times New Roman"/>
          <w:bCs/>
          <w:szCs w:val="18"/>
          <w:lang w:val="nl-NL" w:eastAsia="ja-JP"/>
        </w:rPr>
        <w:t xml:space="preserve"> de </w:t>
      </w:r>
      <w:r w:rsidRPr="00677CFF" w:rsidR="00BA7ADF">
        <w:rPr>
          <w:rFonts w:cs="Times New Roman"/>
          <w:i/>
          <w:szCs w:val="18"/>
          <w:lang w:val="nl-NL" w:eastAsia="ja-JP"/>
        </w:rPr>
        <w:t>EU Mission for the Support of Palestinian Police and Rule of Law</w:t>
      </w:r>
      <w:r w:rsidRPr="00EA2DED">
        <w:rPr>
          <w:rFonts w:cs="Times New Roman"/>
          <w:bCs/>
          <w:szCs w:val="18"/>
          <w:lang w:val="nl-NL" w:eastAsia="ja-JP"/>
        </w:rPr>
        <w:t xml:space="preserve"> </w:t>
      </w:r>
      <w:r w:rsidR="00BA7ADF">
        <w:rPr>
          <w:rFonts w:cs="Times New Roman"/>
          <w:bCs/>
          <w:szCs w:val="18"/>
          <w:lang w:val="nl-NL" w:eastAsia="ja-JP"/>
        </w:rPr>
        <w:t>(</w:t>
      </w:r>
      <w:r w:rsidRPr="00EA2DED">
        <w:rPr>
          <w:rFonts w:cs="Times New Roman"/>
          <w:bCs/>
          <w:szCs w:val="18"/>
          <w:lang w:val="nl-NL" w:eastAsia="ja-JP"/>
        </w:rPr>
        <w:t>EUPOL COPPS</w:t>
      </w:r>
      <w:r w:rsidR="00F931C0">
        <w:rPr>
          <w:rFonts w:cs="Times New Roman"/>
          <w:bCs/>
          <w:szCs w:val="18"/>
          <w:lang w:val="nl-NL" w:eastAsia="ja-JP"/>
        </w:rPr>
        <w:t xml:space="preserve">) ter ondersteuning van </w:t>
      </w:r>
      <w:r w:rsidRPr="00EA2DED">
        <w:rPr>
          <w:rFonts w:cs="Times New Roman"/>
          <w:bCs/>
          <w:szCs w:val="18"/>
          <w:lang w:val="nl-NL" w:eastAsia="ja-JP"/>
        </w:rPr>
        <w:t>het vredesplan.</w:t>
      </w:r>
      <w:r w:rsidR="00997C60">
        <w:rPr>
          <w:rFonts w:cs="Times New Roman"/>
          <w:bCs/>
          <w:szCs w:val="18"/>
          <w:lang w:val="nl-NL" w:eastAsia="ja-JP"/>
        </w:rPr>
        <w:t xml:space="preserve"> </w:t>
      </w:r>
      <w:r w:rsidR="00F931C0">
        <w:rPr>
          <w:rFonts w:cs="Times New Roman"/>
          <w:bCs/>
          <w:szCs w:val="18"/>
          <w:lang w:val="nl-NL" w:eastAsia="ja-JP"/>
        </w:rPr>
        <w:t xml:space="preserve">De HV kondigde aan dat </w:t>
      </w:r>
      <w:r w:rsidR="00F44174">
        <w:rPr>
          <w:rFonts w:cs="Times New Roman"/>
          <w:bCs/>
          <w:szCs w:val="18"/>
          <w:lang w:val="nl-NL" w:eastAsia="ja-JP"/>
        </w:rPr>
        <w:t xml:space="preserve">de EU bijdraagt aan </w:t>
      </w:r>
      <w:r w:rsidR="003E01C6">
        <w:rPr>
          <w:rFonts w:cs="Times New Roman"/>
          <w:bCs/>
          <w:szCs w:val="18"/>
          <w:lang w:val="nl-NL" w:eastAsia="ja-JP"/>
        </w:rPr>
        <w:t xml:space="preserve">het </w:t>
      </w:r>
      <w:r w:rsidRPr="00677CFF" w:rsidR="003A063A">
        <w:rPr>
          <w:rFonts w:cs="Times New Roman"/>
          <w:i/>
          <w:szCs w:val="18"/>
          <w:lang w:val="nl-NL" w:eastAsia="ja-JP"/>
        </w:rPr>
        <w:t>Civil-Military Coordination Center</w:t>
      </w:r>
      <w:r w:rsidRPr="003A063A" w:rsidR="003A063A">
        <w:rPr>
          <w:rFonts w:cs="Times New Roman"/>
          <w:bCs/>
          <w:szCs w:val="18"/>
          <w:lang w:val="nl-NL" w:eastAsia="ja-JP"/>
        </w:rPr>
        <w:t xml:space="preserve"> </w:t>
      </w:r>
      <w:r w:rsidR="003A063A">
        <w:rPr>
          <w:rFonts w:cs="Times New Roman"/>
          <w:bCs/>
          <w:szCs w:val="18"/>
          <w:lang w:val="nl-NL" w:eastAsia="ja-JP"/>
        </w:rPr>
        <w:t>(</w:t>
      </w:r>
      <w:r w:rsidR="003E01C6">
        <w:rPr>
          <w:rFonts w:cs="Times New Roman"/>
          <w:bCs/>
          <w:szCs w:val="18"/>
          <w:lang w:val="nl-NL" w:eastAsia="ja-JP"/>
        </w:rPr>
        <w:t>CMCC</w:t>
      </w:r>
      <w:r w:rsidR="003A063A">
        <w:rPr>
          <w:rFonts w:cs="Times New Roman"/>
          <w:bCs/>
          <w:szCs w:val="18"/>
          <w:lang w:val="nl-NL" w:eastAsia="ja-JP"/>
        </w:rPr>
        <w:t>)</w:t>
      </w:r>
      <w:r w:rsidR="00F931C0">
        <w:rPr>
          <w:rFonts w:cs="Times New Roman"/>
          <w:bCs/>
          <w:szCs w:val="18"/>
          <w:lang w:val="nl-NL" w:eastAsia="ja-JP"/>
        </w:rPr>
        <w:t xml:space="preserve">. </w:t>
      </w:r>
      <w:r w:rsidR="00B870FA">
        <w:rPr>
          <w:rFonts w:cs="Times New Roman"/>
          <w:bCs/>
          <w:szCs w:val="18"/>
          <w:lang w:val="nl-NL" w:eastAsia="ja-JP"/>
        </w:rPr>
        <w:t xml:space="preserve">Ook </w:t>
      </w:r>
      <w:r w:rsidR="00110F0B">
        <w:rPr>
          <w:rFonts w:cs="Times New Roman"/>
          <w:bCs/>
          <w:szCs w:val="18"/>
          <w:lang w:val="nl-NL" w:eastAsia="ja-JP"/>
        </w:rPr>
        <w:t>d</w:t>
      </w:r>
      <w:r w:rsidR="00F931C0">
        <w:rPr>
          <w:rFonts w:cs="Times New Roman"/>
          <w:bCs/>
          <w:szCs w:val="18"/>
          <w:lang w:val="nl-NL" w:eastAsia="ja-JP"/>
        </w:rPr>
        <w:t>iverse</w:t>
      </w:r>
      <w:r w:rsidR="00283E46">
        <w:rPr>
          <w:rFonts w:cs="Times New Roman"/>
          <w:bCs/>
          <w:szCs w:val="18"/>
          <w:lang w:val="nl-NL" w:eastAsia="ja-JP"/>
        </w:rPr>
        <w:t xml:space="preserve"> </w:t>
      </w:r>
      <w:r w:rsidR="003E01C6">
        <w:rPr>
          <w:rFonts w:cs="Times New Roman"/>
          <w:bCs/>
          <w:szCs w:val="18"/>
          <w:lang w:val="nl-NL" w:eastAsia="ja-JP"/>
        </w:rPr>
        <w:t>EU</w:t>
      </w:r>
      <w:r w:rsidR="00F931C0">
        <w:rPr>
          <w:rFonts w:cs="Times New Roman"/>
          <w:bCs/>
          <w:szCs w:val="18"/>
          <w:lang w:val="nl-NL" w:eastAsia="ja-JP"/>
        </w:rPr>
        <w:t>-</w:t>
      </w:r>
      <w:r w:rsidR="003E01C6">
        <w:rPr>
          <w:rFonts w:cs="Times New Roman"/>
          <w:bCs/>
          <w:szCs w:val="18"/>
          <w:lang w:val="nl-NL" w:eastAsia="ja-JP"/>
        </w:rPr>
        <w:t xml:space="preserve">lidstaten, waaronder </w:t>
      </w:r>
      <w:r w:rsidR="008359D4">
        <w:rPr>
          <w:rFonts w:cs="Times New Roman"/>
          <w:bCs/>
          <w:szCs w:val="18"/>
          <w:lang w:val="nl-NL" w:eastAsia="ja-JP"/>
        </w:rPr>
        <w:t>Nederland</w:t>
      </w:r>
      <w:r w:rsidR="00B870FA">
        <w:rPr>
          <w:rFonts w:cs="Times New Roman"/>
          <w:bCs/>
          <w:szCs w:val="18"/>
          <w:lang w:val="nl-NL" w:eastAsia="ja-JP"/>
        </w:rPr>
        <w:t>, gaven aan een bijdrage aan de CMCC te zullen leveren</w:t>
      </w:r>
      <w:r w:rsidR="00110F0B">
        <w:rPr>
          <w:rFonts w:cs="Times New Roman"/>
          <w:bCs/>
          <w:szCs w:val="18"/>
          <w:lang w:val="nl-NL" w:eastAsia="ja-JP"/>
        </w:rPr>
        <w:t>.</w:t>
      </w:r>
      <w:r w:rsidR="002F3D4B">
        <w:rPr>
          <w:rFonts w:cs="Times New Roman"/>
          <w:bCs/>
          <w:szCs w:val="18"/>
          <w:lang w:val="nl-NL" w:eastAsia="ja-JP"/>
        </w:rPr>
        <w:t xml:space="preserve"> </w:t>
      </w:r>
    </w:p>
    <w:p w:rsidR="003E01C6" w:rsidP="00EA2DED" w:rsidRDefault="003E01C6" w14:paraId="4CD18658" w14:textId="77777777">
      <w:pPr>
        <w:spacing w:after="0"/>
        <w:contextualSpacing/>
        <w:rPr>
          <w:rFonts w:cs="Times New Roman"/>
          <w:bCs/>
          <w:szCs w:val="18"/>
          <w:lang w:val="nl-NL" w:eastAsia="ja-JP"/>
        </w:rPr>
      </w:pPr>
    </w:p>
    <w:p w:rsidRPr="007904D8" w:rsidR="00B870FA" w:rsidP="00B870FA" w:rsidRDefault="00DB2150" w14:paraId="13BC4B57" w14:textId="5C7BC6A2">
      <w:pPr>
        <w:spacing w:after="0"/>
        <w:contextualSpacing/>
        <w:rPr>
          <w:rFonts w:cs="Times New Roman"/>
          <w:bCs/>
          <w:szCs w:val="18"/>
          <w:lang w:val="nl-NL" w:eastAsia="ja-JP"/>
        </w:rPr>
      </w:pPr>
      <w:r w:rsidRPr="00DB2150">
        <w:rPr>
          <w:rFonts w:cs="Times New Roman"/>
          <w:bCs/>
          <w:szCs w:val="18"/>
          <w:lang w:val="nl-NL" w:eastAsia="ja-JP"/>
        </w:rPr>
        <w:t xml:space="preserve">De inzet van het kabinet is primair gericht op het laten slagen van </w:t>
      </w:r>
      <w:r w:rsidR="00FF5C90">
        <w:rPr>
          <w:rFonts w:cs="Times New Roman"/>
          <w:bCs/>
          <w:szCs w:val="18"/>
          <w:lang w:val="nl-NL" w:eastAsia="ja-JP"/>
        </w:rPr>
        <w:t>het vredesplan</w:t>
      </w:r>
      <w:r w:rsidRPr="00DB2150">
        <w:rPr>
          <w:rFonts w:cs="Times New Roman"/>
          <w:bCs/>
          <w:szCs w:val="18"/>
          <w:lang w:val="nl-NL" w:eastAsia="ja-JP"/>
        </w:rPr>
        <w:t xml:space="preserve">. Het kabinet beziet </w:t>
      </w:r>
      <w:r w:rsidR="00165A6E">
        <w:rPr>
          <w:rFonts w:cs="Times New Roman"/>
          <w:bCs/>
          <w:szCs w:val="18"/>
          <w:lang w:val="nl-NL" w:eastAsia="ja-JP"/>
        </w:rPr>
        <w:t>telkens</w:t>
      </w:r>
      <w:r w:rsidRPr="00DB2150">
        <w:rPr>
          <w:rFonts w:cs="Times New Roman"/>
          <w:bCs/>
          <w:szCs w:val="18"/>
          <w:lang w:val="nl-NL" w:eastAsia="ja-JP"/>
        </w:rPr>
        <w:t xml:space="preserve"> hoe het, zowel bilateraal als via de EU en andere multilaterale kanalen, op de meest effectieve wijze kan bijdragen aan de implementatie en uitwerking van het plan. </w:t>
      </w:r>
      <w:r w:rsidR="00110F0B">
        <w:rPr>
          <w:rFonts w:cs="Times New Roman"/>
          <w:bCs/>
          <w:szCs w:val="18"/>
          <w:lang w:val="nl-NL" w:eastAsia="ja-JP"/>
        </w:rPr>
        <w:t>Daarbij heeft Nederland benadrukt dat</w:t>
      </w:r>
      <w:r w:rsidR="00F931C0">
        <w:rPr>
          <w:rFonts w:cs="Times New Roman"/>
          <w:bCs/>
          <w:szCs w:val="18"/>
          <w:lang w:val="nl-NL" w:eastAsia="ja-JP"/>
        </w:rPr>
        <w:t xml:space="preserve"> effectieve diplomatieke contacten met Israël belangrijk</w:t>
      </w:r>
      <w:r w:rsidR="00110F0B">
        <w:rPr>
          <w:rFonts w:cs="Times New Roman"/>
          <w:bCs/>
          <w:szCs w:val="18"/>
          <w:lang w:val="nl-NL" w:eastAsia="ja-JP"/>
        </w:rPr>
        <w:t xml:space="preserve"> zijn hier</w:t>
      </w:r>
      <w:r w:rsidR="00B870FA">
        <w:rPr>
          <w:rFonts w:cs="Times New Roman"/>
          <w:bCs/>
          <w:szCs w:val="18"/>
          <w:lang w:val="nl-NL" w:eastAsia="ja-JP"/>
        </w:rPr>
        <w:t>voor</w:t>
      </w:r>
      <w:r w:rsidR="006D6604">
        <w:rPr>
          <w:rFonts w:cs="Times New Roman"/>
          <w:bCs/>
          <w:szCs w:val="18"/>
          <w:lang w:val="nl-NL" w:eastAsia="ja-JP"/>
        </w:rPr>
        <w:t xml:space="preserve">. </w:t>
      </w:r>
      <w:r w:rsidR="00B870FA">
        <w:rPr>
          <w:rFonts w:cs="Times New Roman"/>
          <w:bCs/>
          <w:szCs w:val="18"/>
          <w:lang w:val="nl-NL" w:eastAsia="ja-JP"/>
        </w:rPr>
        <w:t>Nederland riep</w:t>
      </w:r>
      <w:r w:rsidR="006D6604">
        <w:rPr>
          <w:rFonts w:cs="Times New Roman"/>
          <w:bCs/>
          <w:szCs w:val="18"/>
          <w:lang w:val="nl-NL" w:eastAsia="ja-JP"/>
        </w:rPr>
        <w:t xml:space="preserve"> </w:t>
      </w:r>
      <w:r w:rsidR="00B5234A">
        <w:rPr>
          <w:rFonts w:cs="Times New Roman"/>
          <w:bCs/>
          <w:szCs w:val="18"/>
          <w:lang w:val="nl-NL" w:eastAsia="ja-JP"/>
        </w:rPr>
        <w:t>Isra</w:t>
      </w:r>
      <w:r w:rsidR="0089348A">
        <w:rPr>
          <w:rFonts w:cs="Times New Roman"/>
          <w:bCs/>
          <w:szCs w:val="18"/>
          <w:lang w:val="nl-NL" w:eastAsia="ja-JP"/>
        </w:rPr>
        <w:t>ë</w:t>
      </w:r>
      <w:r w:rsidR="00B5234A">
        <w:rPr>
          <w:rFonts w:cs="Times New Roman"/>
          <w:bCs/>
          <w:szCs w:val="18"/>
          <w:lang w:val="nl-NL" w:eastAsia="ja-JP"/>
        </w:rPr>
        <w:t xml:space="preserve">l </w:t>
      </w:r>
      <w:r w:rsidR="00B870FA">
        <w:rPr>
          <w:rFonts w:cs="Times New Roman"/>
          <w:bCs/>
          <w:szCs w:val="18"/>
          <w:lang w:val="nl-NL" w:eastAsia="ja-JP"/>
        </w:rPr>
        <w:t xml:space="preserve">op </w:t>
      </w:r>
      <w:r w:rsidR="00B5234A">
        <w:rPr>
          <w:rFonts w:cs="Times New Roman"/>
          <w:bCs/>
          <w:szCs w:val="18"/>
          <w:lang w:val="nl-NL" w:eastAsia="ja-JP"/>
        </w:rPr>
        <w:t>de</w:t>
      </w:r>
      <w:r w:rsidRPr="00D52A24" w:rsidR="00B5234A">
        <w:rPr>
          <w:rFonts w:cs="Times New Roman"/>
          <w:bCs/>
          <w:szCs w:val="18"/>
          <w:lang w:val="nl-NL" w:eastAsia="ja-JP"/>
        </w:rPr>
        <w:t xml:space="preserve"> wetgeving gericht op de registratie van </w:t>
      </w:r>
      <w:r w:rsidR="00B5234A">
        <w:rPr>
          <w:rFonts w:cs="Times New Roman"/>
          <w:bCs/>
          <w:szCs w:val="18"/>
          <w:lang w:val="nl-NL" w:eastAsia="ja-JP"/>
        </w:rPr>
        <w:t xml:space="preserve">internationale </w:t>
      </w:r>
      <w:r w:rsidR="00E909E4">
        <w:rPr>
          <w:rFonts w:cs="Times New Roman"/>
          <w:bCs/>
          <w:szCs w:val="18"/>
          <w:lang w:val="nl-NL" w:eastAsia="ja-JP"/>
        </w:rPr>
        <w:t>ngo</w:t>
      </w:r>
      <w:r w:rsidR="00B5234A">
        <w:rPr>
          <w:rFonts w:cs="Times New Roman"/>
          <w:bCs/>
          <w:szCs w:val="18"/>
          <w:lang w:val="nl-NL" w:eastAsia="ja-JP"/>
        </w:rPr>
        <w:t xml:space="preserve">’s </w:t>
      </w:r>
      <w:r w:rsidRPr="00D52A24" w:rsidR="00B5234A">
        <w:rPr>
          <w:rFonts w:cs="Times New Roman"/>
          <w:bCs/>
          <w:szCs w:val="18"/>
          <w:lang w:val="nl-NL" w:eastAsia="ja-JP"/>
        </w:rPr>
        <w:t>werkzaam in de Palestijnse Gebieden</w:t>
      </w:r>
      <w:r w:rsidR="00B5234A">
        <w:rPr>
          <w:rFonts w:cs="Times New Roman"/>
          <w:bCs/>
          <w:szCs w:val="18"/>
          <w:lang w:val="nl-NL" w:eastAsia="ja-JP"/>
        </w:rPr>
        <w:t xml:space="preserve"> </w:t>
      </w:r>
      <w:r w:rsidR="00A35EF8">
        <w:rPr>
          <w:rFonts w:cs="Times New Roman"/>
          <w:bCs/>
          <w:szCs w:val="18"/>
          <w:lang w:val="nl-NL" w:eastAsia="ja-JP"/>
        </w:rPr>
        <w:t>niet te implementeren</w:t>
      </w:r>
      <w:r w:rsidR="00B870FA">
        <w:rPr>
          <w:rFonts w:cs="Times New Roman"/>
          <w:bCs/>
          <w:szCs w:val="18"/>
          <w:lang w:val="nl-NL" w:eastAsia="ja-JP"/>
        </w:rPr>
        <w:t xml:space="preserve"> en de </w:t>
      </w:r>
      <w:r w:rsidR="00110F0B">
        <w:rPr>
          <w:rFonts w:cs="Times New Roman"/>
          <w:bCs/>
          <w:szCs w:val="18"/>
          <w:lang w:val="nl-NL" w:eastAsia="ja-JP"/>
        </w:rPr>
        <w:t>Palestijnse belastinggelden vrij te geven</w:t>
      </w:r>
      <w:r w:rsidR="00B870FA">
        <w:rPr>
          <w:rFonts w:cs="Times New Roman"/>
          <w:bCs/>
          <w:szCs w:val="18"/>
          <w:lang w:val="nl-NL" w:eastAsia="ja-JP"/>
        </w:rPr>
        <w:t xml:space="preserve"> </w:t>
      </w:r>
      <w:r w:rsidR="00110F0B">
        <w:rPr>
          <w:rFonts w:cs="Times New Roman"/>
          <w:bCs/>
          <w:szCs w:val="18"/>
          <w:lang w:val="nl-NL" w:eastAsia="ja-JP"/>
        </w:rPr>
        <w:t>conform moties van het lid Ceder</w:t>
      </w:r>
      <w:r w:rsidR="001131EF">
        <w:rPr>
          <w:rFonts w:cs="Times New Roman"/>
          <w:bCs/>
          <w:szCs w:val="18"/>
          <w:lang w:val="nl-NL" w:eastAsia="ja-JP"/>
        </w:rPr>
        <w:t>.</w:t>
      </w:r>
      <w:r w:rsidR="001A0B74">
        <w:rPr>
          <w:rStyle w:val="FootnoteReference"/>
          <w:rFonts w:cs="Times New Roman"/>
          <w:bCs/>
          <w:szCs w:val="18"/>
          <w:lang w:val="nl-NL" w:eastAsia="ja-JP"/>
        </w:rPr>
        <w:footnoteReference w:id="5"/>
      </w:r>
      <w:r w:rsidR="00110F0B">
        <w:rPr>
          <w:rFonts w:cs="Times New Roman"/>
          <w:bCs/>
          <w:szCs w:val="18"/>
          <w:lang w:val="nl-NL" w:eastAsia="ja-JP"/>
        </w:rPr>
        <w:t xml:space="preserve"> </w:t>
      </w:r>
      <w:r w:rsidR="00B870FA">
        <w:rPr>
          <w:rFonts w:cs="Times New Roman"/>
          <w:bCs/>
          <w:szCs w:val="18"/>
          <w:lang w:val="nl-NL" w:eastAsia="ja-JP"/>
        </w:rPr>
        <w:t xml:space="preserve">Tot slot, uitten meerdere lidstaten hun grote zorgen over de situatie op de Westelijke Jordaanoever, specifiek over het toenemende kolonistengeweld. </w:t>
      </w:r>
    </w:p>
    <w:p w:rsidR="00E3192A" w:rsidP="00B870FA" w:rsidRDefault="00E3192A" w14:paraId="255F5443" w14:textId="77777777">
      <w:pPr>
        <w:spacing w:after="0"/>
        <w:contextualSpacing/>
        <w:rPr>
          <w:rFonts w:cs="Times New Roman"/>
          <w:bCs/>
          <w:szCs w:val="18"/>
          <w:lang w:val="nl-NL" w:eastAsia="ja-JP"/>
        </w:rPr>
      </w:pPr>
    </w:p>
    <w:p w:rsidR="00ED3330" w:rsidP="00B870FA" w:rsidRDefault="00ED3330" w14:paraId="7849536D" w14:textId="77777777">
      <w:pPr>
        <w:spacing w:after="0"/>
        <w:contextualSpacing/>
        <w:rPr>
          <w:rFonts w:cs="Times New Roman"/>
          <w:bCs/>
          <w:szCs w:val="18"/>
          <w:lang w:val="nl-NL" w:eastAsia="ja-JP"/>
        </w:rPr>
      </w:pPr>
    </w:p>
    <w:p w:rsidR="00940959" w:rsidP="00B870FA" w:rsidRDefault="00940959" w14:paraId="0959CC48" w14:textId="77777777">
      <w:pPr>
        <w:spacing w:after="0"/>
        <w:contextualSpacing/>
        <w:rPr>
          <w:rFonts w:cs="Times New Roman"/>
          <w:bCs/>
          <w:szCs w:val="18"/>
          <w:lang w:val="nl-NL" w:eastAsia="ja-JP"/>
        </w:rPr>
      </w:pPr>
    </w:p>
    <w:p w:rsidR="00940959" w:rsidP="00B870FA" w:rsidRDefault="00940959" w14:paraId="45EE524F" w14:textId="77777777">
      <w:pPr>
        <w:spacing w:after="0"/>
        <w:contextualSpacing/>
        <w:rPr>
          <w:rFonts w:cs="Times New Roman"/>
          <w:bCs/>
          <w:szCs w:val="18"/>
          <w:lang w:val="nl-NL" w:eastAsia="ja-JP"/>
        </w:rPr>
      </w:pPr>
    </w:p>
    <w:p w:rsidR="00422029" w:rsidP="00B870FA" w:rsidRDefault="00422029" w14:paraId="23FA1E9D" w14:textId="2C3E6834">
      <w:pPr>
        <w:spacing w:after="0"/>
        <w:contextualSpacing/>
        <w:rPr>
          <w:rFonts w:cs="Times New Roman"/>
          <w:bCs/>
          <w:i/>
          <w:iCs/>
          <w:szCs w:val="18"/>
          <w:lang w:val="nl-NL" w:eastAsia="ja-JP"/>
        </w:rPr>
      </w:pPr>
      <w:r>
        <w:rPr>
          <w:rFonts w:cs="Times New Roman"/>
          <w:bCs/>
          <w:i/>
          <w:iCs/>
          <w:szCs w:val="18"/>
          <w:lang w:val="nl-NL" w:eastAsia="ja-JP"/>
        </w:rPr>
        <w:lastRenderedPageBreak/>
        <w:t>Ondersteuning bij vertrek uit Gaza</w:t>
      </w:r>
    </w:p>
    <w:p w:rsidR="00422029" w:rsidP="00422029" w:rsidRDefault="00422029" w14:paraId="275D6367" w14:textId="69FA23B9">
      <w:pPr>
        <w:spacing w:after="0"/>
        <w:contextualSpacing/>
        <w:rPr>
          <w:rFonts w:cs="Times New Roman"/>
          <w:bCs/>
          <w:szCs w:val="18"/>
          <w:lang w:val="nl-NL" w:eastAsia="ja-JP"/>
        </w:rPr>
      </w:pPr>
      <w:r w:rsidRPr="009E01B7">
        <w:rPr>
          <w:rFonts w:cs="Times New Roman"/>
          <w:szCs w:val="18"/>
          <w:lang w:val="nl-NL" w:eastAsia="ja-JP"/>
        </w:rPr>
        <w:t>Vanwege de oorlog in Gaza heeft het kabinet in november 2023 aan de Kamer gecommuniceerd dat ondersteuning bij vertrek wordt geboden aan Nederlanders en hun kerngezinsleden, en verblijfsvergunninghouders in Gaza.</w:t>
      </w:r>
      <w:r>
        <w:rPr>
          <w:rStyle w:val="FootnoteReference"/>
          <w:rFonts w:cs="Times New Roman"/>
          <w:bCs/>
          <w:szCs w:val="18"/>
          <w:lang w:val="nl-NL" w:eastAsia="ja-JP"/>
        </w:rPr>
        <w:footnoteReference w:id="6"/>
      </w:r>
      <w:r>
        <w:rPr>
          <w:rFonts w:cs="Times New Roman"/>
          <w:bCs/>
          <w:szCs w:val="18"/>
          <w:lang w:val="nl-NL" w:eastAsia="ja-JP"/>
        </w:rPr>
        <w:t xml:space="preserve"> </w:t>
      </w:r>
      <w:r w:rsidRPr="009E01B7">
        <w:rPr>
          <w:rFonts w:cs="Times New Roman"/>
          <w:szCs w:val="18"/>
          <w:lang w:val="nl-NL" w:eastAsia="ja-JP"/>
        </w:rPr>
        <w:t>Gelet op de zeer uitzonderlijke en schrijnende situatie in Gaza, de sterke afhankelijkheid van Israël om uitreis te bewerkstelligen en de rol van de (toentertijd) Egyptische autoriteiten, heeft het toenmalige kabinet in december 2023 daarnaast besloten deze ondersteuning bij wijze van hoge uitzondering ook te bieden aan personen in Gaza met een via de geëigende procedure van de IND verkregen positief besluit voor gezinshereniging</w:t>
      </w:r>
      <w:r w:rsidRPr="00422029">
        <w:rPr>
          <w:rFonts w:cs="Times New Roman"/>
          <w:bCs/>
          <w:szCs w:val="18"/>
          <w:lang w:val="nl-NL" w:eastAsia="ja-JP"/>
        </w:rPr>
        <w:t>.</w:t>
      </w:r>
      <w:r>
        <w:rPr>
          <w:rStyle w:val="FootnoteReference"/>
          <w:rFonts w:cs="Times New Roman"/>
          <w:bCs/>
          <w:szCs w:val="18"/>
          <w:lang w:val="nl-NL" w:eastAsia="ja-JP"/>
        </w:rPr>
        <w:footnoteReference w:id="7"/>
      </w:r>
    </w:p>
    <w:p w:rsidRPr="009E01B7" w:rsidR="00422029" w:rsidP="00422029" w:rsidRDefault="00422029" w14:paraId="30CEF39E" w14:textId="77777777">
      <w:pPr>
        <w:spacing w:after="0"/>
        <w:contextualSpacing/>
        <w:rPr>
          <w:rFonts w:cs="Times New Roman"/>
          <w:szCs w:val="18"/>
          <w:lang w:val="nl-NL" w:eastAsia="ja-JP"/>
        </w:rPr>
      </w:pPr>
    </w:p>
    <w:p w:rsidRPr="00422029" w:rsidR="00422029" w:rsidP="00B870FA" w:rsidRDefault="00422029" w14:paraId="711AE73C" w14:textId="7841F88C">
      <w:pPr>
        <w:spacing w:after="0"/>
        <w:contextualSpacing/>
        <w:rPr>
          <w:rFonts w:cs="Times New Roman"/>
          <w:bCs/>
          <w:szCs w:val="18"/>
          <w:lang w:val="nl-NL" w:eastAsia="ja-JP"/>
        </w:rPr>
      </w:pPr>
      <w:r w:rsidRPr="009E01B7">
        <w:rPr>
          <w:rFonts w:cs="Times New Roman"/>
          <w:szCs w:val="18"/>
          <w:lang w:val="nl-NL" w:eastAsia="ja-JP"/>
        </w:rPr>
        <w:t>In het licht van de ontwikkelingen sinds het staakt-het-vuren heeft het kabinet besloten terug te keren naar de reguliere consulaire bijstandverlening in Gaza. Dat betekent dat het ministerie van Buitenlandse Zaken consulaire bijstand zal (blijven) bieden aan Nederlands paspoorthouders in Gaza en in voorkomende gevallen aan personen in Gaza die reeds in bezit</w:t>
      </w:r>
      <w:r w:rsidR="00F7572C">
        <w:rPr>
          <w:rFonts w:cs="Times New Roman"/>
          <w:szCs w:val="18"/>
          <w:lang w:val="nl-NL" w:eastAsia="ja-JP"/>
        </w:rPr>
        <w:t xml:space="preserve"> zijn</w:t>
      </w:r>
      <w:r w:rsidRPr="009E01B7">
        <w:rPr>
          <w:rFonts w:cs="Times New Roman"/>
          <w:szCs w:val="18"/>
          <w:lang w:val="nl-NL" w:eastAsia="ja-JP"/>
        </w:rPr>
        <w:t xml:space="preserve"> van een verblijfvergunning voor het Koninkrijk. Ook zal het ministerie blijven voorzien in de reguliere consulaire dienstverlening aan houders van een machtiging tot voorlopig verblijf (mvv) uit Gaza.</w:t>
      </w:r>
    </w:p>
    <w:p w:rsidRPr="007904D8" w:rsidR="00422029" w:rsidP="00B870FA" w:rsidRDefault="00422029" w14:paraId="60FA13B6" w14:textId="77777777">
      <w:pPr>
        <w:spacing w:after="0"/>
        <w:contextualSpacing/>
        <w:rPr>
          <w:rFonts w:cs="Times New Roman"/>
          <w:bCs/>
          <w:szCs w:val="18"/>
          <w:lang w:val="nl-NL" w:eastAsia="ja-JP"/>
        </w:rPr>
      </w:pPr>
    </w:p>
    <w:p w:rsidRPr="00B453B6" w:rsidR="006C111C" w:rsidP="006C111C" w:rsidRDefault="006C111C" w14:paraId="436A3299" w14:textId="3DA2B0E2">
      <w:pPr>
        <w:spacing w:after="0"/>
        <w:contextualSpacing/>
        <w:rPr>
          <w:rFonts w:eastAsia="Malgun Gothic"/>
          <w:b/>
          <w:szCs w:val="18"/>
          <w:lang w:val="nl-NL" w:eastAsia="ko-KR"/>
        </w:rPr>
      </w:pPr>
      <w:r w:rsidRPr="00B453B6">
        <w:rPr>
          <w:b/>
          <w:szCs w:val="18"/>
          <w:lang w:val="nl-NL" w:eastAsia="ja-JP"/>
        </w:rPr>
        <w:t xml:space="preserve">Sahel </w:t>
      </w:r>
    </w:p>
    <w:p w:rsidRPr="00DB2150" w:rsidR="005377EF" w:rsidP="000C25C7" w:rsidRDefault="005377EF" w14:paraId="4A32214B" w14:textId="10C0702A">
      <w:pPr>
        <w:spacing w:after="0"/>
        <w:contextualSpacing/>
        <w:rPr>
          <w:rFonts w:eastAsia="Malgun Gothic"/>
          <w:bCs/>
          <w:szCs w:val="18"/>
          <w:lang w:val="nl-NL" w:eastAsia="ko-KR"/>
        </w:rPr>
      </w:pPr>
      <w:r w:rsidRPr="00DB2150">
        <w:rPr>
          <w:rFonts w:eastAsia="Malgun Gothic"/>
          <w:bCs/>
          <w:szCs w:val="18"/>
          <w:lang w:val="nl-NL" w:eastAsia="ko-KR"/>
        </w:rPr>
        <w:t xml:space="preserve">De Raad </w:t>
      </w:r>
      <w:r w:rsidR="005B0807">
        <w:rPr>
          <w:rFonts w:eastAsia="Malgun Gothic"/>
          <w:bCs/>
          <w:szCs w:val="18"/>
          <w:lang w:val="nl-NL" w:eastAsia="ko-KR"/>
        </w:rPr>
        <w:t>sprak brede steun uit voor</w:t>
      </w:r>
      <w:r w:rsidR="0033452E">
        <w:rPr>
          <w:rFonts w:eastAsia="Malgun Gothic"/>
          <w:bCs/>
          <w:szCs w:val="18"/>
          <w:lang w:val="nl-NL" w:eastAsia="ko-KR"/>
        </w:rPr>
        <w:t xml:space="preserve"> </w:t>
      </w:r>
      <w:r w:rsidRPr="00DB2150">
        <w:rPr>
          <w:rFonts w:eastAsia="Malgun Gothic"/>
          <w:bCs/>
          <w:szCs w:val="18"/>
          <w:lang w:val="nl-NL" w:eastAsia="ko-KR"/>
        </w:rPr>
        <w:t xml:space="preserve">de </w:t>
      </w:r>
      <w:r w:rsidRPr="00DB2150" w:rsidR="0033452E">
        <w:rPr>
          <w:rFonts w:eastAsia="Malgun Gothic"/>
          <w:bCs/>
          <w:i/>
          <w:iCs/>
          <w:szCs w:val="18"/>
          <w:lang w:val="nl-NL" w:eastAsia="ko-KR"/>
        </w:rPr>
        <w:t>Nieuwe Aanpak voor de Sahel</w:t>
      </w:r>
      <w:r w:rsidRPr="00DB2150" w:rsidR="0033452E">
        <w:rPr>
          <w:rFonts w:eastAsia="Malgun Gothic"/>
          <w:bCs/>
          <w:szCs w:val="18"/>
          <w:lang w:val="nl-NL" w:eastAsia="ko-KR"/>
        </w:rPr>
        <w:t xml:space="preserve"> </w:t>
      </w:r>
      <w:r w:rsidR="0033452E">
        <w:rPr>
          <w:rFonts w:eastAsia="Malgun Gothic"/>
          <w:bCs/>
          <w:szCs w:val="18"/>
          <w:lang w:val="nl-NL" w:eastAsia="ko-KR"/>
        </w:rPr>
        <w:t xml:space="preserve">van </w:t>
      </w:r>
      <w:r w:rsidRPr="00DB2150">
        <w:rPr>
          <w:rFonts w:eastAsia="Malgun Gothic"/>
          <w:bCs/>
          <w:szCs w:val="18"/>
          <w:lang w:val="nl-NL" w:eastAsia="ko-KR"/>
        </w:rPr>
        <w:t xml:space="preserve">de Hoge Vertegenwoordiger </w:t>
      </w:r>
      <w:r w:rsidR="0033452E">
        <w:rPr>
          <w:rFonts w:eastAsia="Malgun Gothic"/>
          <w:bCs/>
          <w:szCs w:val="18"/>
          <w:lang w:val="nl-NL" w:eastAsia="ko-KR"/>
        </w:rPr>
        <w:t>en de Speciale Vertegenwoordiger van de Sahel</w:t>
      </w:r>
      <w:r w:rsidR="0033452E">
        <w:rPr>
          <w:rFonts w:eastAsia="Malgun Gothic"/>
          <w:bCs/>
          <w:i/>
          <w:szCs w:val="18"/>
          <w:lang w:val="nl-NL" w:eastAsia="ko-KR"/>
        </w:rPr>
        <w:t xml:space="preserve">. </w:t>
      </w:r>
      <w:r w:rsidR="0033452E">
        <w:rPr>
          <w:rFonts w:eastAsia="Malgun Gothic"/>
          <w:bCs/>
          <w:iCs/>
          <w:szCs w:val="18"/>
          <w:lang w:val="nl-NL" w:eastAsia="ko-KR"/>
        </w:rPr>
        <w:t xml:space="preserve">Hiermee kan Europa beter inspelen op de Europese belangen in de </w:t>
      </w:r>
      <w:r w:rsidR="00FD050D">
        <w:rPr>
          <w:rFonts w:eastAsia="Malgun Gothic"/>
          <w:bCs/>
          <w:iCs/>
          <w:szCs w:val="18"/>
          <w:lang w:val="nl-NL" w:eastAsia="ko-KR"/>
        </w:rPr>
        <w:t xml:space="preserve">strategisch belangrijke en </w:t>
      </w:r>
      <w:r w:rsidR="0033452E">
        <w:rPr>
          <w:rFonts w:eastAsia="Malgun Gothic"/>
          <w:bCs/>
          <w:iCs/>
          <w:szCs w:val="18"/>
          <w:lang w:val="nl-NL" w:eastAsia="ko-KR"/>
        </w:rPr>
        <w:t>volatiele Sahel</w:t>
      </w:r>
      <w:r w:rsidR="00663B97">
        <w:rPr>
          <w:rFonts w:eastAsia="Malgun Gothic"/>
          <w:bCs/>
          <w:iCs/>
          <w:szCs w:val="18"/>
          <w:lang w:val="nl-NL" w:eastAsia="ko-KR"/>
        </w:rPr>
        <w:t xml:space="preserve"> </w:t>
      </w:r>
      <w:r w:rsidR="0033452E">
        <w:rPr>
          <w:rFonts w:eastAsia="Malgun Gothic"/>
          <w:bCs/>
          <w:iCs/>
          <w:szCs w:val="18"/>
          <w:lang w:val="nl-NL" w:eastAsia="ko-KR"/>
        </w:rPr>
        <w:t>regio</w:t>
      </w:r>
      <w:r w:rsidR="00FD050D">
        <w:rPr>
          <w:rFonts w:eastAsia="Malgun Gothic"/>
          <w:bCs/>
          <w:iCs/>
          <w:szCs w:val="18"/>
          <w:lang w:val="nl-NL" w:eastAsia="ko-KR"/>
        </w:rPr>
        <w:t>. In de Sahel staat</w:t>
      </w:r>
      <w:r w:rsidR="0033452E">
        <w:rPr>
          <w:rFonts w:eastAsia="Malgun Gothic"/>
          <w:bCs/>
          <w:iCs/>
          <w:szCs w:val="18"/>
          <w:lang w:val="nl-NL" w:eastAsia="ko-KR"/>
        </w:rPr>
        <w:t xml:space="preserve"> de politieke en veiligheidssituatie onder druk met gevolgen voor de bredere </w:t>
      </w:r>
      <w:r w:rsidR="00441987">
        <w:rPr>
          <w:rFonts w:eastAsia="Malgun Gothic"/>
          <w:bCs/>
          <w:iCs/>
          <w:szCs w:val="18"/>
          <w:lang w:val="nl-NL" w:eastAsia="ko-KR"/>
        </w:rPr>
        <w:t xml:space="preserve">West-Afrikaanse </w:t>
      </w:r>
      <w:r w:rsidR="0033452E">
        <w:rPr>
          <w:rFonts w:eastAsia="Malgun Gothic"/>
          <w:bCs/>
          <w:iCs/>
          <w:szCs w:val="18"/>
          <w:lang w:val="nl-NL" w:eastAsia="ko-KR"/>
        </w:rPr>
        <w:t>regio en Europa</w:t>
      </w:r>
      <w:r w:rsidRPr="00DB2150">
        <w:rPr>
          <w:rFonts w:eastAsia="Malgun Gothic"/>
          <w:bCs/>
          <w:i/>
          <w:iCs/>
          <w:szCs w:val="18"/>
          <w:lang w:val="nl-NL" w:eastAsia="ko-KR"/>
        </w:rPr>
        <w:t>.</w:t>
      </w:r>
      <w:r w:rsidRPr="00DB2150">
        <w:rPr>
          <w:rFonts w:eastAsia="Malgun Gothic"/>
          <w:bCs/>
          <w:szCs w:val="18"/>
          <w:lang w:val="nl-NL" w:eastAsia="ko-KR"/>
        </w:rPr>
        <w:t xml:space="preserve"> </w:t>
      </w:r>
      <w:r w:rsidR="00441987">
        <w:rPr>
          <w:rFonts w:eastAsia="Malgun Gothic"/>
          <w:bCs/>
          <w:iCs/>
          <w:szCs w:val="18"/>
          <w:lang w:val="nl-NL" w:eastAsia="ko-KR"/>
        </w:rPr>
        <w:t xml:space="preserve">Kern van de </w:t>
      </w:r>
      <w:r w:rsidRPr="005B7D8A" w:rsidR="00FD050D">
        <w:rPr>
          <w:rFonts w:eastAsia="Malgun Gothic"/>
          <w:bCs/>
          <w:i/>
          <w:szCs w:val="18"/>
          <w:lang w:val="nl-NL" w:eastAsia="ko-KR"/>
        </w:rPr>
        <w:t xml:space="preserve">Nieuwe </w:t>
      </w:r>
      <w:r w:rsidRPr="005B7D8A" w:rsidR="00441987">
        <w:rPr>
          <w:rFonts w:eastAsia="Malgun Gothic"/>
          <w:bCs/>
          <w:i/>
          <w:szCs w:val="18"/>
          <w:lang w:val="nl-NL" w:eastAsia="ko-KR"/>
        </w:rPr>
        <w:t>Aanpak</w:t>
      </w:r>
      <w:r w:rsidR="00441987">
        <w:rPr>
          <w:rFonts w:eastAsia="Malgun Gothic"/>
          <w:bCs/>
          <w:iCs/>
          <w:szCs w:val="18"/>
          <w:lang w:val="nl-NL" w:eastAsia="ko-KR"/>
        </w:rPr>
        <w:t xml:space="preserve"> is dat Europese belangen op het gebied van geopolitiek, veiligheid, migratie, ondermijning</w:t>
      </w:r>
      <w:r w:rsidR="00A65EA8">
        <w:rPr>
          <w:rFonts w:eastAsia="Malgun Gothic"/>
          <w:bCs/>
          <w:iCs/>
          <w:szCs w:val="18"/>
          <w:lang w:val="nl-NL" w:eastAsia="ko-KR"/>
        </w:rPr>
        <w:t xml:space="preserve">, multilateralisme, duurzame ontwikkeling en universele waarden </w:t>
      </w:r>
      <w:r w:rsidR="00441987">
        <w:rPr>
          <w:rFonts w:eastAsia="Malgun Gothic"/>
          <w:bCs/>
          <w:iCs/>
          <w:szCs w:val="18"/>
          <w:lang w:val="nl-NL" w:eastAsia="ko-KR"/>
        </w:rPr>
        <w:t xml:space="preserve">leidend zijn voor de Europese inzet. Bovendien beoogt de </w:t>
      </w:r>
      <w:r w:rsidRPr="005B7D8A" w:rsidR="00441987">
        <w:rPr>
          <w:rFonts w:eastAsia="Malgun Gothic"/>
          <w:bCs/>
          <w:i/>
          <w:szCs w:val="18"/>
          <w:lang w:val="nl-NL" w:eastAsia="ko-KR"/>
        </w:rPr>
        <w:t>Aanpak</w:t>
      </w:r>
      <w:r w:rsidR="00441987">
        <w:rPr>
          <w:rFonts w:eastAsia="Malgun Gothic"/>
          <w:bCs/>
          <w:iCs/>
          <w:szCs w:val="18"/>
          <w:lang w:val="nl-NL" w:eastAsia="ko-KR"/>
        </w:rPr>
        <w:t xml:space="preserve"> de kwaliteit van de politieke dialoog met de Sahellanden te verbeteren</w:t>
      </w:r>
      <w:r w:rsidR="00FD050D">
        <w:rPr>
          <w:rFonts w:eastAsia="Malgun Gothic"/>
          <w:bCs/>
          <w:iCs/>
          <w:szCs w:val="18"/>
          <w:lang w:val="nl-NL" w:eastAsia="ko-KR"/>
        </w:rPr>
        <w:t>, waarmee d</w:t>
      </w:r>
      <w:r w:rsidR="00441987">
        <w:rPr>
          <w:rFonts w:eastAsia="Malgun Gothic"/>
          <w:bCs/>
          <w:iCs/>
          <w:szCs w:val="18"/>
          <w:lang w:val="nl-NL" w:eastAsia="ko-KR"/>
        </w:rPr>
        <w:t xml:space="preserve">e EU een relevante speler </w:t>
      </w:r>
      <w:r w:rsidR="00FD050D">
        <w:rPr>
          <w:rFonts w:eastAsia="Malgun Gothic"/>
          <w:bCs/>
          <w:iCs/>
          <w:szCs w:val="18"/>
          <w:lang w:val="nl-NL" w:eastAsia="ko-KR"/>
        </w:rPr>
        <w:t xml:space="preserve">kan </w:t>
      </w:r>
      <w:r w:rsidR="00441987">
        <w:rPr>
          <w:rFonts w:eastAsia="Malgun Gothic"/>
          <w:bCs/>
          <w:iCs/>
          <w:szCs w:val="18"/>
          <w:lang w:val="nl-NL" w:eastAsia="ko-KR"/>
        </w:rPr>
        <w:t>blijven in de door crises en conflict geteisterde regio</w:t>
      </w:r>
      <w:r w:rsidR="00433DAF">
        <w:rPr>
          <w:rFonts w:eastAsia="Malgun Gothic"/>
          <w:bCs/>
          <w:iCs/>
          <w:szCs w:val="18"/>
          <w:lang w:val="nl-NL" w:eastAsia="ko-KR"/>
        </w:rPr>
        <w:t xml:space="preserve">. De EU </w:t>
      </w:r>
      <w:r w:rsidR="00FD050D">
        <w:rPr>
          <w:rFonts w:eastAsia="Malgun Gothic"/>
          <w:bCs/>
          <w:iCs/>
          <w:szCs w:val="18"/>
          <w:lang w:val="nl-NL" w:eastAsia="ko-KR"/>
        </w:rPr>
        <w:t xml:space="preserve">wil </w:t>
      </w:r>
      <w:r w:rsidR="00441987">
        <w:rPr>
          <w:rFonts w:eastAsia="Malgun Gothic"/>
          <w:bCs/>
          <w:iCs/>
          <w:szCs w:val="18"/>
          <w:lang w:val="nl-NL" w:eastAsia="ko-KR"/>
        </w:rPr>
        <w:t xml:space="preserve">veiligheid </w:t>
      </w:r>
      <w:r w:rsidR="00FD050D">
        <w:rPr>
          <w:rFonts w:eastAsia="Malgun Gothic"/>
          <w:bCs/>
          <w:iCs/>
          <w:szCs w:val="18"/>
          <w:lang w:val="nl-NL" w:eastAsia="ko-KR"/>
        </w:rPr>
        <w:t xml:space="preserve">bevorderen </w:t>
      </w:r>
      <w:r w:rsidR="00441987">
        <w:rPr>
          <w:rFonts w:eastAsia="Malgun Gothic"/>
          <w:bCs/>
          <w:iCs/>
          <w:szCs w:val="18"/>
          <w:lang w:val="nl-NL" w:eastAsia="ko-KR"/>
        </w:rPr>
        <w:t>met middelen voor ontwikkelingssamenwerking en</w:t>
      </w:r>
      <w:r w:rsidR="00433DAF">
        <w:rPr>
          <w:rFonts w:eastAsia="Malgun Gothic"/>
          <w:bCs/>
          <w:iCs/>
          <w:szCs w:val="18"/>
          <w:lang w:val="nl-NL" w:eastAsia="ko-KR"/>
        </w:rPr>
        <w:t>, daar</w:t>
      </w:r>
      <w:r w:rsidR="00441987">
        <w:rPr>
          <w:rFonts w:eastAsia="Malgun Gothic"/>
          <w:bCs/>
          <w:iCs/>
          <w:szCs w:val="18"/>
          <w:lang w:val="nl-NL" w:eastAsia="ko-KR"/>
        </w:rPr>
        <w:t xml:space="preserve"> waar </w:t>
      </w:r>
      <w:r w:rsidR="00FD050D">
        <w:rPr>
          <w:rFonts w:eastAsia="Malgun Gothic"/>
          <w:bCs/>
          <w:iCs/>
          <w:szCs w:val="18"/>
          <w:lang w:val="nl-NL" w:eastAsia="ko-KR"/>
        </w:rPr>
        <w:t>verantwoord</w:t>
      </w:r>
      <w:r w:rsidR="00433DAF">
        <w:rPr>
          <w:rFonts w:eastAsia="Malgun Gothic"/>
          <w:bCs/>
          <w:iCs/>
          <w:szCs w:val="18"/>
          <w:lang w:val="nl-NL" w:eastAsia="ko-KR"/>
        </w:rPr>
        <w:t>,</w:t>
      </w:r>
      <w:r w:rsidR="00441987">
        <w:rPr>
          <w:rFonts w:eastAsia="Malgun Gothic"/>
          <w:bCs/>
          <w:iCs/>
          <w:szCs w:val="18"/>
          <w:lang w:val="nl-NL" w:eastAsia="ko-KR"/>
        </w:rPr>
        <w:t xml:space="preserve"> met </w:t>
      </w:r>
      <w:r w:rsidR="00433DAF">
        <w:rPr>
          <w:rFonts w:eastAsia="Malgun Gothic"/>
          <w:bCs/>
          <w:iCs/>
          <w:szCs w:val="18"/>
          <w:lang w:val="nl-NL" w:eastAsia="ko-KR"/>
        </w:rPr>
        <w:t xml:space="preserve">gerichte </w:t>
      </w:r>
      <w:r w:rsidR="00441987">
        <w:rPr>
          <w:rFonts w:eastAsia="Malgun Gothic"/>
          <w:bCs/>
          <w:iCs/>
          <w:szCs w:val="18"/>
          <w:lang w:val="nl-NL" w:eastAsia="ko-KR"/>
        </w:rPr>
        <w:t xml:space="preserve">veiligheidssamenwerking. Tevens bevordert de EU de sociale cohesie en het maatschappelijk middenveld </w:t>
      </w:r>
      <w:r w:rsidR="00433DAF">
        <w:rPr>
          <w:rFonts w:eastAsia="Malgun Gothic"/>
          <w:bCs/>
          <w:iCs/>
          <w:szCs w:val="18"/>
          <w:lang w:val="nl-NL" w:eastAsia="ko-KR"/>
        </w:rPr>
        <w:t xml:space="preserve">in de regio </w:t>
      </w:r>
      <w:r w:rsidR="00441987">
        <w:rPr>
          <w:rFonts w:eastAsia="Malgun Gothic"/>
          <w:bCs/>
          <w:iCs/>
          <w:szCs w:val="18"/>
          <w:lang w:val="nl-NL" w:eastAsia="ko-KR"/>
        </w:rPr>
        <w:t xml:space="preserve">en draagt de EU met middelen </w:t>
      </w:r>
      <w:r w:rsidR="00433DAF">
        <w:rPr>
          <w:rFonts w:eastAsia="Malgun Gothic"/>
          <w:bCs/>
          <w:iCs/>
          <w:szCs w:val="18"/>
          <w:lang w:val="nl-NL" w:eastAsia="ko-KR"/>
        </w:rPr>
        <w:t xml:space="preserve">voor ontwikkelingssamenwerking </w:t>
      </w:r>
      <w:r w:rsidR="00441987">
        <w:rPr>
          <w:rFonts w:eastAsia="Malgun Gothic"/>
          <w:bCs/>
          <w:iCs/>
          <w:szCs w:val="18"/>
          <w:lang w:val="nl-NL" w:eastAsia="ko-KR"/>
        </w:rPr>
        <w:t>bij aan economische ontwikkeling en verbeterde toegang tot basisdiensten als water, landbouw en gezondheid.</w:t>
      </w:r>
      <w:r w:rsidRPr="00DB2150">
        <w:rPr>
          <w:rFonts w:eastAsia="Malgun Gothic"/>
          <w:bCs/>
          <w:szCs w:val="18"/>
          <w:lang w:val="nl-NL" w:eastAsia="ko-KR"/>
        </w:rPr>
        <w:t xml:space="preserve"> </w:t>
      </w:r>
      <w:r w:rsidRPr="00DB2150" w:rsidR="000C25C7">
        <w:rPr>
          <w:rFonts w:eastAsia="Malgun Gothic"/>
          <w:bCs/>
          <w:szCs w:val="18"/>
          <w:lang w:val="nl-NL" w:eastAsia="ko-KR"/>
        </w:rPr>
        <w:t xml:space="preserve">Een brede groep </w:t>
      </w:r>
      <w:r w:rsidR="00736D01">
        <w:rPr>
          <w:rFonts w:eastAsia="Malgun Gothic"/>
          <w:bCs/>
          <w:szCs w:val="18"/>
          <w:lang w:val="nl-NL" w:eastAsia="ko-KR"/>
        </w:rPr>
        <w:t>l</w:t>
      </w:r>
      <w:r w:rsidRPr="00DB2150" w:rsidR="000C25C7">
        <w:rPr>
          <w:rFonts w:eastAsia="Malgun Gothic"/>
          <w:bCs/>
          <w:szCs w:val="18"/>
          <w:lang w:val="nl-NL" w:eastAsia="ko-KR"/>
        </w:rPr>
        <w:t>idstaten</w:t>
      </w:r>
      <w:r w:rsidR="00F8563A">
        <w:rPr>
          <w:rFonts w:eastAsia="Malgun Gothic"/>
          <w:bCs/>
          <w:szCs w:val="18"/>
          <w:lang w:val="nl-NL" w:eastAsia="ko-KR"/>
        </w:rPr>
        <w:t>,</w:t>
      </w:r>
      <w:r w:rsidRPr="00DB2150" w:rsidR="000C25C7">
        <w:rPr>
          <w:rFonts w:eastAsia="Malgun Gothic"/>
          <w:bCs/>
          <w:szCs w:val="18"/>
          <w:lang w:val="nl-NL" w:eastAsia="ko-KR"/>
        </w:rPr>
        <w:t xml:space="preserve"> </w:t>
      </w:r>
      <w:r w:rsidR="0033452E">
        <w:rPr>
          <w:rFonts w:eastAsia="Malgun Gothic"/>
          <w:bCs/>
          <w:szCs w:val="18"/>
          <w:lang w:val="nl-NL" w:eastAsia="ko-KR"/>
        </w:rPr>
        <w:t>inclusief Nederland</w:t>
      </w:r>
      <w:r w:rsidR="00F8563A">
        <w:rPr>
          <w:rFonts w:eastAsia="Malgun Gothic"/>
          <w:bCs/>
          <w:szCs w:val="18"/>
          <w:lang w:val="nl-NL" w:eastAsia="ko-KR"/>
        </w:rPr>
        <w:t>,</w:t>
      </w:r>
      <w:r w:rsidR="0033452E">
        <w:rPr>
          <w:rFonts w:eastAsia="Malgun Gothic"/>
          <w:bCs/>
          <w:szCs w:val="18"/>
          <w:lang w:val="nl-NL" w:eastAsia="ko-KR"/>
        </w:rPr>
        <w:t xml:space="preserve"> </w:t>
      </w:r>
      <w:r w:rsidRPr="00DB2150" w:rsidR="000C25C7">
        <w:rPr>
          <w:rFonts w:eastAsia="Malgun Gothic"/>
          <w:bCs/>
          <w:szCs w:val="18"/>
          <w:lang w:val="nl-NL" w:eastAsia="ko-KR"/>
        </w:rPr>
        <w:t xml:space="preserve">pleitte </w:t>
      </w:r>
      <w:r w:rsidR="0033452E">
        <w:rPr>
          <w:rFonts w:eastAsia="Malgun Gothic"/>
          <w:bCs/>
          <w:szCs w:val="18"/>
          <w:lang w:val="nl-NL" w:eastAsia="ko-KR"/>
        </w:rPr>
        <w:t xml:space="preserve">hierbij </w:t>
      </w:r>
      <w:r w:rsidRPr="00DB2150" w:rsidR="000C25C7">
        <w:rPr>
          <w:rFonts w:eastAsia="Malgun Gothic"/>
          <w:bCs/>
          <w:szCs w:val="18"/>
          <w:lang w:val="nl-NL" w:eastAsia="ko-KR"/>
        </w:rPr>
        <w:t xml:space="preserve">voor </w:t>
      </w:r>
      <w:r w:rsidRPr="000C25C7" w:rsidR="000C25C7">
        <w:rPr>
          <w:rFonts w:eastAsia="Malgun Gothic"/>
          <w:bCs/>
          <w:szCs w:val="18"/>
          <w:lang w:val="nl-NL" w:eastAsia="ko-KR"/>
        </w:rPr>
        <w:t>het tegengaan van desinformatie door betere strategische communicatie</w:t>
      </w:r>
      <w:r w:rsidR="0033452E">
        <w:rPr>
          <w:rFonts w:eastAsia="Malgun Gothic"/>
          <w:bCs/>
          <w:szCs w:val="18"/>
          <w:lang w:val="nl-NL" w:eastAsia="ko-KR"/>
        </w:rPr>
        <w:t xml:space="preserve"> en </w:t>
      </w:r>
      <w:r w:rsidRPr="000C25C7" w:rsidR="000C25C7">
        <w:rPr>
          <w:rFonts w:eastAsia="Malgun Gothic"/>
          <w:bCs/>
          <w:szCs w:val="18"/>
          <w:lang w:val="nl-NL" w:eastAsia="ko-KR"/>
        </w:rPr>
        <w:t>steun aan onafhankelijke media.</w:t>
      </w:r>
    </w:p>
    <w:p w:rsidRPr="00DB2150" w:rsidR="006C111C" w:rsidP="006C111C" w:rsidRDefault="006C111C" w14:paraId="0904C45E" w14:textId="77777777">
      <w:pPr>
        <w:spacing w:after="0"/>
        <w:contextualSpacing/>
        <w:rPr>
          <w:bCs/>
          <w:lang w:val="nl-NL"/>
        </w:rPr>
      </w:pPr>
    </w:p>
    <w:p w:rsidRPr="00B453B6" w:rsidR="006C111C" w:rsidP="006C111C" w:rsidRDefault="006C111C" w14:paraId="5C23DFD0" w14:textId="20FCAEBC">
      <w:pPr>
        <w:spacing w:after="0"/>
        <w:contextualSpacing/>
        <w:rPr>
          <w:rFonts w:cs="Times New Roman"/>
          <w:b/>
          <w:bCs/>
          <w:szCs w:val="18"/>
          <w:lang w:val="nl-NL" w:eastAsia="ja-JP"/>
        </w:rPr>
      </w:pPr>
      <w:r w:rsidRPr="00B453B6">
        <w:rPr>
          <w:rFonts w:cs="Times New Roman"/>
          <w:b/>
          <w:bCs/>
          <w:szCs w:val="18"/>
          <w:lang w:val="nl-NL" w:eastAsia="ja-JP"/>
        </w:rPr>
        <w:t xml:space="preserve">Soedan </w:t>
      </w:r>
    </w:p>
    <w:p w:rsidRPr="0006066E" w:rsidR="006C111C" w:rsidP="006C111C" w:rsidRDefault="007C3ED3" w14:paraId="7D009461" w14:textId="74F8A88E">
      <w:pPr>
        <w:spacing w:after="0"/>
        <w:contextualSpacing/>
        <w:rPr>
          <w:rFonts w:cs="Times New Roman"/>
          <w:bCs/>
          <w:szCs w:val="18"/>
          <w:lang w:val="nl-NL" w:eastAsia="ja-JP"/>
        </w:rPr>
      </w:pPr>
      <w:r w:rsidRPr="007C3ED3">
        <w:rPr>
          <w:rFonts w:cs="Times New Roman"/>
          <w:bCs/>
          <w:szCs w:val="18"/>
          <w:lang w:val="nl-NL" w:eastAsia="ja-JP"/>
        </w:rPr>
        <w:t>De Raad sprak opnieuw o</w:t>
      </w:r>
      <w:r>
        <w:rPr>
          <w:rFonts w:cs="Times New Roman"/>
          <w:bCs/>
          <w:szCs w:val="18"/>
          <w:lang w:val="nl-NL" w:eastAsia="ja-JP"/>
        </w:rPr>
        <w:t>ver de situatie in Soedan, waarbij werd stilgestaan bij het belang van de vier kernpunten uit de in oktober aangenomen Raadsconclusies</w:t>
      </w:r>
      <w:r w:rsidR="00BA7B54">
        <w:rPr>
          <w:rStyle w:val="FootnoteReference"/>
          <w:rFonts w:cs="Times New Roman"/>
          <w:bCs/>
          <w:szCs w:val="18"/>
          <w:lang w:val="nl-NL" w:eastAsia="ja-JP"/>
        </w:rPr>
        <w:footnoteReference w:id="8"/>
      </w:r>
      <w:r w:rsidR="006966BA">
        <w:rPr>
          <w:rFonts w:cs="Times New Roman"/>
          <w:bCs/>
          <w:szCs w:val="18"/>
          <w:lang w:val="nl-NL" w:eastAsia="ja-JP"/>
        </w:rPr>
        <w:t>:</w:t>
      </w:r>
      <w:r w:rsidR="0089348A">
        <w:rPr>
          <w:rFonts w:cs="Times New Roman"/>
          <w:bCs/>
          <w:szCs w:val="18"/>
          <w:lang w:val="nl-NL" w:eastAsia="ja-JP"/>
        </w:rPr>
        <w:t xml:space="preserve"> een s</w:t>
      </w:r>
      <w:r w:rsidRPr="007C3ED3">
        <w:rPr>
          <w:rFonts w:cs="Times New Roman"/>
          <w:bCs/>
          <w:szCs w:val="18"/>
          <w:lang w:val="nl-NL" w:eastAsia="ja-JP"/>
        </w:rPr>
        <w:t>taakt-het-vuren</w:t>
      </w:r>
      <w:r w:rsidR="00AA3D6C">
        <w:rPr>
          <w:rFonts w:cs="Times New Roman"/>
          <w:bCs/>
          <w:szCs w:val="18"/>
          <w:lang w:val="nl-NL" w:eastAsia="ja-JP"/>
        </w:rPr>
        <w:t>,</w:t>
      </w:r>
      <w:r w:rsidRPr="007C3ED3">
        <w:rPr>
          <w:rFonts w:cs="Times New Roman"/>
          <w:bCs/>
          <w:szCs w:val="18"/>
          <w:lang w:val="nl-NL" w:eastAsia="ja-JP"/>
        </w:rPr>
        <w:t xml:space="preserve"> </w:t>
      </w:r>
      <w:r w:rsidR="0089348A">
        <w:rPr>
          <w:rFonts w:cs="Times New Roman"/>
          <w:bCs/>
          <w:szCs w:val="18"/>
          <w:lang w:val="nl-NL" w:eastAsia="ja-JP"/>
        </w:rPr>
        <w:t>h</w:t>
      </w:r>
      <w:r w:rsidRPr="007C3ED3">
        <w:rPr>
          <w:rFonts w:cs="Times New Roman"/>
          <w:bCs/>
          <w:szCs w:val="18"/>
          <w:lang w:val="nl-NL" w:eastAsia="ja-JP"/>
        </w:rPr>
        <w:t>umanitaire toegang en bescherming van burgers</w:t>
      </w:r>
      <w:r w:rsidR="005B0807">
        <w:rPr>
          <w:rFonts w:cs="Times New Roman"/>
          <w:bCs/>
          <w:szCs w:val="18"/>
          <w:lang w:val="nl-NL" w:eastAsia="ja-JP"/>
        </w:rPr>
        <w:t>,</w:t>
      </w:r>
      <w:r w:rsidR="0089348A">
        <w:rPr>
          <w:rFonts w:cs="Times New Roman"/>
          <w:bCs/>
          <w:szCs w:val="18"/>
          <w:lang w:val="nl-NL" w:eastAsia="ja-JP"/>
        </w:rPr>
        <w:t xml:space="preserve"> een c</w:t>
      </w:r>
      <w:r w:rsidRPr="007C3ED3">
        <w:rPr>
          <w:rFonts w:cs="Times New Roman"/>
          <w:bCs/>
          <w:szCs w:val="18"/>
          <w:lang w:val="nl-NL" w:eastAsia="ja-JP"/>
        </w:rPr>
        <w:t xml:space="preserve">iviele transitie en </w:t>
      </w:r>
      <w:r w:rsidR="0089348A">
        <w:rPr>
          <w:rFonts w:cs="Times New Roman"/>
          <w:bCs/>
          <w:szCs w:val="18"/>
          <w:lang w:val="nl-NL" w:eastAsia="ja-JP"/>
        </w:rPr>
        <w:t>het t</w:t>
      </w:r>
      <w:r w:rsidRPr="007C3ED3">
        <w:rPr>
          <w:rFonts w:cs="Times New Roman"/>
          <w:bCs/>
          <w:szCs w:val="18"/>
          <w:lang w:val="nl-NL" w:eastAsia="ja-JP"/>
        </w:rPr>
        <w:t xml:space="preserve">egengaan van straffeloosheid. De Raad </w:t>
      </w:r>
      <w:r w:rsidR="005B0807">
        <w:rPr>
          <w:rFonts w:cs="Times New Roman"/>
          <w:bCs/>
          <w:szCs w:val="18"/>
          <w:lang w:val="nl-NL" w:eastAsia="ja-JP"/>
        </w:rPr>
        <w:t>nam</w:t>
      </w:r>
      <w:r w:rsidRPr="007C3ED3">
        <w:rPr>
          <w:rFonts w:cs="Times New Roman"/>
          <w:bCs/>
          <w:szCs w:val="18"/>
          <w:lang w:val="nl-NL" w:eastAsia="ja-JP"/>
        </w:rPr>
        <w:t xml:space="preserve"> sancties aan tegen</w:t>
      </w:r>
      <w:r>
        <w:rPr>
          <w:rFonts w:cs="Times New Roman"/>
          <w:bCs/>
          <w:szCs w:val="18"/>
          <w:lang w:val="nl-NL" w:eastAsia="ja-JP"/>
        </w:rPr>
        <w:t xml:space="preserve"> </w:t>
      </w:r>
      <w:r w:rsidRPr="007C3ED3">
        <w:rPr>
          <w:rFonts w:cs="Times New Roman"/>
          <w:bCs/>
          <w:szCs w:val="18"/>
          <w:lang w:val="nl-NL" w:eastAsia="ja-JP"/>
        </w:rPr>
        <w:t>Abdelrahim Hamdan Dagalo</w:t>
      </w:r>
      <w:r>
        <w:rPr>
          <w:rFonts w:cs="Times New Roman"/>
          <w:bCs/>
          <w:szCs w:val="18"/>
          <w:lang w:val="nl-NL" w:eastAsia="ja-JP"/>
        </w:rPr>
        <w:t xml:space="preserve">, </w:t>
      </w:r>
      <w:r w:rsidR="006966BA">
        <w:rPr>
          <w:rFonts w:cs="Times New Roman"/>
          <w:bCs/>
          <w:szCs w:val="18"/>
          <w:lang w:val="nl-NL" w:eastAsia="ja-JP"/>
        </w:rPr>
        <w:t>de tweede man</w:t>
      </w:r>
      <w:r>
        <w:rPr>
          <w:rFonts w:cs="Times New Roman"/>
          <w:bCs/>
          <w:szCs w:val="18"/>
          <w:lang w:val="nl-NL" w:eastAsia="ja-JP"/>
        </w:rPr>
        <w:t xml:space="preserve"> </w:t>
      </w:r>
      <w:r w:rsidR="006966BA">
        <w:rPr>
          <w:rFonts w:cs="Times New Roman"/>
          <w:bCs/>
          <w:szCs w:val="18"/>
          <w:lang w:val="nl-NL" w:eastAsia="ja-JP"/>
        </w:rPr>
        <w:t>binnen</w:t>
      </w:r>
      <w:r w:rsidDel="006966BA">
        <w:rPr>
          <w:rFonts w:cs="Times New Roman"/>
          <w:bCs/>
          <w:szCs w:val="18"/>
          <w:lang w:val="nl-NL" w:eastAsia="ja-JP"/>
        </w:rPr>
        <w:t xml:space="preserve"> </w:t>
      </w:r>
      <w:r>
        <w:rPr>
          <w:rFonts w:cs="Times New Roman"/>
          <w:bCs/>
          <w:szCs w:val="18"/>
          <w:lang w:val="nl-NL" w:eastAsia="ja-JP"/>
        </w:rPr>
        <w:t xml:space="preserve">de </w:t>
      </w:r>
      <w:r>
        <w:rPr>
          <w:rFonts w:cs="Times New Roman"/>
          <w:bCs/>
          <w:i/>
          <w:iCs/>
          <w:szCs w:val="18"/>
          <w:lang w:val="nl-NL" w:eastAsia="ja-JP"/>
        </w:rPr>
        <w:t xml:space="preserve">Rapid Support Forces </w:t>
      </w:r>
      <w:r>
        <w:rPr>
          <w:rFonts w:cs="Times New Roman"/>
          <w:bCs/>
          <w:szCs w:val="18"/>
          <w:lang w:val="nl-NL" w:eastAsia="ja-JP"/>
        </w:rPr>
        <w:t xml:space="preserve">(RSF) en </w:t>
      </w:r>
      <w:r w:rsidR="005B0807">
        <w:rPr>
          <w:rFonts w:cs="Times New Roman"/>
          <w:bCs/>
          <w:szCs w:val="18"/>
          <w:lang w:val="nl-NL" w:eastAsia="ja-JP"/>
        </w:rPr>
        <w:t xml:space="preserve">de </w:t>
      </w:r>
      <w:r w:rsidR="006966BA">
        <w:rPr>
          <w:rFonts w:cs="Times New Roman"/>
          <w:bCs/>
          <w:szCs w:val="18"/>
          <w:lang w:val="nl-NL" w:eastAsia="ja-JP"/>
        </w:rPr>
        <w:t xml:space="preserve">broer van Hemedti, </w:t>
      </w:r>
      <w:r w:rsidR="005B0807">
        <w:rPr>
          <w:rFonts w:cs="Times New Roman"/>
          <w:bCs/>
          <w:szCs w:val="18"/>
          <w:lang w:val="nl-NL" w:eastAsia="ja-JP"/>
        </w:rPr>
        <w:t xml:space="preserve">de </w:t>
      </w:r>
      <w:r w:rsidR="006966BA">
        <w:rPr>
          <w:rFonts w:cs="Times New Roman"/>
          <w:bCs/>
          <w:szCs w:val="18"/>
          <w:lang w:val="nl-NL" w:eastAsia="ja-JP"/>
        </w:rPr>
        <w:t xml:space="preserve">leider van de RSF. Daarnaast </w:t>
      </w:r>
      <w:r>
        <w:rPr>
          <w:rFonts w:cs="Times New Roman"/>
          <w:bCs/>
          <w:szCs w:val="18"/>
          <w:lang w:val="nl-NL" w:eastAsia="ja-JP"/>
        </w:rPr>
        <w:t xml:space="preserve">publiceerde </w:t>
      </w:r>
      <w:r w:rsidR="006966BA">
        <w:rPr>
          <w:rFonts w:cs="Times New Roman"/>
          <w:bCs/>
          <w:szCs w:val="18"/>
          <w:lang w:val="nl-NL" w:eastAsia="ja-JP"/>
        </w:rPr>
        <w:t>de Raad</w:t>
      </w:r>
      <w:r>
        <w:rPr>
          <w:rFonts w:cs="Times New Roman"/>
          <w:bCs/>
          <w:szCs w:val="18"/>
          <w:lang w:val="nl-NL" w:eastAsia="ja-JP"/>
        </w:rPr>
        <w:t xml:space="preserve"> een EU27</w:t>
      </w:r>
      <w:r w:rsidR="007A63A8">
        <w:rPr>
          <w:rFonts w:cs="Times New Roman"/>
          <w:bCs/>
          <w:szCs w:val="18"/>
          <w:lang w:val="nl-NL" w:eastAsia="ja-JP"/>
        </w:rPr>
        <w:t>-</w:t>
      </w:r>
      <w:r>
        <w:rPr>
          <w:rFonts w:cs="Times New Roman"/>
          <w:bCs/>
          <w:szCs w:val="18"/>
          <w:lang w:val="nl-NL" w:eastAsia="ja-JP"/>
        </w:rPr>
        <w:t>verklaring</w:t>
      </w:r>
      <w:r w:rsidR="00BA7B54">
        <w:rPr>
          <w:rStyle w:val="FootnoteReference"/>
          <w:rFonts w:cs="Times New Roman"/>
          <w:bCs/>
          <w:szCs w:val="18"/>
          <w:lang w:val="nl-NL" w:eastAsia="ja-JP"/>
        </w:rPr>
        <w:footnoteReference w:id="9"/>
      </w:r>
      <w:r>
        <w:rPr>
          <w:rFonts w:cs="Times New Roman"/>
          <w:bCs/>
          <w:szCs w:val="18"/>
          <w:lang w:val="nl-NL" w:eastAsia="ja-JP"/>
        </w:rPr>
        <w:t xml:space="preserve"> waarin de wreedheden in El Fasher en Darfoer worden veroordeeld. </w:t>
      </w:r>
      <w:r w:rsidR="00465041">
        <w:rPr>
          <w:rFonts w:cs="Times New Roman"/>
          <w:bCs/>
          <w:szCs w:val="18"/>
          <w:lang w:val="nl-NL" w:eastAsia="ja-JP"/>
        </w:rPr>
        <w:t>Conform de motie van Baarle</w:t>
      </w:r>
      <w:r w:rsidR="00465041">
        <w:rPr>
          <w:rStyle w:val="FootnoteReference"/>
          <w:rFonts w:cs="Times New Roman"/>
          <w:bCs/>
          <w:szCs w:val="18"/>
          <w:lang w:val="nl-NL" w:eastAsia="ja-JP"/>
        </w:rPr>
        <w:footnoteReference w:id="10"/>
      </w:r>
      <w:r w:rsidR="00465041">
        <w:rPr>
          <w:rFonts w:cs="Times New Roman"/>
          <w:bCs/>
          <w:szCs w:val="18"/>
          <w:lang w:val="nl-NL" w:eastAsia="ja-JP"/>
        </w:rPr>
        <w:t xml:space="preserve"> heeft </w:t>
      </w:r>
      <w:r>
        <w:rPr>
          <w:rFonts w:cs="Times New Roman"/>
          <w:bCs/>
          <w:szCs w:val="18"/>
          <w:lang w:val="nl-NL" w:eastAsia="ja-JP"/>
        </w:rPr>
        <w:t xml:space="preserve">Nederland gepleit voor het verder verhogen van </w:t>
      </w:r>
      <w:r w:rsidR="00A41902">
        <w:rPr>
          <w:rFonts w:cs="Times New Roman"/>
          <w:bCs/>
          <w:szCs w:val="18"/>
          <w:lang w:val="nl-NL" w:eastAsia="ja-JP"/>
        </w:rPr>
        <w:t>de</w:t>
      </w:r>
      <w:r>
        <w:rPr>
          <w:rFonts w:cs="Times New Roman"/>
          <w:bCs/>
          <w:szCs w:val="18"/>
          <w:lang w:val="nl-NL" w:eastAsia="ja-JP"/>
        </w:rPr>
        <w:t xml:space="preserve"> humanitaire hulp vanuit de EU</w:t>
      </w:r>
      <w:r w:rsidR="008776D9">
        <w:rPr>
          <w:rFonts w:cs="Times New Roman"/>
          <w:bCs/>
          <w:szCs w:val="18"/>
          <w:lang w:val="nl-NL" w:eastAsia="ja-JP"/>
        </w:rPr>
        <w:t xml:space="preserve"> </w:t>
      </w:r>
      <w:r w:rsidR="005B0807">
        <w:rPr>
          <w:rFonts w:cs="Times New Roman"/>
          <w:bCs/>
          <w:szCs w:val="18"/>
          <w:lang w:val="nl-NL" w:eastAsia="ja-JP"/>
        </w:rPr>
        <w:t>en E</w:t>
      </w:r>
      <w:r w:rsidR="00AA3D6C">
        <w:rPr>
          <w:rFonts w:cs="Times New Roman"/>
          <w:bCs/>
          <w:szCs w:val="18"/>
          <w:lang w:val="nl-NL" w:eastAsia="ja-JP"/>
        </w:rPr>
        <w:t>U</w:t>
      </w:r>
      <w:r w:rsidR="005B0807">
        <w:rPr>
          <w:rFonts w:cs="Times New Roman"/>
          <w:bCs/>
          <w:szCs w:val="18"/>
          <w:lang w:val="nl-NL" w:eastAsia="ja-JP"/>
        </w:rPr>
        <w:t xml:space="preserve">-lidstaten </w:t>
      </w:r>
      <w:r w:rsidR="008776D9">
        <w:rPr>
          <w:rFonts w:cs="Times New Roman"/>
          <w:bCs/>
          <w:szCs w:val="18"/>
          <w:lang w:val="nl-NL" w:eastAsia="ja-JP"/>
        </w:rPr>
        <w:t>voor Soedan</w:t>
      </w:r>
      <w:r w:rsidR="00347786">
        <w:rPr>
          <w:rFonts w:cs="Times New Roman"/>
          <w:bCs/>
          <w:szCs w:val="18"/>
          <w:lang w:val="nl-NL" w:eastAsia="ja-JP"/>
        </w:rPr>
        <w:t xml:space="preserve">. </w:t>
      </w:r>
      <w:r w:rsidRPr="00347786" w:rsidR="00347786">
        <w:rPr>
          <w:rFonts w:cs="Times New Roman"/>
          <w:bCs/>
          <w:szCs w:val="18"/>
          <w:lang w:val="nl-NL" w:eastAsia="ja-JP"/>
        </w:rPr>
        <w:t>Conform de motie-Piri c</w:t>
      </w:r>
      <w:r w:rsidR="00347786">
        <w:rPr>
          <w:rFonts w:cs="Times New Roman"/>
          <w:bCs/>
          <w:szCs w:val="18"/>
          <w:lang w:val="nl-NL" w:eastAsia="ja-JP"/>
        </w:rPr>
        <w:t>.</w:t>
      </w:r>
      <w:r w:rsidRPr="00347786" w:rsidR="00347786">
        <w:rPr>
          <w:rFonts w:cs="Times New Roman"/>
          <w:bCs/>
          <w:szCs w:val="18"/>
          <w:lang w:val="nl-NL" w:eastAsia="ja-JP"/>
        </w:rPr>
        <w:t>s.</w:t>
      </w:r>
      <w:r w:rsidR="00347786">
        <w:rPr>
          <w:rStyle w:val="FootnoteReference"/>
          <w:rFonts w:cs="Times New Roman"/>
          <w:bCs/>
          <w:szCs w:val="18"/>
          <w:lang w:val="nl-NL" w:eastAsia="ja-JP"/>
        </w:rPr>
        <w:footnoteReference w:id="11"/>
      </w:r>
      <w:r w:rsidRPr="00347786" w:rsidDel="00347786" w:rsidR="00347786">
        <w:rPr>
          <w:rFonts w:cs="Times New Roman"/>
          <w:bCs/>
          <w:szCs w:val="18"/>
          <w:lang w:val="nl-NL" w:eastAsia="ja-JP"/>
        </w:rPr>
        <w:t xml:space="preserve"> </w:t>
      </w:r>
      <w:r>
        <w:rPr>
          <w:rFonts w:cs="Times New Roman"/>
          <w:bCs/>
          <w:szCs w:val="18"/>
          <w:lang w:val="nl-NL" w:eastAsia="ja-JP"/>
        </w:rPr>
        <w:t xml:space="preserve">en </w:t>
      </w:r>
      <w:r w:rsidRPr="00347786" w:rsidR="00347786">
        <w:rPr>
          <w:rFonts w:cs="Times New Roman"/>
          <w:bCs/>
          <w:szCs w:val="18"/>
          <w:lang w:val="nl-NL" w:eastAsia="ja-JP"/>
        </w:rPr>
        <w:t>motie-</w:t>
      </w:r>
      <w:r w:rsidR="00347786">
        <w:rPr>
          <w:rFonts w:cs="Times New Roman"/>
          <w:bCs/>
          <w:szCs w:val="18"/>
          <w:lang w:val="nl-NL" w:eastAsia="ja-JP"/>
        </w:rPr>
        <w:t>Piri</w:t>
      </w:r>
      <w:r w:rsidR="00347786">
        <w:rPr>
          <w:rStyle w:val="FootnoteReference"/>
          <w:rFonts w:cs="Times New Roman"/>
          <w:bCs/>
          <w:szCs w:val="18"/>
          <w:lang w:val="nl-NL" w:eastAsia="ja-JP"/>
        </w:rPr>
        <w:footnoteReference w:id="12"/>
      </w:r>
      <w:r w:rsidRPr="00347786" w:rsidR="00347786">
        <w:rPr>
          <w:rFonts w:cs="Times New Roman"/>
          <w:bCs/>
          <w:szCs w:val="18"/>
          <w:lang w:val="nl-NL" w:eastAsia="ja-JP"/>
        </w:rPr>
        <w:t xml:space="preserve"> heeft Nederland tijdens de Raad gepleit </w:t>
      </w:r>
      <w:r w:rsidR="00465041">
        <w:rPr>
          <w:rFonts w:cs="Times New Roman"/>
          <w:bCs/>
          <w:szCs w:val="18"/>
          <w:lang w:val="nl-NL" w:eastAsia="ja-JP"/>
        </w:rPr>
        <w:t xml:space="preserve">voor </w:t>
      </w:r>
      <w:r>
        <w:rPr>
          <w:rFonts w:cs="Times New Roman"/>
          <w:bCs/>
          <w:szCs w:val="18"/>
          <w:lang w:val="nl-NL" w:eastAsia="ja-JP"/>
        </w:rPr>
        <w:t>aanvullende sancties</w:t>
      </w:r>
      <w:r w:rsidRPr="00347786" w:rsidR="00347786">
        <w:rPr>
          <w:rFonts w:cs="Times New Roman"/>
          <w:bCs/>
          <w:szCs w:val="18"/>
          <w:lang w:val="nl-NL" w:eastAsia="ja-JP"/>
        </w:rPr>
        <w:t xml:space="preserve"> tegen </w:t>
      </w:r>
      <w:r w:rsidR="005F2255">
        <w:rPr>
          <w:rFonts w:cs="Times New Roman"/>
          <w:bCs/>
          <w:szCs w:val="18"/>
          <w:lang w:val="nl-NL" w:eastAsia="ja-JP"/>
        </w:rPr>
        <w:t xml:space="preserve">de </w:t>
      </w:r>
      <w:r w:rsidRPr="00347786" w:rsidR="00347786">
        <w:rPr>
          <w:rFonts w:cs="Times New Roman"/>
          <w:bCs/>
          <w:szCs w:val="18"/>
          <w:lang w:val="nl-NL" w:eastAsia="ja-JP"/>
        </w:rPr>
        <w:t>verantwoordelijken voor de oorlog</w:t>
      </w:r>
      <w:r w:rsidR="00347786">
        <w:rPr>
          <w:rFonts w:cs="Times New Roman"/>
          <w:bCs/>
          <w:szCs w:val="18"/>
          <w:lang w:val="nl-NL" w:eastAsia="ja-JP"/>
        </w:rPr>
        <w:t>,</w:t>
      </w:r>
      <w:r w:rsidRPr="00347786" w:rsidR="00347786">
        <w:rPr>
          <w:rFonts w:cs="Times New Roman"/>
          <w:bCs/>
          <w:szCs w:val="18"/>
          <w:lang w:val="nl-NL" w:eastAsia="ja-JP"/>
        </w:rPr>
        <w:t xml:space="preserve"> zowel binnen als buiten Soedan, </w:t>
      </w:r>
      <w:r>
        <w:rPr>
          <w:rFonts w:cs="Times New Roman"/>
          <w:bCs/>
          <w:szCs w:val="18"/>
          <w:lang w:val="nl-NL" w:eastAsia="ja-JP"/>
        </w:rPr>
        <w:t xml:space="preserve">inclusief </w:t>
      </w:r>
      <w:r w:rsidR="005F2255">
        <w:rPr>
          <w:rFonts w:cs="Times New Roman"/>
          <w:bCs/>
          <w:szCs w:val="18"/>
          <w:lang w:val="nl-NL" w:eastAsia="ja-JP"/>
        </w:rPr>
        <w:t xml:space="preserve">leiders van </w:t>
      </w:r>
      <w:r w:rsidR="00347786">
        <w:rPr>
          <w:rFonts w:cs="Times New Roman"/>
          <w:bCs/>
          <w:szCs w:val="18"/>
          <w:lang w:val="nl-NL" w:eastAsia="ja-JP"/>
        </w:rPr>
        <w:t xml:space="preserve">de strijdende partijen </w:t>
      </w:r>
      <w:r w:rsidRPr="00347786" w:rsidR="00347786">
        <w:rPr>
          <w:rFonts w:cs="Times New Roman"/>
          <w:bCs/>
          <w:szCs w:val="18"/>
          <w:lang w:val="nl-NL" w:eastAsia="ja-JP"/>
        </w:rPr>
        <w:t>op het hoogste niveau.</w:t>
      </w:r>
      <w:r>
        <w:rPr>
          <w:rFonts w:cs="Times New Roman"/>
          <w:bCs/>
          <w:szCs w:val="18"/>
          <w:lang w:val="nl-NL" w:eastAsia="ja-JP"/>
        </w:rPr>
        <w:t xml:space="preserve"> Ook pleitte </w:t>
      </w:r>
      <w:r w:rsidR="00AB75FA">
        <w:rPr>
          <w:rFonts w:cs="Times New Roman"/>
          <w:bCs/>
          <w:szCs w:val="18"/>
          <w:lang w:val="nl-NL" w:eastAsia="ja-JP"/>
        </w:rPr>
        <w:t>Nederland</w:t>
      </w:r>
      <w:r w:rsidR="00465041">
        <w:rPr>
          <w:rFonts w:cs="Times New Roman"/>
          <w:bCs/>
          <w:szCs w:val="18"/>
          <w:lang w:val="nl-NL" w:eastAsia="ja-JP"/>
        </w:rPr>
        <w:t xml:space="preserve">, conform de motie Ceder </w:t>
      </w:r>
      <w:r w:rsidR="002C22C5">
        <w:rPr>
          <w:rFonts w:cs="Times New Roman"/>
          <w:bCs/>
          <w:szCs w:val="18"/>
          <w:lang w:val="nl-NL" w:eastAsia="ja-JP"/>
        </w:rPr>
        <w:t>c.</w:t>
      </w:r>
      <w:r w:rsidR="00465041">
        <w:rPr>
          <w:rFonts w:cs="Times New Roman"/>
          <w:bCs/>
          <w:szCs w:val="18"/>
          <w:lang w:val="nl-NL" w:eastAsia="ja-JP"/>
        </w:rPr>
        <w:t>s.</w:t>
      </w:r>
      <w:r w:rsidR="00465041">
        <w:rPr>
          <w:rStyle w:val="FootnoteReference"/>
          <w:rFonts w:cs="Times New Roman"/>
          <w:bCs/>
          <w:szCs w:val="18"/>
          <w:lang w:val="nl-NL" w:eastAsia="ja-JP"/>
        </w:rPr>
        <w:footnoteReference w:id="13"/>
      </w:r>
      <w:r>
        <w:rPr>
          <w:rFonts w:cs="Times New Roman"/>
          <w:bCs/>
          <w:szCs w:val="18"/>
          <w:lang w:val="nl-NL" w:eastAsia="ja-JP"/>
        </w:rPr>
        <w:t xml:space="preserve"> voor </w:t>
      </w:r>
      <w:r w:rsidRPr="00AC5406">
        <w:rPr>
          <w:rFonts w:cs="Times New Roman"/>
          <w:i/>
          <w:szCs w:val="18"/>
          <w:lang w:val="nl-NL" w:eastAsia="ja-JP"/>
        </w:rPr>
        <w:t>engagement</w:t>
      </w:r>
      <w:r>
        <w:rPr>
          <w:rFonts w:cs="Times New Roman"/>
          <w:bCs/>
          <w:szCs w:val="18"/>
          <w:lang w:val="nl-NL" w:eastAsia="ja-JP"/>
        </w:rPr>
        <w:t xml:space="preserve"> vanuit de EU met externe actoren, </w:t>
      </w:r>
      <w:r w:rsidR="005F2255">
        <w:rPr>
          <w:rFonts w:cs="Times New Roman"/>
          <w:bCs/>
          <w:szCs w:val="18"/>
          <w:lang w:val="nl-NL" w:eastAsia="ja-JP"/>
        </w:rPr>
        <w:t>waaronder</w:t>
      </w:r>
      <w:r>
        <w:rPr>
          <w:rFonts w:cs="Times New Roman"/>
          <w:bCs/>
          <w:szCs w:val="18"/>
          <w:lang w:val="nl-NL" w:eastAsia="ja-JP"/>
        </w:rPr>
        <w:t xml:space="preserve"> in de context van EU-GCC relaties. </w:t>
      </w:r>
      <w:r w:rsidR="0006066E">
        <w:rPr>
          <w:rFonts w:cs="Times New Roman"/>
          <w:bCs/>
          <w:szCs w:val="18"/>
          <w:lang w:val="nl-NL" w:eastAsia="ja-JP"/>
        </w:rPr>
        <w:t xml:space="preserve">De EU en </w:t>
      </w:r>
      <w:r w:rsidR="008520BC">
        <w:rPr>
          <w:rFonts w:cs="Times New Roman"/>
          <w:bCs/>
          <w:szCs w:val="18"/>
          <w:lang w:val="nl-NL" w:eastAsia="ja-JP"/>
        </w:rPr>
        <w:t>de</w:t>
      </w:r>
      <w:r w:rsidR="0006066E">
        <w:rPr>
          <w:rFonts w:cs="Times New Roman"/>
          <w:bCs/>
          <w:szCs w:val="18"/>
          <w:lang w:val="nl-NL" w:eastAsia="ja-JP"/>
        </w:rPr>
        <w:t xml:space="preserve"> lidstaten blijven eensgezind over de ernst van de situatie in Soedan en zullen blijven</w:t>
      </w:r>
      <w:r w:rsidRPr="0006066E" w:rsidR="0006066E">
        <w:rPr>
          <w:rFonts w:cs="Times New Roman"/>
          <w:bCs/>
          <w:szCs w:val="18"/>
          <w:lang w:val="nl-NL" w:eastAsia="ja-JP"/>
        </w:rPr>
        <w:t xml:space="preserve"> samenwerken met </w:t>
      </w:r>
      <w:r w:rsidR="006966BA">
        <w:rPr>
          <w:rFonts w:cs="Times New Roman"/>
          <w:bCs/>
          <w:szCs w:val="18"/>
          <w:lang w:val="nl-NL" w:eastAsia="ja-JP"/>
        </w:rPr>
        <w:t>het samenwerkingsverband van de VS, V</w:t>
      </w:r>
      <w:r w:rsidR="004A587C">
        <w:rPr>
          <w:rFonts w:cs="Times New Roman"/>
          <w:bCs/>
          <w:szCs w:val="18"/>
          <w:lang w:val="nl-NL" w:eastAsia="ja-JP"/>
        </w:rPr>
        <w:t xml:space="preserve">erenigde </w:t>
      </w:r>
      <w:r w:rsidR="006966BA">
        <w:rPr>
          <w:rFonts w:cs="Times New Roman"/>
          <w:bCs/>
          <w:szCs w:val="18"/>
          <w:lang w:val="nl-NL" w:eastAsia="ja-JP"/>
        </w:rPr>
        <w:t>A</w:t>
      </w:r>
      <w:r w:rsidR="004A587C">
        <w:rPr>
          <w:rFonts w:cs="Times New Roman"/>
          <w:bCs/>
          <w:szCs w:val="18"/>
          <w:lang w:val="nl-NL" w:eastAsia="ja-JP"/>
        </w:rPr>
        <w:t xml:space="preserve">rabische </w:t>
      </w:r>
      <w:r w:rsidR="006966BA">
        <w:rPr>
          <w:rFonts w:cs="Times New Roman"/>
          <w:bCs/>
          <w:szCs w:val="18"/>
          <w:lang w:val="nl-NL" w:eastAsia="ja-JP"/>
        </w:rPr>
        <w:t>E</w:t>
      </w:r>
      <w:r w:rsidR="004A587C">
        <w:rPr>
          <w:rFonts w:cs="Times New Roman"/>
          <w:bCs/>
          <w:szCs w:val="18"/>
          <w:lang w:val="nl-NL" w:eastAsia="ja-JP"/>
        </w:rPr>
        <w:t>miraten,</w:t>
      </w:r>
      <w:r w:rsidR="006966BA">
        <w:rPr>
          <w:rFonts w:cs="Times New Roman"/>
          <w:bCs/>
          <w:szCs w:val="18"/>
          <w:lang w:val="nl-NL" w:eastAsia="ja-JP"/>
        </w:rPr>
        <w:t xml:space="preserve"> Saoedi-Arabië en Egypte (</w:t>
      </w:r>
      <w:r w:rsidR="00D958A6">
        <w:rPr>
          <w:rFonts w:cs="Times New Roman"/>
          <w:bCs/>
          <w:szCs w:val="18"/>
          <w:lang w:val="nl-NL" w:eastAsia="ja-JP"/>
        </w:rPr>
        <w:t xml:space="preserve">de </w:t>
      </w:r>
      <w:r w:rsidRPr="0006066E" w:rsidR="0006066E">
        <w:rPr>
          <w:rFonts w:cs="Times New Roman"/>
          <w:bCs/>
          <w:szCs w:val="18"/>
          <w:lang w:val="nl-NL" w:eastAsia="ja-JP"/>
        </w:rPr>
        <w:t>Q</w:t>
      </w:r>
      <w:r w:rsidR="00D958A6">
        <w:rPr>
          <w:rFonts w:cs="Times New Roman"/>
          <w:bCs/>
          <w:szCs w:val="18"/>
          <w:lang w:val="nl-NL" w:eastAsia="ja-JP"/>
        </w:rPr>
        <w:t>uad</w:t>
      </w:r>
      <w:r w:rsidR="006966BA">
        <w:rPr>
          <w:rFonts w:cs="Times New Roman"/>
          <w:bCs/>
          <w:szCs w:val="18"/>
          <w:lang w:val="nl-NL" w:eastAsia="ja-JP"/>
        </w:rPr>
        <w:t>)</w:t>
      </w:r>
      <w:r w:rsidR="0006066E">
        <w:rPr>
          <w:rFonts w:cs="Times New Roman"/>
          <w:bCs/>
          <w:szCs w:val="18"/>
          <w:lang w:val="nl-NL" w:eastAsia="ja-JP"/>
        </w:rPr>
        <w:t>,</w:t>
      </w:r>
      <w:r w:rsidRPr="0006066E" w:rsidR="0006066E">
        <w:rPr>
          <w:rFonts w:cs="Times New Roman"/>
          <w:bCs/>
          <w:szCs w:val="18"/>
          <w:lang w:val="nl-NL" w:eastAsia="ja-JP"/>
        </w:rPr>
        <w:t xml:space="preserve"> de </w:t>
      </w:r>
      <w:r w:rsidR="006966BA">
        <w:rPr>
          <w:rFonts w:cs="Times New Roman"/>
          <w:bCs/>
          <w:szCs w:val="18"/>
          <w:lang w:val="nl-NL" w:eastAsia="ja-JP"/>
        </w:rPr>
        <w:t>Afrikaanse Unie</w:t>
      </w:r>
      <w:r w:rsidR="0006066E">
        <w:rPr>
          <w:rFonts w:cs="Times New Roman"/>
          <w:bCs/>
          <w:szCs w:val="18"/>
          <w:lang w:val="nl-NL" w:eastAsia="ja-JP"/>
        </w:rPr>
        <w:t>, en andere internationale partners</w:t>
      </w:r>
      <w:r w:rsidRPr="0006066E" w:rsidR="0006066E">
        <w:rPr>
          <w:rFonts w:cs="Times New Roman"/>
          <w:bCs/>
          <w:szCs w:val="18"/>
          <w:lang w:val="nl-NL" w:eastAsia="ja-JP"/>
        </w:rPr>
        <w:t xml:space="preserve"> om het conflict en het lijden</w:t>
      </w:r>
      <w:r w:rsidR="0006066E">
        <w:rPr>
          <w:rFonts w:cs="Times New Roman"/>
          <w:bCs/>
          <w:szCs w:val="18"/>
          <w:lang w:val="nl-NL" w:eastAsia="ja-JP"/>
        </w:rPr>
        <w:t xml:space="preserve"> in Soedan</w:t>
      </w:r>
      <w:r w:rsidRPr="0006066E" w:rsidR="0006066E">
        <w:rPr>
          <w:rFonts w:cs="Times New Roman"/>
          <w:bCs/>
          <w:szCs w:val="18"/>
          <w:lang w:val="nl-NL" w:eastAsia="ja-JP"/>
        </w:rPr>
        <w:t xml:space="preserve"> te stoppen.</w:t>
      </w:r>
    </w:p>
    <w:p w:rsidRPr="0006066E" w:rsidR="00942C84" w:rsidP="006C111C" w:rsidRDefault="00942C84" w14:paraId="6BC67612" w14:textId="77777777">
      <w:pPr>
        <w:spacing w:after="0"/>
        <w:contextualSpacing/>
        <w:rPr>
          <w:rFonts w:cs="Times New Roman"/>
          <w:bCs/>
          <w:szCs w:val="18"/>
          <w:lang w:val="nl-NL" w:eastAsia="ja-JP"/>
        </w:rPr>
      </w:pPr>
    </w:p>
    <w:p w:rsidR="002B4215" w:rsidP="006C111C" w:rsidRDefault="002B4215" w14:paraId="6862E38A" w14:textId="77777777">
      <w:pPr>
        <w:spacing w:after="0"/>
        <w:contextualSpacing/>
        <w:rPr>
          <w:rFonts w:cs="Times New Roman"/>
          <w:b/>
          <w:szCs w:val="18"/>
          <w:lang w:val="nl-NL" w:eastAsia="ja-JP"/>
        </w:rPr>
      </w:pPr>
    </w:p>
    <w:p w:rsidR="00CD4F2B" w:rsidP="006C111C" w:rsidRDefault="003F3D3B" w14:paraId="730742C5" w14:textId="38387164">
      <w:pPr>
        <w:spacing w:after="0"/>
        <w:contextualSpacing/>
        <w:rPr>
          <w:rFonts w:cs="Times New Roman"/>
          <w:b/>
          <w:szCs w:val="18"/>
          <w:lang w:val="nl-NL" w:eastAsia="ja-JP"/>
        </w:rPr>
      </w:pPr>
      <w:r>
        <w:rPr>
          <w:rFonts w:cs="Times New Roman"/>
          <w:b/>
          <w:szCs w:val="18"/>
          <w:lang w:val="nl-NL" w:eastAsia="ja-JP"/>
        </w:rPr>
        <w:lastRenderedPageBreak/>
        <w:t xml:space="preserve">Palestine Donor Group </w:t>
      </w:r>
    </w:p>
    <w:p w:rsidRPr="00BF56AA" w:rsidR="003F3D3B" w:rsidP="006C111C" w:rsidRDefault="003F3D3B" w14:paraId="758622DA" w14:textId="44397622">
      <w:pPr>
        <w:spacing w:after="0"/>
        <w:contextualSpacing/>
        <w:rPr>
          <w:rFonts w:cs="Times New Roman"/>
          <w:bCs/>
          <w:szCs w:val="18"/>
          <w:lang w:val="nl-NL" w:eastAsia="ja-JP"/>
        </w:rPr>
      </w:pPr>
      <w:r>
        <w:rPr>
          <w:rFonts w:cs="Times New Roman"/>
          <w:bCs/>
          <w:szCs w:val="18"/>
          <w:lang w:val="nl-NL" w:eastAsia="ja-JP"/>
        </w:rPr>
        <w:t xml:space="preserve">En marge van de RBZ vond ook de eerste bijeenkomst van de door de EU-geïnitieerde </w:t>
      </w:r>
      <w:r w:rsidRPr="00BF56AA">
        <w:rPr>
          <w:rFonts w:cs="Times New Roman"/>
          <w:bCs/>
          <w:i/>
          <w:iCs/>
          <w:szCs w:val="18"/>
          <w:lang w:val="nl-NL" w:eastAsia="ja-JP"/>
        </w:rPr>
        <w:t>Palestine Donor Group plaats</w:t>
      </w:r>
      <w:r>
        <w:rPr>
          <w:rFonts w:cs="Times New Roman"/>
          <w:bCs/>
          <w:szCs w:val="18"/>
          <w:lang w:val="nl-NL" w:eastAsia="ja-JP"/>
        </w:rPr>
        <w:t xml:space="preserve">. </w:t>
      </w:r>
      <w:r w:rsidRPr="00434547" w:rsidR="00434547">
        <w:rPr>
          <w:rFonts w:cs="Times New Roman"/>
          <w:bCs/>
          <w:szCs w:val="18"/>
          <w:lang w:val="nl-NL" w:eastAsia="ja-JP"/>
        </w:rPr>
        <w:t xml:space="preserve">Tijdens de bijeenkomst werd de voortgang van de hervormingsagenda van de </w:t>
      </w:r>
      <w:r w:rsidR="00434547">
        <w:rPr>
          <w:rFonts w:cs="Times New Roman"/>
          <w:bCs/>
          <w:szCs w:val="18"/>
          <w:lang w:val="nl-NL" w:eastAsia="ja-JP"/>
        </w:rPr>
        <w:t>Palestijnse Autoriteit</w:t>
      </w:r>
      <w:r w:rsidRPr="00434547" w:rsidR="00434547">
        <w:rPr>
          <w:rFonts w:cs="Times New Roman"/>
          <w:bCs/>
          <w:szCs w:val="18"/>
          <w:lang w:val="nl-NL" w:eastAsia="ja-JP"/>
        </w:rPr>
        <w:t xml:space="preserve"> </w:t>
      </w:r>
      <w:r w:rsidR="00500997">
        <w:rPr>
          <w:rFonts w:cs="Times New Roman"/>
          <w:bCs/>
          <w:szCs w:val="18"/>
          <w:lang w:val="nl-NL" w:eastAsia="ja-JP"/>
        </w:rPr>
        <w:t xml:space="preserve">(PA) </w:t>
      </w:r>
      <w:r w:rsidRPr="00434547" w:rsidR="00434547">
        <w:rPr>
          <w:rFonts w:cs="Times New Roman"/>
          <w:bCs/>
          <w:szCs w:val="18"/>
          <w:lang w:val="nl-NL" w:eastAsia="ja-JP"/>
        </w:rPr>
        <w:t>besproken</w:t>
      </w:r>
      <w:r w:rsidR="00434547">
        <w:rPr>
          <w:rFonts w:cs="Times New Roman"/>
          <w:bCs/>
          <w:szCs w:val="18"/>
          <w:lang w:val="nl-NL" w:eastAsia="ja-JP"/>
        </w:rPr>
        <w:t xml:space="preserve">. De hervormingen van de PA zijn </w:t>
      </w:r>
      <w:r w:rsidRPr="00434547" w:rsidR="00434547">
        <w:rPr>
          <w:rFonts w:cs="Times New Roman"/>
          <w:bCs/>
          <w:szCs w:val="18"/>
          <w:lang w:val="nl-NL" w:eastAsia="ja-JP"/>
        </w:rPr>
        <w:t>onderdeel van het EU-meerjarensteunprogramma van</w:t>
      </w:r>
      <w:r w:rsidR="00434547">
        <w:rPr>
          <w:rFonts w:cs="Times New Roman"/>
          <w:bCs/>
          <w:szCs w:val="18"/>
          <w:lang w:val="nl-NL" w:eastAsia="ja-JP"/>
        </w:rPr>
        <w:t xml:space="preserve"> </w:t>
      </w:r>
      <w:r w:rsidR="004971CF">
        <w:rPr>
          <w:rFonts w:cs="Times New Roman"/>
          <w:bCs/>
          <w:szCs w:val="18"/>
          <w:lang w:val="nl-NL" w:eastAsia="ja-JP"/>
        </w:rPr>
        <w:t xml:space="preserve">EUR </w:t>
      </w:r>
      <w:r w:rsidRPr="00434547" w:rsidR="00434547">
        <w:rPr>
          <w:rFonts w:cs="Times New Roman"/>
          <w:bCs/>
          <w:szCs w:val="18"/>
          <w:lang w:val="nl-NL" w:eastAsia="ja-JP"/>
        </w:rPr>
        <w:t>1,6 miljard.</w:t>
      </w:r>
      <w:r w:rsidR="00AF2D64">
        <w:rPr>
          <w:rFonts w:cs="Times New Roman"/>
          <w:bCs/>
          <w:szCs w:val="18"/>
          <w:lang w:val="nl-NL" w:eastAsia="ja-JP"/>
        </w:rPr>
        <w:t xml:space="preserve"> </w:t>
      </w:r>
      <w:r w:rsidR="00434547">
        <w:rPr>
          <w:rFonts w:cs="Times New Roman"/>
          <w:bCs/>
          <w:szCs w:val="18"/>
          <w:lang w:val="nl-NL" w:eastAsia="ja-JP"/>
        </w:rPr>
        <w:t>R</w:t>
      </w:r>
      <w:r w:rsidRPr="003F3D3B">
        <w:rPr>
          <w:rFonts w:cs="Times New Roman"/>
          <w:bCs/>
          <w:szCs w:val="18"/>
          <w:lang w:val="nl-NL" w:eastAsia="ja-JP"/>
        </w:rPr>
        <w:t xml:space="preserve">uim </w:t>
      </w:r>
      <w:r>
        <w:rPr>
          <w:rFonts w:cs="Times New Roman"/>
          <w:bCs/>
          <w:szCs w:val="18"/>
          <w:lang w:val="nl-NL" w:eastAsia="ja-JP"/>
        </w:rPr>
        <w:t>zestig</w:t>
      </w:r>
      <w:r w:rsidRPr="003F3D3B">
        <w:rPr>
          <w:rFonts w:cs="Times New Roman"/>
          <w:bCs/>
          <w:szCs w:val="18"/>
          <w:lang w:val="nl-NL" w:eastAsia="ja-JP"/>
        </w:rPr>
        <w:t xml:space="preserve"> internationale en regionale donoren namen deel</w:t>
      </w:r>
      <w:r>
        <w:rPr>
          <w:rFonts w:cs="Times New Roman"/>
          <w:bCs/>
          <w:szCs w:val="18"/>
          <w:lang w:val="nl-NL" w:eastAsia="ja-JP"/>
        </w:rPr>
        <w:t xml:space="preserve"> aan de bijeenkomst</w:t>
      </w:r>
      <w:r w:rsidRPr="003F3D3B">
        <w:rPr>
          <w:rFonts w:cs="Times New Roman"/>
          <w:bCs/>
          <w:szCs w:val="18"/>
          <w:lang w:val="nl-NL" w:eastAsia="ja-JP"/>
        </w:rPr>
        <w:t>, waaronder EU-landen, Arabische staten en financiële instellingen, om de implementatie van de hervormingsagenda van de P</w:t>
      </w:r>
      <w:r w:rsidR="00500997">
        <w:rPr>
          <w:rFonts w:cs="Times New Roman"/>
          <w:bCs/>
          <w:szCs w:val="18"/>
          <w:lang w:val="nl-NL" w:eastAsia="ja-JP"/>
        </w:rPr>
        <w:t xml:space="preserve">A </w:t>
      </w:r>
      <w:r w:rsidRPr="003F3D3B">
        <w:rPr>
          <w:rFonts w:cs="Times New Roman"/>
          <w:bCs/>
          <w:szCs w:val="18"/>
          <w:lang w:val="nl-NL" w:eastAsia="ja-JP"/>
        </w:rPr>
        <w:t>te ondersteunen. N</w:t>
      </w:r>
      <w:r w:rsidR="004971CF">
        <w:rPr>
          <w:rFonts w:cs="Times New Roman"/>
          <w:bCs/>
          <w:szCs w:val="18"/>
          <w:lang w:val="nl-NL" w:eastAsia="ja-JP"/>
        </w:rPr>
        <w:t>ederland</w:t>
      </w:r>
      <w:r w:rsidRPr="003F3D3B">
        <w:rPr>
          <w:rFonts w:cs="Times New Roman"/>
          <w:bCs/>
          <w:szCs w:val="18"/>
          <w:lang w:val="nl-NL" w:eastAsia="ja-JP"/>
        </w:rPr>
        <w:t xml:space="preserve"> verwelkomde de hervormingen en moedigde de PA aan hiermee door te gaan, specifiek op het gebied van gevangenenbetalingen en schoolboeken. N</w:t>
      </w:r>
      <w:r w:rsidR="004971CF">
        <w:rPr>
          <w:rFonts w:cs="Times New Roman"/>
          <w:bCs/>
          <w:szCs w:val="18"/>
          <w:lang w:val="nl-NL" w:eastAsia="ja-JP"/>
        </w:rPr>
        <w:t>ederland</w:t>
      </w:r>
      <w:r w:rsidRPr="003F3D3B">
        <w:rPr>
          <w:rFonts w:cs="Times New Roman"/>
          <w:bCs/>
          <w:szCs w:val="18"/>
          <w:lang w:val="nl-NL" w:eastAsia="ja-JP"/>
        </w:rPr>
        <w:t xml:space="preserve"> onderstreepte dat een sterke en hervormde PA een noodzakelijk vereiste is voor een toekomstige Palestijnse staat. Daarvoor blijft het ook belangrijk dat </w:t>
      </w:r>
      <w:r>
        <w:rPr>
          <w:rFonts w:cs="Times New Roman"/>
          <w:bCs/>
          <w:szCs w:val="18"/>
          <w:lang w:val="nl-NL" w:eastAsia="ja-JP"/>
        </w:rPr>
        <w:t>Israël</w:t>
      </w:r>
      <w:r w:rsidRPr="003F3D3B">
        <w:rPr>
          <w:rFonts w:cs="Times New Roman"/>
          <w:bCs/>
          <w:szCs w:val="18"/>
          <w:lang w:val="nl-NL" w:eastAsia="ja-JP"/>
        </w:rPr>
        <w:t xml:space="preserve"> de belastinggelden vrijgeeft en de </w:t>
      </w:r>
      <w:r w:rsidRPr="004971CF">
        <w:rPr>
          <w:rFonts w:cs="Times New Roman"/>
          <w:i/>
          <w:szCs w:val="18"/>
          <w:lang w:val="nl-NL" w:eastAsia="ja-JP"/>
        </w:rPr>
        <w:t>banking waiver</w:t>
      </w:r>
      <w:r w:rsidRPr="003F3D3B">
        <w:rPr>
          <w:rFonts w:cs="Times New Roman"/>
          <w:bCs/>
          <w:szCs w:val="18"/>
          <w:lang w:val="nl-NL" w:eastAsia="ja-JP"/>
        </w:rPr>
        <w:t xml:space="preserve"> verlengt.</w:t>
      </w:r>
    </w:p>
    <w:p w:rsidR="003F3D3B" w:rsidP="006C111C" w:rsidRDefault="003F3D3B" w14:paraId="5DA460FD" w14:textId="77777777">
      <w:pPr>
        <w:spacing w:after="0"/>
        <w:contextualSpacing/>
        <w:rPr>
          <w:rFonts w:cs="Times New Roman"/>
          <w:b/>
          <w:szCs w:val="18"/>
          <w:lang w:val="nl-NL" w:eastAsia="ja-JP"/>
        </w:rPr>
      </w:pPr>
    </w:p>
    <w:p w:rsidRPr="00B453B6" w:rsidR="00CD4F2B" w:rsidP="006C111C" w:rsidRDefault="00E87CD0" w14:paraId="339F3C20" w14:textId="412C5ACE">
      <w:pPr>
        <w:spacing w:after="0"/>
        <w:contextualSpacing/>
        <w:rPr>
          <w:rFonts w:cs="Times New Roman"/>
          <w:b/>
          <w:szCs w:val="18"/>
          <w:lang w:val="nl-NL" w:eastAsia="ja-JP"/>
        </w:rPr>
      </w:pPr>
      <w:r>
        <w:rPr>
          <w:rFonts w:cs="Times New Roman"/>
          <w:b/>
          <w:szCs w:val="18"/>
          <w:lang w:val="nl-NL" w:eastAsia="ja-JP"/>
        </w:rPr>
        <w:t>Informele bijeenkomst</w:t>
      </w:r>
      <w:r w:rsidRPr="00B453B6">
        <w:rPr>
          <w:rFonts w:cs="Times New Roman"/>
          <w:b/>
          <w:szCs w:val="18"/>
          <w:lang w:val="nl-NL" w:eastAsia="ja-JP"/>
        </w:rPr>
        <w:t xml:space="preserve"> </w:t>
      </w:r>
      <w:r w:rsidRPr="00B453B6" w:rsidR="00CD4F2B">
        <w:rPr>
          <w:rFonts w:cs="Times New Roman"/>
          <w:b/>
          <w:szCs w:val="18"/>
          <w:lang w:val="nl-NL" w:eastAsia="ja-JP"/>
        </w:rPr>
        <w:t xml:space="preserve">ASEAN </w:t>
      </w:r>
    </w:p>
    <w:p w:rsidRPr="000D25B9" w:rsidR="00A27344" w:rsidP="00980D3B" w:rsidRDefault="00A4731A" w14:paraId="070AA4C1" w14:textId="4F287A75">
      <w:pPr>
        <w:rPr>
          <w:rFonts w:cs="Times New Roman"/>
          <w:bCs/>
          <w:szCs w:val="18"/>
          <w:lang w:val="nl-NL" w:eastAsia="ja-JP"/>
        </w:rPr>
      </w:pPr>
      <w:r w:rsidRPr="00A4731A">
        <w:rPr>
          <w:szCs w:val="18"/>
          <w:lang w:val="nl-NL"/>
        </w:rPr>
        <w:t>Tijdens de informele lunch</w:t>
      </w:r>
      <w:r w:rsidR="00C42CD3">
        <w:rPr>
          <w:szCs w:val="18"/>
          <w:lang w:val="nl-NL"/>
        </w:rPr>
        <w:t>bijeenkomst</w:t>
      </w:r>
      <w:r w:rsidRPr="00A4731A">
        <w:rPr>
          <w:szCs w:val="18"/>
          <w:lang w:val="nl-NL"/>
        </w:rPr>
        <w:t xml:space="preserve"> voor de EU-ministers van Buitenlandse Zaken en hun </w:t>
      </w:r>
      <w:r w:rsidRPr="00A4731A">
        <w:rPr>
          <w:i/>
          <w:iCs/>
          <w:szCs w:val="18"/>
          <w:lang w:val="nl-NL"/>
        </w:rPr>
        <w:t xml:space="preserve">counterparts </w:t>
      </w:r>
      <w:r w:rsidRPr="00A4731A">
        <w:rPr>
          <w:szCs w:val="18"/>
          <w:lang w:val="nl-NL"/>
        </w:rPr>
        <w:t xml:space="preserve">van </w:t>
      </w:r>
      <w:r w:rsidRPr="00A4731A">
        <w:rPr>
          <w:rFonts w:cs="Times New Roman"/>
          <w:szCs w:val="18"/>
          <w:lang w:val="nl-NL"/>
        </w:rPr>
        <w:t xml:space="preserve">de </w:t>
      </w:r>
      <w:r w:rsidRPr="00A4731A">
        <w:rPr>
          <w:rFonts w:cs="Times New Roman"/>
          <w:color w:val="202122"/>
          <w:szCs w:val="18"/>
          <w:shd w:val="clear" w:color="auto" w:fill="FFFFFF"/>
          <w:lang w:val="nl-NL"/>
        </w:rPr>
        <w:t xml:space="preserve">ASEAN-landen is </w:t>
      </w:r>
      <w:r w:rsidRPr="00A4731A">
        <w:rPr>
          <w:szCs w:val="18"/>
          <w:lang w:val="nl-NL"/>
        </w:rPr>
        <w:t>informeel van gedachten gewisseld over de relatie tussen de EU en ASEAN. Tevens is er gesproken over het gedeelde belang van een op regels gebaseerde internationale orde</w:t>
      </w:r>
      <w:r w:rsidR="00C42CD3">
        <w:rPr>
          <w:szCs w:val="18"/>
          <w:lang w:val="nl-NL"/>
        </w:rPr>
        <w:t>, vrijhandel</w:t>
      </w:r>
      <w:r w:rsidRPr="00A4731A">
        <w:rPr>
          <w:szCs w:val="18"/>
          <w:lang w:val="nl-NL"/>
        </w:rPr>
        <w:t xml:space="preserve"> en multilateralisme en </w:t>
      </w:r>
      <w:r w:rsidR="00674338">
        <w:rPr>
          <w:szCs w:val="18"/>
          <w:lang w:val="nl-NL"/>
        </w:rPr>
        <w:t xml:space="preserve">over </w:t>
      </w:r>
      <w:r w:rsidRPr="00A4731A">
        <w:rPr>
          <w:szCs w:val="18"/>
          <w:lang w:val="nl-NL"/>
        </w:rPr>
        <w:t xml:space="preserve">gemeenschappelijke prioriteiten, waaronder </w:t>
      </w:r>
      <w:r w:rsidR="004A1D71">
        <w:rPr>
          <w:szCs w:val="18"/>
          <w:lang w:val="nl-NL"/>
        </w:rPr>
        <w:t xml:space="preserve">regionale stabiliteit, </w:t>
      </w:r>
      <w:r w:rsidRPr="00A4731A">
        <w:rPr>
          <w:szCs w:val="18"/>
          <w:lang w:val="nl-NL"/>
        </w:rPr>
        <w:t>(maritieme) veiligheid</w:t>
      </w:r>
      <w:r w:rsidR="00C42CD3">
        <w:rPr>
          <w:szCs w:val="18"/>
          <w:lang w:val="nl-NL"/>
        </w:rPr>
        <w:t xml:space="preserve"> </w:t>
      </w:r>
      <w:r w:rsidRPr="00A4731A">
        <w:rPr>
          <w:szCs w:val="18"/>
          <w:lang w:val="nl-NL"/>
        </w:rPr>
        <w:t>en het versterken van economische veerkracht.</w:t>
      </w:r>
    </w:p>
    <w:p w:rsidRPr="000D25B9" w:rsidR="006C111C" w:rsidP="006C111C" w:rsidRDefault="006C111C" w14:paraId="674E0C4C" w14:textId="6D342D44">
      <w:pPr>
        <w:spacing w:after="0"/>
        <w:contextualSpacing/>
        <w:rPr>
          <w:rFonts w:cs="Times New Roman"/>
          <w:b/>
          <w:bCs/>
          <w:szCs w:val="18"/>
          <w:lang w:val="nl-NL" w:eastAsia="ja-JP"/>
        </w:rPr>
      </w:pPr>
      <w:r w:rsidRPr="000D25B9">
        <w:rPr>
          <w:rFonts w:cs="Times New Roman"/>
          <w:b/>
          <w:bCs/>
          <w:szCs w:val="18"/>
          <w:lang w:val="nl-NL" w:eastAsia="ja-JP"/>
        </w:rPr>
        <w:t xml:space="preserve">Ministeriële </w:t>
      </w:r>
      <w:r w:rsidR="00E87CD0">
        <w:rPr>
          <w:rFonts w:cs="Times New Roman"/>
          <w:b/>
          <w:bCs/>
          <w:szCs w:val="18"/>
          <w:lang w:val="nl-NL" w:eastAsia="ja-JP"/>
        </w:rPr>
        <w:t xml:space="preserve">bijeenkomst </w:t>
      </w:r>
      <w:r w:rsidRPr="000D25B9">
        <w:rPr>
          <w:rFonts w:cs="Times New Roman"/>
          <w:b/>
          <w:bCs/>
          <w:szCs w:val="18"/>
          <w:lang w:val="nl-NL" w:eastAsia="ja-JP"/>
        </w:rPr>
        <w:t>Indo-Pacific</w:t>
      </w:r>
    </w:p>
    <w:p w:rsidR="006C111C" w:rsidP="006C111C" w:rsidRDefault="00BD5FB3" w14:paraId="581590A6" w14:textId="11CC16DE">
      <w:pPr>
        <w:spacing w:after="0"/>
        <w:rPr>
          <w:szCs w:val="18"/>
          <w:lang w:val="nl-NL" w:eastAsia="ja-JP"/>
        </w:rPr>
      </w:pPr>
      <w:r w:rsidRPr="00BD5FB3">
        <w:rPr>
          <w:szCs w:val="18"/>
          <w:lang w:val="nl-NL" w:eastAsia="ja-JP"/>
        </w:rPr>
        <w:t xml:space="preserve">Aansluitend op </w:t>
      </w:r>
      <w:r w:rsidR="00735C43">
        <w:rPr>
          <w:szCs w:val="18"/>
          <w:lang w:val="nl-NL" w:eastAsia="ja-JP"/>
        </w:rPr>
        <w:t>de RBZ vond de ministeri</w:t>
      </w:r>
      <w:r w:rsidRPr="00735C43" w:rsidR="00735C43">
        <w:rPr>
          <w:szCs w:val="18"/>
          <w:lang w:val="nl-NL" w:eastAsia="ja-JP"/>
        </w:rPr>
        <w:t>ë</w:t>
      </w:r>
      <w:r w:rsidR="00735C43">
        <w:rPr>
          <w:szCs w:val="18"/>
          <w:lang w:val="nl-NL" w:eastAsia="ja-JP"/>
        </w:rPr>
        <w:t>le bijeenkomst over de Indo-Pacific plaats</w:t>
      </w:r>
      <w:r w:rsidR="00634FB3">
        <w:rPr>
          <w:szCs w:val="18"/>
          <w:lang w:val="nl-NL" w:eastAsia="ja-JP"/>
        </w:rPr>
        <w:t>.</w:t>
      </w:r>
      <w:r w:rsidR="00735C43">
        <w:rPr>
          <w:szCs w:val="18"/>
          <w:lang w:val="nl-NL" w:eastAsia="ja-JP"/>
        </w:rPr>
        <w:t xml:space="preserve"> </w:t>
      </w:r>
      <w:r w:rsidR="00E638BE">
        <w:rPr>
          <w:szCs w:val="18"/>
          <w:lang w:val="nl-NL" w:eastAsia="ja-JP"/>
        </w:rPr>
        <w:t xml:space="preserve">Nederland </w:t>
      </w:r>
      <w:r w:rsidR="00E32AE1">
        <w:rPr>
          <w:szCs w:val="18"/>
          <w:lang w:val="nl-NL" w:eastAsia="ja-JP"/>
        </w:rPr>
        <w:t>nam deel</w:t>
      </w:r>
      <w:r w:rsidR="00E638BE">
        <w:rPr>
          <w:szCs w:val="18"/>
          <w:lang w:val="nl-NL" w:eastAsia="ja-JP"/>
        </w:rPr>
        <w:t xml:space="preserve"> aan het rondetafelgesprek over veiligheidsprioriteiten in het licht van geopolitieke ontwikkelingen, waarbij Nederland </w:t>
      </w:r>
      <w:r w:rsidR="000F1E4B">
        <w:rPr>
          <w:szCs w:val="18"/>
          <w:lang w:val="nl-NL" w:eastAsia="ja-JP"/>
        </w:rPr>
        <w:t>het belang benadrukt</w:t>
      </w:r>
      <w:r w:rsidR="00582B81">
        <w:rPr>
          <w:szCs w:val="18"/>
          <w:lang w:val="nl-NL" w:eastAsia="ja-JP"/>
        </w:rPr>
        <w:t>e</w:t>
      </w:r>
      <w:r w:rsidRPr="00BD5FB3">
        <w:rPr>
          <w:szCs w:val="18"/>
          <w:lang w:val="nl-NL" w:eastAsia="ja-JP"/>
        </w:rPr>
        <w:t xml:space="preserve"> van maritieme veiligheid</w:t>
      </w:r>
      <w:r w:rsidR="000F1E4B">
        <w:rPr>
          <w:szCs w:val="18"/>
          <w:lang w:val="nl-NL" w:eastAsia="ja-JP"/>
        </w:rPr>
        <w:t xml:space="preserve"> en heeft voorgesteld dat</w:t>
      </w:r>
      <w:r w:rsidRPr="00BD5FB3">
        <w:rPr>
          <w:szCs w:val="18"/>
          <w:lang w:val="nl-NL" w:eastAsia="ja-JP"/>
        </w:rPr>
        <w:t xml:space="preserve"> een dialoog </w:t>
      </w:r>
      <w:r w:rsidR="000F1E4B">
        <w:rPr>
          <w:szCs w:val="18"/>
          <w:lang w:val="nl-NL" w:eastAsia="ja-JP"/>
        </w:rPr>
        <w:t>wordt gestart over</w:t>
      </w:r>
      <w:r w:rsidR="00E638BE">
        <w:rPr>
          <w:szCs w:val="18"/>
          <w:lang w:val="nl-NL" w:eastAsia="ja-JP"/>
        </w:rPr>
        <w:t xml:space="preserve"> </w:t>
      </w:r>
      <w:r w:rsidRPr="00BD5FB3">
        <w:rPr>
          <w:szCs w:val="18"/>
          <w:lang w:val="nl-NL" w:eastAsia="ja-JP"/>
        </w:rPr>
        <w:t xml:space="preserve">de bescherming van </w:t>
      </w:r>
      <w:r w:rsidR="00E638BE">
        <w:rPr>
          <w:szCs w:val="18"/>
          <w:lang w:val="nl-NL" w:eastAsia="ja-JP"/>
        </w:rPr>
        <w:t>kritieke onderzeese infrastructuur in de Indo-Pacific.</w:t>
      </w:r>
      <w:r w:rsidR="005B6BF9">
        <w:rPr>
          <w:szCs w:val="18"/>
          <w:lang w:val="nl-NL" w:eastAsia="ja-JP"/>
        </w:rPr>
        <w:t xml:space="preserve"> Het belang van goede banden tussen de EU en de ASEAN is hierbij ook benoemd.</w:t>
      </w:r>
      <w:r w:rsidR="00E638BE">
        <w:rPr>
          <w:szCs w:val="18"/>
          <w:lang w:val="nl-NL" w:eastAsia="ja-JP"/>
        </w:rPr>
        <w:t xml:space="preserve"> </w:t>
      </w:r>
      <w:r w:rsidRPr="00E638BE" w:rsidR="00E638BE">
        <w:rPr>
          <w:szCs w:val="18"/>
          <w:lang w:val="nl-NL" w:eastAsia="ja-JP"/>
        </w:rPr>
        <w:t xml:space="preserve">En marge van de </w:t>
      </w:r>
      <w:r w:rsidR="00E638BE">
        <w:rPr>
          <w:szCs w:val="18"/>
          <w:lang w:val="nl-NL" w:eastAsia="ja-JP"/>
        </w:rPr>
        <w:t>ministeri</w:t>
      </w:r>
      <w:r w:rsidRPr="00735C43" w:rsidR="00E638BE">
        <w:rPr>
          <w:szCs w:val="18"/>
          <w:lang w:val="nl-NL" w:eastAsia="ja-JP"/>
        </w:rPr>
        <w:t>ë</w:t>
      </w:r>
      <w:r w:rsidR="00E638BE">
        <w:rPr>
          <w:szCs w:val="18"/>
          <w:lang w:val="nl-NL" w:eastAsia="ja-JP"/>
        </w:rPr>
        <w:t>le bijeenkomst is een nieuw belastingverdrag met Thailand ondertekend.</w:t>
      </w:r>
    </w:p>
    <w:p w:rsidR="00FF5EB8" w:rsidP="006C111C" w:rsidRDefault="00FF5EB8" w14:paraId="665F8109" w14:textId="77777777">
      <w:pPr>
        <w:spacing w:after="0"/>
        <w:rPr>
          <w:szCs w:val="18"/>
          <w:lang w:val="nl-NL" w:eastAsia="ja-JP"/>
        </w:rPr>
      </w:pPr>
    </w:p>
    <w:p w:rsidRPr="00677CFF" w:rsidR="00FF5EB8" w:rsidP="006C111C" w:rsidRDefault="00FF5EB8" w14:paraId="431B708D" w14:textId="19EF0DC0">
      <w:pPr>
        <w:spacing w:after="0"/>
        <w:rPr>
          <w:b/>
          <w:szCs w:val="18"/>
          <w:lang w:val="nl-NL" w:eastAsia="ja-JP"/>
        </w:rPr>
      </w:pPr>
      <w:r>
        <w:rPr>
          <w:b/>
          <w:bCs/>
          <w:szCs w:val="18"/>
          <w:lang w:val="nl-NL" w:eastAsia="ja-JP"/>
        </w:rPr>
        <w:t>Overig</w:t>
      </w:r>
    </w:p>
    <w:p w:rsidRPr="006547FD" w:rsidR="006547FD" w:rsidP="006C111C" w:rsidRDefault="006547FD" w14:paraId="22115589" w14:textId="43D899C5">
      <w:pPr>
        <w:spacing w:after="0"/>
        <w:rPr>
          <w:i/>
          <w:iCs/>
          <w:szCs w:val="18"/>
          <w:lang w:val="nl-NL" w:eastAsia="ja-JP"/>
        </w:rPr>
      </w:pPr>
      <w:r w:rsidRPr="006547FD">
        <w:rPr>
          <w:i/>
          <w:iCs/>
          <w:szCs w:val="18"/>
          <w:lang w:val="nl-NL" w:eastAsia="ja-JP"/>
        </w:rPr>
        <w:t>Nigeria</w:t>
      </w:r>
    </w:p>
    <w:p w:rsidRPr="000D25B9" w:rsidR="006C111C" w:rsidP="006C111C" w:rsidRDefault="006547FD" w14:paraId="3BE6BBA3" w14:textId="4CD5C229">
      <w:pPr>
        <w:spacing w:after="0"/>
        <w:rPr>
          <w:szCs w:val="18"/>
          <w:lang w:val="nl-NL" w:eastAsia="ja-JP"/>
        </w:rPr>
      </w:pPr>
      <w:r>
        <w:rPr>
          <w:szCs w:val="18"/>
          <w:lang w:val="nl-NL" w:eastAsia="ja-JP"/>
        </w:rPr>
        <w:t xml:space="preserve">Vrijheid van religie en levensovertuiging </w:t>
      </w:r>
      <w:r w:rsidR="000F1E4B">
        <w:rPr>
          <w:szCs w:val="18"/>
          <w:lang w:val="nl-NL" w:eastAsia="ja-JP"/>
        </w:rPr>
        <w:t>is</w:t>
      </w:r>
      <w:r>
        <w:rPr>
          <w:szCs w:val="18"/>
          <w:lang w:val="nl-NL" w:eastAsia="ja-JP"/>
        </w:rPr>
        <w:t xml:space="preserve"> een van de prioriteiten van het Nederlandse mensenrechtenbeleid. In lijn met de motie Ceder c.s.</w:t>
      </w:r>
      <w:r>
        <w:rPr>
          <w:rStyle w:val="FootnoteReference"/>
          <w:szCs w:val="18"/>
          <w:lang w:val="nl-NL" w:eastAsia="ja-JP"/>
        </w:rPr>
        <w:footnoteReference w:id="14"/>
      </w:r>
      <w:r>
        <w:rPr>
          <w:szCs w:val="18"/>
          <w:lang w:val="nl-NL" w:eastAsia="ja-JP"/>
        </w:rPr>
        <w:t xml:space="preserve"> </w:t>
      </w:r>
      <w:r w:rsidR="006D12A3">
        <w:rPr>
          <w:szCs w:val="18"/>
          <w:lang w:val="nl-NL" w:eastAsia="ja-JP"/>
        </w:rPr>
        <w:t>onderstreept</w:t>
      </w:r>
      <w:r>
        <w:rPr>
          <w:szCs w:val="18"/>
          <w:lang w:val="nl-NL" w:eastAsia="ja-JP"/>
        </w:rPr>
        <w:t xml:space="preserve"> het kabinet dan ook regelmatig </w:t>
      </w:r>
      <w:r w:rsidR="006D12A3">
        <w:rPr>
          <w:szCs w:val="18"/>
          <w:lang w:val="nl-NL" w:eastAsia="ja-JP"/>
        </w:rPr>
        <w:t xml:space="preserve">het belang van gezamenlijk EU-optreden op dit gebied. Zo heeft Nederland op 6 november jl. in </w:t>
      </w:r>
      <w:r w:rsidR="005F2255">
        <w:rPr>
          <w:szCs w:val="18"/>
          <w:lang w:val="nl-NL" w:eastAsia="ja-JP"/>
        </w:rPr>
        <w:t xml:space="preserve">EU-verband </w:t>
      </w:r>
      <w:r w:rsidR="006D12A3">
        <w:rPr>
          <w:szCs w:val="18"/>
          <w:lang w:val="nl-NL" w:eastAsia="ja-JP"/>
        </w:rPr>
        <w:t>bij de EU-speciaal vertegenwoordiger voor mensenrechten Ollongren gepleit voor inzet van haar mandaat om bescherming van Nigeriaanse burgers, waaronder religieuze minderheden, te waarborgen.</w:t>
      </w:r>
      <w:r>
        <w:rPr>
          <w:szCs w:val="18"/>
          <w:lang w:val="nl-NL" w:eastAsia="ja-JP"/>
        </w:rPr>
        <w:t xml:space="preserve"> </w:t>
      </w:r>
      <w:r w:rsidR="009C0999">
        <w:rPr>
          <w:szCs w:val="18"/>
          <w:lang w:val="nl-NL" w:eastAsia="ja-JP"/>
        </w:rPr>
        <w:t xml:space="preserve">Ook </w:t>
      </w:r>
      <w:r w:rsidR="005F2255">
        <w:rPr>
          <w:szCs w:val="18"/>
          <w:lang w:val="nl-NL" w:eastAsia="ja-JP"/>
        </w:rPr>
        <w:t>heeft Nederland bij diverse gelegenheden</w:t>
      </w:r>
      <w:r w:rsidR="009C0999">
        <w:rPr>
          <w:szCs w:val="18"/>
          <w:lang w:val="nl-NL" w:eastAsia="ja-JP"/>
        </w:rPr>
        <w:t xml:space="preserve"> in bilateraal en multilateraal verband het afgelopen </w:t>
      </w:r>
      <w:r w:rsidR="00516C9A">
        <w:rPr>
          <w:szCs w:val="18"/>
          <w:lang w:val="nl-NL" w:eastAsia="ja-JP"/>
        </w:rPr>
        <w:t xml:space="preserve">jaar </w:t>
      </w:r>
      <w:r w:rsidR="009C0999">
        <w:rPr>
          <w:szCs w:val="18"/>
          <w:lang w:val="nl-NL" w:eastAsia="ja-JP"/>
        </w:rPr>
        <w:t xml:space="preserve">aandacht gevraagd voor bescherming van burgers in de context van aanhoudend geweld en </w:t>
      </w:r>
      <w:r w:rsidR="000F1E4B">
        <w:rPr>
          <w:szCs w:val="18"/>
          <w:lang w:val="nl-NL" w:eastAsia="ja-JP"/>
        </w:rPr>
        <w:t xml:space="preserve">voor </w:t>
      </w:r>
      <w:r w:rsidR="009C0999">
        <w:rPr>
          <w:szCs w:val="18"/>
          <w:lang w:val="nl-NL" w:eastAsia="ja-JP"/>
        </w:rPr>
        <w:t xml:space="preserve">afschaffing van de doodstraf op blasfemie </w:t>
      </w:r>
      <w:r w:rsidR="00516C9A">
        <w:rPr>
          <w:szCs w:val="18"/>
          <w:lang w:val="nl-NL" w:eastAsia="ja-JP"/>
        </w:rPr>
        <w:t>in Nigeria</w:t>
      </w:r>
      <w:r w:rsidR="006D12A3">
        <w:rPr>
          <w:szCs w:val="18"/>
          <w:lang w:val="nl-NL" w:eastAsia="ja-JP"/>
        </w:rPr>
        <w:t>.</w:t>
      </w:r>
      <w:r w:rsidR="006D12A3">
        <w:rPr>
          <w:rStyle w:val="FootnoteReference"/>
          <w:szCs w:val="18"/>
          <w:lang w:val="nl-NL" w:eastAsia="ja-JP"/>
        </w:rPr>
        <w:footnoteReference w:id="15"/>
      </w:r>
      <w:r w:rsidR="00516C9A">
        <w:rPr>
          <w:szCs w:val="18"/>
          <w:lang w:val="nl-NL" w:eastAsia="ja-JP"/>
        </w:rPr>
        <w:t xml:space="preserve"> </w:t>
      </w:r>
    </w:p>
    <w:sectPr w:rsidRPr="000D25B9" w:rsidR="006C11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5A3B" w14:textId="77777777" w:rsidR="005F45F6" w:rsidRDefault="005F45F6" w:rsidP="00823D7C">
      <w:pPr>
        <w:spacing w:after="0"/>
      </w:pPr>
      <w:r>
        <w:separator/>
      </w:r>
    </w:p>
  </w:endnote>
  <w:endnote w:type="continuationSeparator" w:id="0">
    <w:p w14:paraId="77F87F00" w14:textId="77777777" w:rsidR="005F45F6" w:rsidRDefault="005F45F6" w:rsidP="00823D7C">
      <w:pPr>
        <w:spacing w:after="0"/>
      </w:pPr>
      <w:r>
        <w:continuationSeparator/>
      </w:r>
    </w:p>
  </w:endnote>
  <w:endnote w:type="continuationNotice" w:id="1">
    <w:p w14:paraId="4727C291" w14:textId="77777777" w:rsidR="005F45F6" w:rsidRDefault="005F4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BC8D" w14:textId="77777777" w:rsidR="00907334" w:rsidRDefault="00907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B47A" w14:textId="77777777" w:rsidR="00907334" w:rsidRDefault="0090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0856" w14:textId="77777777" w:rsidR="005F45F6" w:rsidRDefault="005F45F6" w:rsidP="00823D7C">
      <w:pPr>
        <w:spacing w:after="0"/>
      </w:pPr>
      <w:r>
        <w:separator/>
      </w:r>
    </w:p>
  </w:footnote>
  <w:footnote w:type="continuationSeparator" w:id="0">
    <w:p w14:paraId="4CEC12C7" w14:textId="77777777" w:rsidR="005F45F6" w:rsidRDefault="005F45F6" w:rsidP="00823D7C">
      <w:pPr>
        <w:spacing w:after="0"/>
      </w:pPr>
      <w:r>
        <w:continuationSeparator/>
      </w:r>
    </w:p>
  </w:footnote>
  <w:footnote w:type="continuationNotice" w:id="1">
    <w:p w14:paraId="69F85C74" w14:textId="77777777" w:rsidR="005F45F6" w:rsidRDefault="005F45F6">
      <w:pPr>
        <w:spacing w:after="0"/>
      </w:pPr>
    </w:p>
  </w:footnote>
  <w:footnote w:id="2">
    <w:p w14:paraId="2EA5BA1D" w14:textId="04B42A18" w:rsidR="0039333A" w:rsidRPr="00B546D7" w:rsidRDefault="0039333A">
      <w:pPr>
        <w:pStyle w:val="FootnoteText"/>
        <w:rPr>
          <w:sz w:val="16"/>
          <w:szCs w:val="16"/>
          <w:lang w:val="nl-NL"/>
        </w:rPr>
      </w:pPr>
      <w:r w:rsidRPr="00B546D7">
        <w:rPr>
          <w:rStyle w:val="FootnoteReference"/>
          <w:sz w:val="16"/>
          <w:szCs w:val="16"/>
        </w:rPr>
        <w:footnoteRef/>
      </w:r>
      <w:r w:rsidRPr="00B546D7">
        <w:rPr>
          <w:sz w:val="16"/>
          <w:szCs w:val="16"/>
          <w:lang w:val="nl-NL"/>
        </w:rPr>
        <w:t xml:space="preserve"> Kamerstuk 36 045</w:t>
      </w:r>
      <w:r w:rsidR="00AA49A0">
        <w:rPr>
          <w:sz w:val="16"/>
          <w:szCs w:val="16"/>
          <w:lang w:val="nl-NL"/>
        </w:rPr>
        <w:t>,</w:t>
      </w:r>
      <w:r w:rsidRPr="00B546D7">
        <w:rPr>
          <w:sz w:val="16"/>
          <w:szCs w:val="16"/>
          <w:lang w:val="nl-NL"/>
        </w:rPr>
        <w:t xml:space="preserve"> nr. 223</w:t>
      </w:r>
      <w:r w:rsidR="001131EF">
        <w:rPr>
          <w:sz w:val="16"/>
          <w:szCs w:val="16"/>
          <w:lang w:val="nl-NL"/>
        </w:rPr>
        <w:t>.</w:t>
      </w:r>
    </w:p>
  </w:footnote>
  <w:footnote w:id="3">
    <w:p w14:paraId="26E1B5FD" w14:textId="0EBF7D7D" w:rsidR="0039333A" w:rsidRPr="00B546D7" w:rsidRDefault="0039333A">
      <w:pPr>
        <w:pStyle w:val="FootnoteText"/>
        <w:rPr>
          <w:sz w:val="16"/>
          <w:szCs w:val="16"/>
          <w:lang w:val="nl-NL"/>
        </w:rPr>
      </w:pPr>
      <w:r w:rsidRPr="00B546D7">
        <w:rPr>
          <w:rStyle w:val="FootnoteReference"/>
          <w:sz w:val="16"/>
          <w:szCs w:val="16"/>
        </w:rPr>
        <w:footnoteRef/>
      </w:r>
      <w:r w:rsidRPr="00B546D7">
        <w:rPr>
          <w:sz w:val="16"/>
          <w:szCs w:val="16"/>
          <w:lang w:val="nl-NL"/>
        </w:rPr>
        <w:t xml:space="preserve"> Kamerstuk 36 045</w:t>
      </w:r>
      <w:r w:rsidR="00AA49A0">
        <w:rPr>
          <w:sz w:val="16"/>
          <w:szCs w:val="16"/>
          <w:lang w:val="nl-NL"/>
        </w:rPr>
        <w:t>,</w:t>
      </w:r>
      <w:r w:rsidRPr="00B546D7">
        <w:rPr>
          <w:sz w:val="16"/>
          <w:szCs w:val="16"/>
          <w:lang w:val="nl-NL"/>
        </w:rPr>
        <w:t xml:space="preserve"> nr. 231</w:t>
      </w:r>
      <w:r w:rsidR="001131EF">
        <w:rPr>
          <w:sz w:val="16"/>
          <w:szCs w:val="16"/>
          <w:lang w:val="nl-NL"/>
        </w:rPr>
        <w:t>.</w:t>
      </w:r>
    </w:p>
  </w:footnote>
  <w:footnote w:id="4">
    <w:p w14:paraId="2453564C" w14:textId="77777777" w:rsidR="00FD7CB2" w:rsidRPr="00120F76" w:rsidRDefault="00FD7CB2" w:rsidP="00FD7CB2">
      <w:pPr>
        <w:pStyle w:val="FootnoteText"/>
        <w:rPr>
          <w:sz w:val="16"/>
          <w:szCs w:val="16"/>
          <w:lang w:val="nl-NL"/>
        </w:rPr>
      </w:pPr>
      <w:r w:rsidRPr="00302712">
        <w:rPr>
          <w:rStyle w:val="FootnoteReference"/>
          <w:sz w:val="16"/>
          <w:szCs w:val="16"/>
        </w:rPr>
        <w:footnoteRef/>
      </w:r>
      <w:r w:rsidRPr="00302712">
        <w:rPr>
          <w:sz w:val="16"/>
          <w:szCs w:val="16"/>
          <w:lang w:val="nl-NL"/>
        </w:rPr>
        <w:t xml:space="preserve"> K</w:t>
      </w:r>
      <w:r w:rsidRPr="00120F76">
        <w:rPr>
          <w:sz w:val="16"/>
          <w:szCs w:val="16"/>
          <w:lang w:val="nl-NL"/>
        </w:rPr>
        <w:t>amerstuk 36045, nr. 240.</w:t>
      </w:r>
    </w:p>
  </w:footnote>
  <w:footnote w:id="5">
    <w:p w14:paraId="04DBCAE1" w14:textId="336573C2" w:rsidR="001A0B74" w:rsidRPr="005F2D57" w:rsidRDefault="001A0B74">
      <w:pPr>
        <w:pStyle w:val="FootnoteText"/>
        <w:rPr>
          <w:lang w:val="nl-NL"/>
        </w:rPr>
      </w:pPr>
      <w:r w:rsidRPr="001A0B74">
        <w:rPr>
          <w:rStyle w:val="FootnoteReference"/>
          <w:sz w:val="16"/>
          <w:szCs w:val="16"/>
        </w:rPr>
        <w:footnoteRef/>
      </w:r>
      <w:r w:rsidRPr="005F2D57">
        <w:rPr>
          <w:sz w:val="16"/>
          <w:szCs w:val="16"/>
          <w:lang w:val="nl-NL"/>
        </w:rPr>
        <w:t xml:space="preserve"> Kamerstuk 21 501-02, nr. 3273</w:t>
      </w:r>
      <w:r w:rsidR="001131EF">
        <w:rPr>
          <w:sz w:val="16"/>
          <w:szCs w:val="16"/>
          <w:lang w:val="nl-NL"/>
        </w:rPr>
        <w:t xml:space="preserve"> en </w:t>
      </w:r>
      <w:r w:rsidR="001131EF" w:rsidRPr="00BD733C">
        <w:rPr>
          <w:sz w:val="16"/>
          <w:szCs w:val="16"/>
          <w:lang w:val="nl-NL"/>
        </w:rPr>
        <w:t>Kamerstuk 21 501-02, nr. 3275</w:t>
      </w:r>
      <w:r w:rsidR="001131EF">
        <w:rPr>
          <w:sz w:val="16"/>
          <w:szCs w:val="16"/>
          <w:lang w:val="nl-NL"/>
        </w:rPr>
        <w:t>.</w:t>
      </w:r>
    </w:p>
  </w:footnote>
  <w:footnote w:id="6">
    <w:p w14:paraId="0BCA94A2" w14:textId="428AC429" w:rsidR="00422029" w:rsidRPr="00422029" w:rsidRDefault="00422029">
      <w:pPr>
        <w:pStyle w:val="FootnoteText"/>
        <w:rPr>
          <w:sz w:val="16"/>
          <w:szCs w:val="16"/>
          <w:lang w:val="nl-NL"/>
        </w:rPr>
      </w:pPr>
      <w:r w:rsidRPr="00422029">
        <w:rPr>
          <w:rStyle w:val="FootnoteReference"/>
          <w:sz w:val="16"/>
          <w:szCs w:val="16"/>
        </w:rPr>
        <w:footnoteRef/>
      </w:r>
      <w:r w:rsidRPr="00422029">
        <w:rPr>
          <w:sz w:val="16"/>
          <w:szCs w:val="16"/>
          <w:lang w:val="nl-NL"/>
        </w:rPr>
        <w:t xml:space="preserve"> Kamerstuk 23432, nr. 499</w:t>
      </w:r>
      <w:r>
        <w:rPr>
          <w:sz w:val="16"/>
          <w:szCs w:val="16"/>
          <w:lang w:val="nl-NL"/>
        </w:rPr>
        <w:t>.</w:t>
      </w:r>
    </w:p>
  </w:footnote>
  <w:footnote w:id="7">
    <w:p w14:paraId="1949A202" w14:textId="523A7163" w:rsidR="00422029" w:rsidRPr="002B4215" w:rsidRDefault="00422029">
      <w:pPr>
        <w:pStyle w:val="FootnoteText"/>
        <w:rPr>
          <w:lang w:val="nl-NL"/>
        </w:rPr>
      </w:pPr>
      <w:r w:rsidRPr="00422029">
        <w:rPr>
          <w:rStyle w:val="FootnoteReference"/>
          <w:sz w:val="16"/>
          <w:szCs w:val="16"/>
        </w:rPr>
        <w:footnoteRef/>
      </w:r>
      <w:r w:rsidRPr="00422029">
        <w:rPr>
          <w:sz w:val="16"/>
          <w:szCs w:val="16"/>
          <w:lang w:val="nl-NL"/>
        </w:rPr>
        <w:t xml:space="preserve"> Kamerstuk 23432, nr. </w:t>
      </w:r>
      <w:r>
        <w:rPr>
          <w:sz w:val="16"/>
          <w:szCs w:val="16"/>
          <w:lang w:val="nl-NL"/>
        </w:rPr>
        <w:t>499</w:t>
      </w:r>
      <w:r w:rsidR="00942C84">
        <w:rPr>
          <w:sz w:val="16"/>
          <w:szCs w:val="16"/>
          <w:lang w:val="nl-NL"/>
        </w:rPr>
        <w:t xml:space="preserve"> en</w:t>
      </w:r>
      <w:r>
        <w:rPr>
          <w:sz w:val="16"/>
          <w:szCs w:val="16"/>
          <w:lang w:val="nl-NL"/>
        </w:rPr>
        <w:t xml:space="preserve"> Kamerstuk </w:t>
      </w:r>
      <w:r w:rsidRPr="00422029">
        <w:rPr>
          <w:sz w:val="16"/>
          <w:szCs w:val="16"/>
          <w:lang w:val="nl-NL"/>
        </w:rPr>
        <w:t>21501-02, nr. 2794</w:t>
      </w:r>
      <w:r>
        <w:rPr>
          <w:sz w:val="16"/>
          <w:szCs w:val="16"/>
          <w:lang w:val="nl-NL"/>
        </w:rPr>
        <w:t>.</w:t>
      </w:r>
    </w:p>
  </w:footnote>
  <w:footnote w:id="8">
    <w:p w14:paraId="75382867" w14:textId="09C84B2A" w:rsidR="00BA7B54" w:rsidRPr="00E70952" w:rsidRDefault="00BA7B54">
      <w:pPr>
        <w:pStyle w:val="FootnoteText"/>
        <w:rPr>
          <w:sz w:val="16"/>
          <w:szCs w:val="16"/>
          <w:lang w:val="nl-NL"/>
        </w:rPr>
      </w:pPr>
      <w:r w:rsidRPr="00E70952">
        <w:rPr>
          <w:rStyle w:val="FootnoteReference"/>
          <w:sz w:val="16"/>
          <w:szCs w:val="16"/>
        </w:rPr>
        <w:footnoteRef/>
      </w:r>
      <w:r w:rsidRPr="00E70952">
        <w:rPr>
          <w:sz w:val="16"/>
          <w:szCs w:val="16"/>
          <w:lang w:val="nl-NL"/>
        </w:rPr>
        <w:t xml:space="preserve"> </w:t>
      </w:r>
      <w:hyperlink r:id="rId1" w:history="1">
        <w:r w:rsidR="007261E6" w:rsidRPr="00E70952">
          <w:rPr>
            <w:rStyle w:val="Hyperlink"/>
            <w:sz w:val="16"/>
            <w:szCs w:val="16"/>
            <w:lang w:val="nl-NL"/>
          </w:rPr>
          <w:t>Sudan: Raad keurt conclusies goed over aanhoudende conflict - Consilium</w:t>
        </w:r>
      </w:hyperlink>
    </w:p>
  </w:footnote>
  <w:footnote w:id="9">
    <w:p w14:paraId="47D0414C" w14:textId="1D90FB51" w:rsidR="00BA7B54" w:rsidRPr="00E70952" w:rsidRDefault="00BA7B54">
      <w:pPr>
        <w:pStyle w:val="FootnoteText"/>
        <w:rPr>
          <w:sz w:val="16"/>
          <w:szCs w:val="16"/>
        </w:rPr>
      </w:pPr>
      <w:r w:rsidRPr="00417076">
        <w:rPr>
          <w:rStyle w:val="FootnoteReference"/>
          <w:sz w:val="16"/>
          <w:szCs w:val="16"/>
        </w:rPr>
        <w:footnoteRef/>
      </w:r>
      <w:r w:rsidRPr="00417076">
        <w:rPr>
          <w:sz w:val="16"/>
          <w:szCs w:val="16"/>
        </w:rPr>
        <w:t xml:space="preserve"> </w:t>
      </w:r>
      <w:hyperlink r:id="rId2" w:history="1">
        <w:r w:rsidRPr="00417076">
          <w:rPr>
            <w:rStyle w:val="Hyperlink"/>
            <w:sz w:val="16"/>
            <w:szCs w:val="16"/>
          </w:rPr>
          <w:t>Sudan: Statement by the High Representative on behalf of the European Union - Consilium</w:t>
        </w:r>
      </w:hyperlink>
    </w:p>
  </w:footnote>
  <w:footnote w:id="10">
    <w:p w14:paraId="4177CD86" w14:textId="271CC9EB" w:rsidR="00465041" w:rsidRPr="00677CFF" w:rsidRDefault="00465041" w:rsidP="00465041">
      <w:pPr>
        <w:pStyle w:val="FootnoteText"/>
        <w:rPr>
          <w:sz w:val="16"/>
          <w:szCs w:val="16"/>
          <w:lang w:val="nl-NL"/>
        </w:rPr>
      </w:pPr>
      <w:r w:rsidRPr="00417076">
        <w:rPr>
          <w:rStyle w:val="FootnoteReference"/>
          <w:sz w:val="16"/>
          <w:szCs w:val="16"/>
        </w:rPr>
        <w:footnoteRef/>
      </w:r>
      <w:r w:rsidRPr="00417076">
        <w:rPr>
          <w:sz w:val="16"/>
          <w:szCs w:val="16"/>
          <w:lang w:val="nl-NL"/>
        </w:rPr>
        <w:t xml:space="preserve"> </w:t>
      </w:r>
      <w:r w:rsidR="00ED6455">
        <w:rPr>
          <w:sz w:val="16"/>
          <w:szCs w:val="16"/>
          <w:lang w:val="nl-NL"/>
        </w:rPr>
        <w:t>K</w:t>
      </w:r>
      <w:r w:rsidR="007A63A8" w:rsidRPr="007A63A8">
        <w:rPr>
          <w:sz w:val="16"/>
          <w:szCs w:val="16"/>
          <w:lang w:val="nl-NL"/>
        </w:rPr>
        <w:t>amerstuk</w:t>
      </w:r>
      <w:r w:rsidRPr="00677CFF">
        <w:rPr>
          <w:sz w:val="16"/>
          <w:szCs w:val="16"/>
          <w:lang w:val="nl-NL"/>
        </w:rPr>
        <w:t xml:space="preserve"> </w:t>
      </w:r>
      <w:r w:rsidRPr="007A63A8">
        <w:rPr>
          <w:rFonts w:cs="Times New Roman"/>
          <w:sz w:val="16"/>
          <w:szCs w:val="16"/>
          <w:lang w:val="nl-NL" w:eastAsia="ja-JP"/>
        </w:rPr>
        <w:t>21501-02</w:t>
      </w:r>
      <w:r w:rsidR="007A63A8" w:rsidRPr="007A63A8">
        <w:rPr>
          <w:rFonts w:cs="Times New Roman"/>
          <w:sz w:val="16"/>
          <w:szCs w:val="16"/>
          <w:lang w:val="nl-NL" w:eastAsia="ja-JP"/>
        </w:rPr>
        <w:t>,</w:t>
      </w:r>
      <w:r w:rsidRPr="007A63A8">
        <w:rPr>
          <w:rFonts w:cs="Times New Roman"/>
          <w:sz w:val="16"/>
          <w:szCs w:val="16"/>
          <w:lang w:val="nl-NL" w:eastAsia="ja-JP"/>
        </w:rPr>
        <w:t xml:space="preserve"> </w:t>
      </w:r>
      <w:r w:rsidR="007A63A8" w:rsidRPr="007A63A8">
        <w:rPr>
          <w:rFonts w:cs="Times New Roman"/>
          <w:sz w:val="16"/>
          <w:szCs w:val="16"/>
          <w:lang w:val="nl-NL" w:eastAsia="ja-JP"/>
        </w:rPr>
        <w:t>n</w:t>
      </w:r>
      <w:r w:rsidRPr="007A63A8">
        <w:rPr>
          <w:rFonts w:cs="Times New Roman"/>
          <w:sz w:val="16"/>
          <w:szCs w:val="16"/>
          <w:lang w:val="nl-NL" w:eastAsia="ja-JP"/>
        </w:rPr>
        <w:t>r. 32</w:t>
      </w:r>
      <w:r w:rsidR="00347786">
        <w:rPr>
          <w:rFonts w:cs="Times New Roman"/>
          <w:sz w:val="16"/>
          <w:szCs w:val="16"/>
          <w:lang w:val="nl-NL" w:eastAsia="ja-JP"/>
        </w:rPr>
        <w:t>91</w:t>
      </w:r>
      <w:r w:rsidR="00942C84">
        <w:rPr>
          <w:rFonts w:cs="Times New Roman"/>
          <w:sz w:val="16"/>
          <w:szCs w:val="16"/>
          <w:lang w:val="nl-NL" w:eastAsia="ja-JP"/>
        </w:rPr>
        <w:t>.</w:t>
      </w:r>
      <w:r w:rsidRPr="007A63A8">
        <w:rPr>
          <w:rFonts w:cs="Times New Roman"/>
          <w:sz w:val="16"/>
          <w:szCs w:val="16"/>
          <w:lang w:val="nl-NL" w:eastAsia="ja-JP"/>
        </w:rPr>
        <w:t xml:space="preserve"> </w:t>
      </w:r>
    </w:p>
  </w:footnote>
  <w:footnote w:id="11">
    <w:p w14:paraId="13267BF0" w14:textId="167B05E1" w:rsidR="00347786" w:rsidRPr="00E70952" w:rsidRDefault="00347786">
      <w:pPr>
        <w:pStyle w:val="FootnoteText"/>
        <w:rPr>
          <w:sz w:val="16"/>
          <w:szCs w:val="16"/>
          <w:lang w:val="nl-NL"/>
        </w:rPr>
      </w:pPr>
      <w:r w:rsidRPr="00E70952">
        <w:rPr>
          <w:rStyle w:val="FootnoteReference"/>
          <w:sz w:val="16"/>
          <w:szCs w:val="16"/>
        </w:rPr>
        <w:footnoteRef/>
      </w:r>
      <w:r w:rsidRPr="00E70952">
        <w:rPr>
          <w:sz w:val="16"/>
          <w:szCs w:val="16"/>
          <w:lang w:val="nl-NL"/>
        </w:rPr>
        <w:t xml:space="preserve"> </w:t>
      </w:r>
      <w:r w:rsidRPr="00E70952">
        <w:rPr>
          <w:rFonts w:cs="Times New Roman"/>
          <w:sz w:val="16"/>
          <w:szCs w:val="16"/>
          <w:lang w:val="nl-NL" w:eastAsia="ja-JP"/>
        </w:rPr>
        <w:t>Kamerstuk 21501, nr. 3278</w:t>
      </w:r>
      <w:r w:rsidR="00942C84">
        <w:rPr>
          <w:rFonts w:cs="Times New Roman"/>
          <w:sz w:val="16"/>
          <w:szCs w:val="16"/>
          <w:lang w:val="nl-NL" w:eastAsia="ja-JP"/>
        </w:rPr>
        <w:t>.</w:t>
      </w:r>
    </w:p>
  </w:footnote>
  <w:footnote w:id="12">
    <w:p w14:paraId="123DE701" w14:textId="089D437C" w:rsidR="00347786" w:rsidRPr="00E70952" w:rsidRDefault="00347786" w:rsidP="00347786">
      <w:pPr>
        <w:pStyle w:val="FootnoteText"/>
        <w:rPr>
          <w:sz w:val="16"/>
          <w:szCs w:val="16"/>
          <w:lang w:val="nl-NL"/>
        </w:rPr>
      </w:pPr>
      <w:r w:rsidRPr="00E70952">
        <w:rPr>
          <w:rStyle w:val="FootnoteReference"/>
          <w:sz w:val="16"/>
          <w:szCs w:val="16"/>
        </w:rPr>
        <w:footnoteRef/>
      </w:r>
      <w:r w:rsidRPr="00E70952" w:rsidDel="007A63A8">
        <w:rPr>
          <w:sz w:val="16"/>
          <w:szCs w:val="16"/>
          <w:lang w:val="nl-NL"/>
        </w:rPr>
        <w:t xml:space="preserve"> </w:t>
      </w:r>
      <w:r w:rsidRPr="00E70952">
        <w:rPr>
          <w:sz w:val="16"/>
          <w:szCs w:val="16"/>
          <w:lang w:val="nl-NL"/>
        </w:rPr>
        <w:t xml:space="preserve">Kamerstuk </w:t>
      </w:r>
      <w:r w:rsidRPr="00E70952">
        <w:rPr>
          <w:rFonts w:cs="Times New Roman"/>
          <w:sz w:val="16"/>
          <w:szCs w:val="16"/>
          <w:lang w:val="nl-NL" w:eastAsia="ja-JP"/>
        </w:rPr>
        <w:t>21501-02, nr. 3279</w:t>
      </w:r>
      <w:r w:rsidR="00942C84">
        <w:rPr>
          <w:rFonts w:cs="Times New Roman"/>
          <w:sz w:val="16"/>
          <w:szCs w:val="16"/>
          <w:lang w:val="nl-NL" w:eastAsia="ja-JP"/>
        </w:rPr>
        <w:t>.</w:t>
      </w:r>
    </w:p>
  </w:footnote>
  <w:footnote w:id="13">
    <w:p w14:paraId="36E651A8" w14:textId="1432AF1C" w:rsidR="00465041" w:rsidRPr="00BA7B54" w:rsidRDefault="00465041">
      <w:pPr>
        <w:pStyle w:val="FootnoteText"/>
        <w:rPr>
          <w:sz w:val="16"/>
          <w:szCs w:val="16"/>
          <w:lang w:val="nl-NL"/>
        </w:rPr>
      </w:pPr>
      <w:r w:rsidRPr="00677CFF">
        <w:rPr>
          <w:rStyle w:val="FootnoteReference"/>
          <w:sz w:val="16"/>
          <w:szCs w:val="16"/>
        </w:rPr>
        <w:footnoteRef/>
      </w:r>
      <w:r w:rsidRPr="00BA7B54">
        <w:rPr>
          <w:sz w:val="16"/>
          <w:szCs w:val="16"/>
          <w:lang w:val="nl-NL"/>
        </w:rPr>
        <w:t xml:space="preserve"> </w:t>
      </w:r>
      <w:r w:rsidR="007A63A8" w:rsidRPr="00BA7B54">
        <w:rPr>
          <w:sz w:val="16"/>
          <w:szCs w:val="16"/>
          <w:lang w:val="nl-NL"/>
        </w:rPr>
        <w:t>Kamerstuk</w:t>
      </w:r>
      <w:r w:rsidRPr="00BA7B54">
        <w:rPr>
          <w:sz w:val="16"/>
          <w:szCs w:val="16"/>
          <w:lang w:val="nl-NL"/>
        </w:rPr>
        <w:t xml:space="preserve"> </w:t>
      </w:r>
      <w:r w:rsidRPr="00BA7B54">
        <w:rPr>
          <w:rFonts w:cs="Times New Roman"/>
          <w:sz w:val="16"/>
          <w:szCs w:val="16"/>
          <w:lang w:val="nl-NL" w:eastAsia="ja-JP"/>
        </w:rPr>
        <w:t>21501-02</w:t>
      </w:r>
      <w:r w:rsidR="007A63A8" w:rsidRPr="00BA7B54">
        <w:rPr>
          <w:rFonts w:cs="Times New Roman"/>
          <w:sz w:val="16"/>
          <w:szCs w:val="16"/>
          <w:lang w:val="nl-NL" w:eastAsia="ja-JP"/>
        </w:rPr>
        <w:t>,</w:t>
      </w:r>
      <w:r w:rsidRPr="00BA7B54">
        <w:rPr>
          <w:rFonts w:cs="Times New Roman"/>
          <w:sz w:val="16"/>
          <w:szCs w:val="16"/>
          <w:lang w:val="nl-NL" w:eastAsia="ja-JP"/>
        </w:rPr>
        <w:t xml:space="preserve"> </w:t>
      </w:r>
      <w:r w:rsidR="007A63A8" w:rsidRPr="00BA7B54">
        <w:rPr>
          <w:sz w:val="16"/>
          <w:szCs w:val="16"/>
          <w:lang w:val="nl-NL"/>
        </w:rPr>
        <w:t>n</w:t>
      </w:r>
      <w:r w:rsidRPr="00BA7B54">
        <w:rPr>
          <w:sz w:val="16"/>
          <w:szCs w:val="16"/>
          <w:lang w:val="nl-NL"/>
        </w:rPr>
        <w:t>r. 3276</w:t>
      </w:r>
      <w:r w:rsidR="00942C84">
        <w:rPr>
          <w:sz w:val="16"/>
          <w:szCs w:val="16"/>
          <w:lang w:val="nl-NL"/>
        </w:rPr>
        <w:t>.</w:t>
      </w:r>
      <w:r w:rsidR="0047210E">
        <w:rPr>
          <w:sz w:val="16"/>
          <w:szCs w:val="16"/>
          <w:lang w:val="nl-NL"/>
        </w:rPr>
        <w:t xml:space="preserve"> </w:t>
      </w:r>
    </w:p>
  </w:footnote>
  <w:footnote w:id="14">
    <w:p w14:paraId="06DD6A8A" w14:textId="4BF9EB14" w:rsidR="006547FD" w:rsidRPr="00B546D7" w:rsidRDefault="006547FD">
      <w:pPr>
        <w:pStyle w:val="FootnoteText"/>
        <w:rPr>
          <w:sz w:val="16"/>
          <w:szCs w:val="16"/>
          <w:lang w:val="nl-NL"/>
        </w:rPr>
      </w:pPr>
      <w:r w:rsidRPr="00B546D7">
        <w:rPr>
          <w:rStyle w:val="FootnoteReference"/>
          <w:sz w:val="16"/>
          <w:szCs w:val="16"/>
        </w:rPr>
        <w:footnoteRef/>
      </w:r>
      <w:r w:rsidRPr="00B546D7">
        <w:rPr>
          <w:sz w:val="16"/>
          <w:szCs w:val="16"/>
          <w:lang w:val="nl-NL"/>
        </w:rPr>
        <w:t xml:space="preserve"> Motie Ceder c.s. 21501-20, nr. 2254</w:t>
      </w:r>
      <w:r w:rsidR="00574B93">
        <w:rPr>
          <w:sz w:val="16"/>
          <w:szCs w:val="16"/>
          <w:lang w:val="nl-NL"/>
        </w:rPr>
        <w:t>.</w:t>
      </w:r>
    </w:p>
  </w:footnote>
  <w:footnote w:id="15">
    <w:p w14:paraId="4F36745A" w14:textId="72BE355B" w:rsidR="006D12A3" w:rsidRPr="00677CFF" w:rsidRDefault="006D12A3">
      <w:pPr>
        <w:pStyle w:val="FootnoteText"/>
        <w:rPr>
          <w:lang w:val="nl-NL"/>
        </w:rPr>
      </w:pPr>
      <w:r w:rsidRPr="00B546D7">
        <w:rPr>
          <w:rStyle w:val="FootnoteReference"/>
          <w:sz w:val="16"/>
          <w:szCs w:val="16"/>
        </w:rPr>
        <w:footnoteRef/>
      </w:r>
      <w:r w:rsidRPr="00B546D7">
        <w:rPr>
          <w:sz w:val="16"/>
          <w:szCs w:val="16"/>
          <w:lang w:val="nl-NL"/>
        </w:rPr>
        <w:t xml:space="preserve"> Moties 36 600-V, nr. 48; Motie 32 735 </w:t>
      </w:r>
      <w:r w:rsidR="00AA49A0" w:rsidRPr="00B546D7">
        <w:rPr>
          <w:sz w:val="16"/>
          <w:szCs w:val="16"/>
          <w:lang w:val="nl-NL"/>
        </w:rPr>
        <w:t>nr.</w:t>
      </w:r>
      <w:r w:rsidRPr="00B546D7">
        <w:rPr>
          <w:sz w:val="16"/>
          <w:szCs w:val="16"/>
          <w:lang w:val="nl-NL"/>
        </w:rPr>
        <w:t xml:space="preserve"> 392; Motie 36 410-V, nr. 64; Motie 36 410-V,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9CD" w14:textId="77777777" w:rsidR="00907334" w:rsidRDefault="00907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A05E" w14:textId="77777777" w:rsidR="00907334" w:rsidRDefault="00907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1D63" w14:textId="77777777" w:rsidR="00907334" w:rsidRDefault="00907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309091722">
    <w:abstractNumId w:val="3"/>
  </w:num>
  <w:num w:numId="2" w16cid:durableId="1296136406">
    <w:abstractNumId w:val="0"/>
  </w:num>
  <w:num w:numId="3" w16cid:durableId="862012339">
    <w:abstractNumId w:val="2"/>
  </w:num>
  <w:num w:numId="4" w16cid:durableId="43956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11EBD"/>
    <w:rsid w:val="000138AF"/>
    <w:rsid w:val="00014639"/>
    <w:rsid w:val="00015870"/>
    <w:rsid w:val="00016269"/>
    <w:rsid w:val="00016B8E"/>
    <w:rsid w:val="00016FD2"/>
    <w:rsid w:val="00022141"/>
    <w:rsid w:val="00023DAA"/>
    <w:rsid w:val="000253F2"/>
    <w:rsid w:val="00025B27"/>
    <w:rsid w:val="00025B4B"/>
    <w:rsid w:val="00031B77"/>
    <w:rsid w:val="00034D2D"/>
    <w:rsid w:val="00036803"/>
    <w:rsid w:val="00042639"/>
    <w:rsid w:val="00045EF8"/>
    <w:rsid w:val="000476A8"/>
    <w:rsid w:val="00047DDC"/>
    <w:rsid w:val="00052562"/>
    <w:rsid w:val="00052DF8"/>
    <w:rsid w:val="000555B7"/>
    <w:rsid w:val="000562DF"/>
    <w:rsid w:val="00056774"/>
    <w:rsid w:val="00056E92"/>
    <w:rsid w:val="00056F6D"/>
    <w:rsid w:val="0006066E"/>
    <w:rsid w:val="000613DF"/>
    <w:rsid w:val="0006155D"/>
    <w:rsid w:val="00061E30"/>
    <w:rsid w:val="0006314F"/>
    <w:rsid w:val="000678CE"/>
    <w:rsid w:val="00070F41"/>
    <w:rsid w:val="00071626"/>
    <w:rsid w:val="000812BD"/>
    <w:rsid w:val="00081360"/>
    <w:rsid w:val="000813F1"/>
    <w:rsid w:val="000827D8"/>
    <w:rsid w:val="00083992"/>
    <w:rsid w:val="000847AB"/>
    <w:rsid w:val="00086F2A"/>
    <w:rsid w:val="00087C6A"/>
    <w:rsid w:val="00091B1E"/>
    <w:rsid w:val="00095BD2"/>
    <w:rsid w:val="00095EB3"/>
    <w:rsid w:val="000A2BF0"/>
    <w:rsid w:val="000A37FD"/>
    <w:rsid w:val="000A39C2"/>
    <w:rsid w:val="000A6DA8"/>
    <w:rsid w:val="000A76A4"/>
    <w:rsid w:val="000B34D7"/>
    <w:rsid w:val="000B374E"/>
    <w:rsid w:val="000B4039"/>
    <w:rsid w:val="000B45BC"/>
    <w:rsid w:val="000B6721"/>
    <w:rsid w:val="000B712E"/>
    <w:rsid w:val="000B7E22"/>
    <w:rsid w:val="000C25C7"/>
    <w:rsid w:val="000C531B"/>
    <w:rsid w:val="000C57D2"/>
    <w:rsid w:val="000C739B"/>
    <w:rsid w:val="000C743E"/>
    <w:rsid w:val="000C7453"/>
    <w:rsid w:val="000D0256"/>
    <w:rsid w:val="000D0487"/>
    <w:rsid w:val="000D0A12"/>
    <w:rsid w:val="000D0D5F"/>
    <w:rsid w:val="000D1EC1"/>
    <w:rsid w:val="000D25B9"/>
    <w:rsid w:val="000D56CF"/>
    <w:rsid w:val="000E115A"/>
    <w:rsid w:val="000E1500"/>
    <w:rsid w:val="000E16AC"/>
    <w:rsid w:val="000E21CA"/>
    <w:rsid w:val="000E355F"/>
    <w:rsid w:val="000E35EF"/>
    <w:rsid w:val="000E627F"/>
    <w:rsid w:val="000F1E4B"/>
    <w:rsid w:val="000F2F66"/>
    <w:rsid w:val="000F3379"/>
    <w:rsid w:val="000F6273"/>
    <w:rsid w:val="00100BE9"/>
    <w:rsid w:val="00105DE6"/>
    <w:rsid w:val="00106767"/>
    <w:rsid w:val="00110F0B"/>
    <w:rsid w:val="00112328"/>
    <w:rsid w:val="0011288B"/>
    <w:rsid w:val="001131EF"/>
    <w:rsid w:val="001146EF"/>
    <w:rsid w:val="0011572D"/>
    <w:rsid w:val="00120AE8"/>
    <w:rsid w:val="00120E57"/>
    <w:rsid w:val="00121B83"/>
    <w:rsid w:val="001230E2"/>
    <w:rsid w:val="001245E0"/>
    <w:rsid w:val="00127F5C"/>
    <w:rsid w:val="00130635"/>
    <w:rsid w:val="00137661"/>
    <w:rsid w:val="001405EA"/>
    <w:rsid w:val="001415AD"/>
    <w:rsid w:val="00145E4A"/>
    <w:rsid w:val="00147329"/>
    <w:rsid w:val="0014743A"/>
    <w:rsid w:val="00147FA6"/>
    <w:rsid w:val="001524B4"/>
    <w:rsid w:val="00153B21"/>
    <w:rsid w:val="001556D8"/>
    <w:rsid w:val="00155970"/>
    <w:rsid w:val="00156269"/>
    <w:rsid w:val="00162DF4"/>
    <w:rsid w:val="00163B35"/>
    <w:rsid w:val="00164C23"/>
    <w:rsid w:val="00165A6E"/>
    <w:rsid w:val="00171AA3"/>
    <w:rsid w:val="00171C52"/>
    <w:rsid w:val="00175C67"/>
    <w:rsid w:val="001762C0"/>
    <w:rsid w:val="0017743A"/>
    <w:rsid w:val="00180793"/>
    <w:rsid w:val="00180D7B"/>
    <w:rsid w:val="00181A17"/>
    <w:rsid w:val="00185260"/>
    <w:rsid w:val="00190B31"/>
    <w:rsid w:val="0019127F"/>
    <w:rsid w:val="0019132A"/>
    <w:rsid w:val="00191613"/>
    <w:rsid w:val="00194146"/>
    <w:rsid w:val="001962E8"/>
    <w:rsid w:val="00196A50"/>
    <w:rsid w:val="00197A20"/>
    <w:rsid w:val="001A0185"/>
    <w:rsid w:val="001A041A"/>
    <w:rsid w:val="001A0B74"/>
    <w:rsid w:val="001A22D4"/>
    <w:rsid w:val="001A247B"/>
    <w:rsid w:val="001A360D"/>
    <w:rsid w:val="001A488F"/>
    <w:rsid w:val="001B1AA2"/>
    <w:rsid w:val="001B47CF"/>
    <w:rsid w:val="001B6F00"/>
    <w:rsid w:val="001C246D"/>
    <w:rsid w:val="001C2ACC"/>
    <w:rsid w:val="001C40FD"/>
    <w:rsid w:val="001C43B1"/>
    <w:rsid w:val="001C5C7D"/>
    <w:rsid w:val="001C5E95"/>
    <w:rsid w:val="001C5F90"/>
    <w:rsid w:val="001C79C0"/>
    <w:rsid w:val="001D037B"/>
    <w:rsid w:val="001D2096"/>
    <w:rsid w:val="001D2A8F"/>
    <w:rsid w:val="001D2FA4"/>
    <w:rsid w:val="001D42D7"/>
    <w:rsid w:val="001D4B93"/>
    <w:rsid w:val="001D4F66"/>
    <w:rsid w:val="001D50D5"/>
    <w:rsid w:val="001D68BE"/>
    <w:rsid w:val="001D6992"/>
    <w:rsid w:val="001E19D9"/>
    <w:rsid w:val="001E1D82"/>
    <w:rsid w:val="001E286E"/>
    <w:rsid w:val="001E5F2D"/>
    <w:rsid w:val="001F041E"/>
    <w:rsid w:val="001F4DDD"/>
    <w:rsid w:val="001F51EA"/>
    <w:rsid w:val="001F5912"/>
    <w:rsid w:val="001F6852"/>
    <w:rsid w:val="001F7085"/>
    <w:rsid w:val="001F7BE1"/>
    <w:rsid w:val="002026CA"/>
    <w:rsid w:val="00202FC1"/>
    <w:rsid w:val="0020351C"/>
    <w:rsid w:val="00203B82"/>
    <w:rsid w:val="00204B45"/>
    <w:rsid w:val="0020682E"/>
    <w:rsid w:val="00212724"/>
    <w:rsid w:val="002154B7"/>
    <w:rsid w:val="0021585C"/>
    <w:rsid w:val="00223057"/>
    <w:rsid w:val="00225975"/>
    <w:rsid w:val="00236019"/>
    <w:rsid w:val="00236D05"/>
    <w:rsid w:val="00237CD2"/>
    <w:rsid w:val="00240E4F"/>
    <w:rsid w:val="002505C0"/>
    <w:rsid w:val="0025097B"/>
    <w:rsid w:val="00250CA9"/>
    <w:rsid w:val="002531FC"/>
    <w:rsid w:val="0025459F"/>
    <w:rsid w:val="00254A89"/>
    <w:rsid w:val="0025541B"/>
    <w:rsid w:val="00257775"/>
    <w:rsid w:val="002634F1"/>
    <w:rsid w:val="00264180"/>
    <w:rsid w:val="002653F6"/>
    <w:rsid w:val="00265B3B"/>
    <w:rsid w:val="0026703A"/>
    <w:rsid w:val="00267AF9"/>
    <w:rsid w:val="00270FC4"/>
    <w:rsid w:val="002734F9"/>
    <w:rsid w:val="00275840"/>
    <w:rsid w:val="00276DBA"/>
    <w:rsid w:val="00282DF6"/>
    <w:rsid w:val="002834D8"/>
    <w:rsid w:val="00283E46"/>
    <w:rsid w:val="0028668E"/>
    <w:rsid w:val="002873B2"/>
    <w:rsid w:val="00292D2F"/>
    <w:rsid w:val="002938EB"/>
    <w:rsid w:val="00293DDD"/>
    <w:rsid w:val="00294874"/>
    <w:rsid w:val="0029489B"/>
    <w:rsid w:val="00295190"/>
    <w:rsid w:val="00295A58"/>
    <w:rsid w:val="00296333"/>
    <w:rsid w:val="002978CF"/>
    <w:rsid w:val="002A1075"/>
    <w:rsid w:val="002A39B0"/>
    <w:rsid w:val="002A6054"/>
    <w:rsid w:val="002A70EE"/>
    <w:rsid w:val="002B4215"/>
    <w:rsid w:val="002B4891"/>
    <w:rsid w:val="002B4C45"/>
    <w:rsid w:val="002C0721"/>
    <w:rsid w:val="002C1201"/>
    <w:rsid w:val="002C22C5"/>
    <w:rsid w:val="002C7B45"/>
    <w:rsid w:val="002D3251"/>
    <w:rsid w:val="002D3FFF"/>
    <w:rsid w:val="002D6A98"/>
    <w:rsid w:val="002D7FE4"/>
    <w:rsid w:val="002E226C"/>
    <w:rsid w:val="002E26BE"/>
    <w:rsid w:val="002E329C"/>
    <w:rsid w:val="002E4B8D"/>
    <w:rsid w:val="002E6DEE"/>
    <w:rsid w:val="002E7C5E"/>
    <w:rsid w:val="002E7F6C"/>
    <w:rsid w:val="002F03BD"/>
    <w:rsid w:val="002F3D4B"/>
    <w:rsid w:val="002F40A5"/>
    <w:rsid w:val="002F7461"/>
    <w:rsid w:val="00301849"/>
    <w:rsid w:val="00302712"/>
    <w:rsid w:val="00302893"/>
    <w:rsid w:val="00303071"/>
    <w:rsid w:val="00303438"/>
    <w:rsid w:val="003054C1"/>
    <w:rsid w:val="003059BA"/>
    <w:rsid w:val="00306956"/>
    <w:rsid w:val="00307EEB"/>
    <w:rsid w:val="003133C4"/>
    <w:rsid w:val="00313E9D"/>
    <w:rsid w:val="00317FA1"/>
    <w:rsid w:val="00320089"/>
    <w:rsid w:val="00320531"/>
    <w:rsid w:val="003207F7"/>
    <w:rsid w:val="00320E94"/>
    <w:rsid w:val="003215ED"/>
    <w:rsid w:val="003222D8"/>
    <w:rsid w:val="00322C7B"/>
    <w:rsid w:val="003239E2"/>
    <w:rsid w:val="003247F4"/>
    <w:rsid w:val="00324F36"/>
    <w:rsid w:val="003254D2"/>
    <w:rsid w:val="00325BD7"/>
    <w:rsid w:val="00325C2E"/>
    <w:rsid w:val="00330ECA"/>
    <w:rsid w:val="00331A19"/>
    <w:rsid w:val="00333680"/>
    <w:rsid w:val="0033452E"/>
    <w:rsid w:val="00334F6B"/>
    <w:rsid w:val="003401AD"/>
    <w:rsid w:val="00340258"/>
    <w:rsid w:val="00340697"/>
    <w:rsid w:val="003425D2"/>
    <w:rsid w:val="00343B40"/>
    <w:rsid w:val="00345CCC"/>
    <w:rsid w:val="0034707F"/>
    <w:rsid w:val="00347786"/>
    <w:rsid w:val="003530A7"/>
    <w:rsid w:val="00353E1C"/>
    <w:rsid w:val="003570FC"/>
    <w:rsid w:val="00360705"/>
    <w:rsid w:val="0036391A"/>
    <w:rsid w:val="003650A9"/>
    <w:rsid w:val="003651BE"/>
    <w:rsid w:val="00367075"/>
    <w:rsid w:val="003675E1"/>
    <w:rsid w:val="00372F08"/>
    <w:rsid w:val="003821EA"/>
    <w:rsid w:val="003848CB"/>
    <w:rsid w:val="003858AA"/>
    <w:rsid w:val="00386B28"/>
    <w:rsid w:val="00387297"/>
    <w:rsid w:val="0039333A"/>
    <w:rsid w:val="003A063A"/>
    <w:rsid w:val="003A0F6B"/>
    <w:rsid w:val="003A235B"/>
    <w:rsid w:val="003A563F"/>
    <w:rsid w:val="003A5FE9"/>
    <w:rsid w:val="003B0443"/>
    <w:rsid w:val="003B48E8"/>
    <w:rsid w:val="003B4FA1"/>
    <w:rsid w:val="003B5144"/>
    <w:rsid w:val="003B60CC"/>
    <w:rsid w:val="003B62F5"/>
    <w:rsid w:val="003B6FA4"/>
    <w:rsid w:val="003C0841"/>
    <w:rsid w:val="003C2C70"/>
    <w:rsid w:val="003C4450"/>
    <w:rsid w:val="003D2F6A"/>
    <w:rsid w:val="003D43C5"/>
    <w:rsid w:val="003D5008"/>
    <w:rsid w:val="003D7833"/>
    <w:rsid w:val="003E01C6"/>
    <w:rsid w:val="003E071D"/>
    <w:rsid w:val="003E1C0A"/>
    <w:rsid w:val="003E3165"/>
    <w:rsid w:val="003E46A0"/>
    <w:rsid w:val="003E637D"/>
    <w:rsid w:val="003E6655"/>
    <w:rsid w:val="003E72E3"/>
    <w:rsid w:val="003F0793"/>
    <w:rsid w:val="003F0F77"/>
    <w:rsid w:val="003F168E"/>
    <w:rsid w:val="003F328F"/>
    <w:rsid w:val="003F3D3B"/>
    <w:rsid w:val="003F536D"/>
    <w:rsid w:val="00403211"/>
    <w:rsid w:val="00403909"/>
    <w:rsid w:val="0040455D"/>
    <w:rsid w:val="00407062"/>
    <w:rsid w:val="0041250F"/>
    <w:rsid w:val="00416BE8"/>
    <w:rsid w:val="00417076"/>
    <w:rsid w:val="00421C5B"/>
    <w:rsid w:val="00422029"/>
    <w:rsid w:val="00427437"/>
    <w:rsid w:val="00427CDE"/>
    <w:rsid w:val="00431371"/>
    <w:rsid w:val="00432BE4"/>
    <w:rsid w:val="00433DAF"/>
    <w:rsid w:val="00434547"/>
    <w:rsid w:val="004351BD"/>
    <w:rsid w:val="00437DCD"/>
    <w:rsid w:val="00441987"/>
    <w:rsid w:val="004428AE"/>
    <w:rsid w:val="00445F01"/>
    <w:rsid w:val="00446362"/>
    <w:rsid w:val="004504E6"/>
    <w:rsid w:val="004533D9"/>
    <w:rsid w:val="004534BD"/>
    <w:rsid w:val="00454028"/>
    <w:rsid w:val="00460135"/>
    <w:rsid w:val="00463ED6"/>
    <w:rsid w:val="004645F2"/>
    <w:rsid w:val="00465041"/>
    <w:rsid w:val="004710EC"/>
    <w:rsid w:val="00471AEE"/>
    <w:rsid w:val="0047210E"/>
    <w:rsid w:val="00473886"/>
    <w:rsid w:val="00473D18"/>
    <w:rsid w:val="004753A7"/>
    <w:rsid w:val="00475711"/>
    <w:rsid w:val="004827FB"/>
    <w:rsid w:val="00482BD6"/>
    <w:rsid w:val="00482EA6"/>
    <w:rsid w:val="00483067"/>
    <w:rsid w:val="00490AF5"/>
    <w:rsid w:val="00494BFB"/>
    <w:rsid w:val="004971CF"/>
    <w:rsid w:val="004A0AC5"/>
    <w:rsid w:val="004A1D71"/>
    <w:rsid w:val="004A27EF"/>
    <w:rsid w:val="004A2B24"/>
    <w:rsid w:val="004A3FD0"/>
    <w:rsid w:val="004A543A"/>
    <w:rsid w:val="004A587C"/>
    <w:rsid w:val="004A6C9D"/>
    <w:rsid w:val="004B1691"/>
    <w:rsid w:val="004B1AED"/>
    <w:rsid w:val="004B3650"/>
    <w:rsid w:val="004B3656"/>
    <w:rsid w:val="004B5052"/>
    <w:rsid w:val="004B7240"/>
    <w:rsid w:val="004C0896"/>
    <w:rsid w:val="004C0F72"/>
    <w:rsid w:val="004C157D"/>
    <w:rsid w:val="004C2393"/>
    <w:rsid w:val="004C325A"/>
    <w:rsid w:val="004C47E4"/>
    <w:rsid w:val="004C5EFD"/>
    <w:rsid w:val="004C713C"/>
    <w:rsid w:val="004D2DCA"/>
    <w:rsid w:val="004D44DA"/>
    <w:rsid w:val="004D4D93"/>
    <w:rsid w:val="004D6228"/>
    <w:rsid w:val="004E09B1"/>
    <w:rsid w:val="004E56D6"/>
    <w:rsid w:val="004E62DB"/>
    <w:rsid w:val="004F0A05"/>
    <w:rsid w:val="004F177A"/>
    <w:rsid w:val="004F32B9"/>
    <w:rsid w:val="004F4BE7"/>
    <w:rsid w:val="004F6046"/>
    <w:rsid w:val="004F629F"/>
    <w:rsid w:val="004F6473"/>
    <w:rsid w:val="00500997"/>
    <w:rsid w:val="005037F4"/>
    <w:rsid w:val="005039DA"/>
    <w:rsid w:val="005052D8"/>
    <w:rsid w:val="00505A6D"/>
    <w:rsid w:val="00505D7F"/>
    <w:rsid w:val="005067A8"/>
    <w:rsid w:val="00510EFB"/>
    <w:rsid w:val="00511BE0"/>
    <w:rsid w:val="00512192"/>
    <w:rsid w:val="00513744"/>
    <w:rsid w:val="00514C9F"/>
    <w:rsid w:val="00515A37"/>
    <w:rsid w:val="00516C9A"/>
    <w:rsid w:val="00520D1C"/>
    <w:rsid w:val="0052109B"/>
    <w:rsid w:val="005228AB"/>
    <w:rsid w:val="00523CE5"/>
    <w:rsid w:val="00524564"/>
    <w:rsid w:val="005254DC"/>
    <w:rsid w:val="005261DC"/>
    <w:rsid w:val="0052729B"/>
    <w:rsid w:val="00532DE9"/>
    <w:rsid w:val="005377EF"/>
    <w:rsid w:val="00541844"/>
    <w:rsid w:val="00543453"/>
    <w:rsid w:val="0055040D"/>
    <w:rsid w:val="005505B7"/>
    <w:rsid w:val="00550BAC"/>
    <w:rsid w:val="00551B86"/>
    <w:rsid w:val="00552355"/>
    <w:rsid w:val="005529ED"/>
    <w:rsid w:val="00552AA9"/>
    <w:rsid w:val="00553353"/>
    <w:rsid w:val="005547E3"/>
    <w:rsid w:val="0055688D"/>
    <w:rsid w:val="00563162"/>
    <w:rsid w:val="005635D8"/>
    <w:rsid w:val="0056549C"/>
    <w:rsid w:val="00565D95"/>
    <w:rsid w:val="0056669F"/>
    <w:rsid w:val="00566F2D"/>
    <w:rsid w:val="00567FEB"/>
    <w:rsid w:val="00570ED8"/>
    <w:rsid w:val="00571047"/>
    <w:rsid w:val="00572F99"/>
    <w:rsid w:val="00573F03"/>
    <w:rsid w:val="00574B93"/>
    <w:rsid w:val="00576EBB"/>
    <w:rsid w:val="00582B81"/>
    <w:rsid w:val="00591483"/>
    <w:rsid w:val="00593DF6"/>
    <w:rsid w:val="0059456B"/>
    <w:rsid w:val="0059768A"/>
    <w:rsid w:val="00597724"/>
    <w:rsid w:val="005977AB"/>
    <w:rsid w:val="005A0AD4"/>
    <w:rsid w:val="005A1192"/>
    <w:rsid w:val="005A18C9"/>
    <w:rsid w:val="005B0807"/>
    <w:rsid w:val="005B099A"/>
    <w:rsid w:val="005B2317"/>
    <w:rsid w:val="005B6BF9"/>
    <w:rsid w:val="005B7D8A"/>
    <w:rsid w:val="005C0E84"/>
    <w:rsid w:val="005C3BD3"/>
    <w:rsid w:val="005C4547"/>
    <w:rsid w:val="005C6938"/>
    <w:rsid w:val="005D38DF"/>
    <w:rsid w:val="005D69FB"/>
    <w:rsid w:val="005E1AE7"/>
    <w:rsid w:val="005E1E4B"/>
    <w:rsid w:val="005E210F"/>
    <w:rsid w:val="005E39FF"/>
    <w:rsid w:val="005E57E1"/>
    <w:rsid w:val="005E73E4"/>
    <w:rsid w:val="005E7681"/>
    <w:rsid w:val="005F042D"/>
    <w:rsid w:val="005F2255"/>
    <w:rsid w:val="005F2D57"/>
    <w:rsid w:val="005F45F6"/>
    <w:rsid w:val="005F6EE6"/>
    <w:rsid w:val="005F70E0"/>
    <w:rsid w:val="005F746A"/>
    <w:rsid w:val="00604961"/>
    <w:rsid w:val="006079CB"/>
    <w:rsid w:val="00607A93"/>
    <w:rsid w:val="00607CCA"/>
    <w:rsid w:val="0061152C"/>
    <w:rsid w:val="006138A0"/>
    <w:rsid w:val="00616432"/>
    <w:rsid w:val="00616C6A"/>
    <w:rsid w:val="00617A26"/>
    <w:rsid w:val="00620857"/>
    <w:rsid w:val="00620AF5"/>
    <w:rsid w:val="00623AFB"/>
    <w:rsid w:val="0062490E"/>
    <w:rsid w:val="00626DD4"/>
    <w:rsid w:val="0062716A"/>
    <w:rsid w:val="00627BA6"/>
    <w:rsid w:val="00631E87"/>
    <w:rsid w:val="00632322"/>
    <w:rsid w:val="00632FCD"/>
    <w:rsid w:val="0063472D"/>
    <w:rsid w:val="00634FB3"/>
    <w:rsid w:val="0063505B"/>
    <w:rsid w:val="00641082"/>
    <w:rsid w:val="00641C70"/>
    <w:rsid w:val="00643269"/>
    <w:rsid w:val="00643B3B"/>
    <w:rsid w:val="00644127"/>
    <w:rsid w:val="006466B2"/>
    <w:rsid w:val="00652D87"/>
    <w:rsid w:val="006547FD"/>
    <w:rsid w:val="00656747"/>
    <w:rsid w:val="00660A1E"/>
    <w:rsid w:val="00660BDF"/>
    <w:rsid w:val="006628DC"/>
    <w:rsid w:val="00663B97"/>
    <w:rsid w:val="006653E8"/>
    <w:rsid w:val="0066776A"/>
    <w:rsid w:val="00671AE4"/>
    <w:rsid w:val="0067363F"/>
    <w:rsid w:val="00674338"/>
    <w:rsid w:val="006769AF"/>
    <w:rsid w:val="00677340"/>
    <w:rsid w:val="00677CFF"/>
    <w:rsid w:val="00680246"/>
    <w:rsid w:val="00681D7C"/>
    <w:rsid w:val="00683FF6"/>
    <w:rsid w:val="00690652"/>
    <w:rsid w:val="0069367B"/>
    <w:rsid w:val="00693BBF"/>
    <w:rsid w:val="006958AC"/>
    <w:rsid w:val="006966BA"/>
    <w:rsid w:val="006A0635"/>
    <w:rsid w:val="006A518F"/>
    <w:rsid w:val="006A5845"/>
    <w:rsid w:val="006A63E2"/>
    <w:rsid w:val="006A6DF2"/>
    <w:rsid w:val="006B07FA"/>
    <w:rsid w:val="006B1210"/>
    <w:rsid w:val="006B29EA"/>
    <w:rsid w:val="006C0877"/>
    <w:rsid w:val="006C111C"/>
    <w:rsid w:val="006C54BB"/>
    <w:rsid w:val="006D036F"/>
    <w:rsid w:val="006D0661"/>
    <w:rsid w:val="006D0668"/>
    <w:rsid w:val="006D0DDF"/>
    <w:rsid w:val="006D12A3"/>
    <w:rsid w:val="006D1F8C"/>
    <w:rsid w:val="006D35C2"/>
    <w:rsid w:val="006D3970"/>
    <w:rsid w:val="006D439C"/>
    <w:rsid w:val="006D5585"/>
    <w:rsid w:val="006D58A4"/>
    <w:rsid w:val="006D6604"/>
    <w:rsid w:val="006D7C4A"/>
    <w:rsid w:val="006E013C"/>
    <w:rsid w:val="006E313B"/>
    <w:rsid w:val="006E4B19"/>
    <w:rsid w:val="006F46BD"/>
    <w:rsid w:val="006F5192"/>
    <w:rsid w:val="006F64DF"/>
    <w:rsid w:val="006F6C63"/>
    <w:rsid w:val="00701164"/>
    <w:rsid w:val="007024A2"/>
    <w:rsid w:val="00703C63"/>
    <w:rsid w:val="007128B8"/>
    <w:rsid w:val="00713786"/>
    <w:rsid w:val="00713C5F"/>
    <w:rsid w:val="007211E4"/>
    <w:rsid w:val="00721955"/>
    <w:rsid w:val="007239A3"/>
    <w:rsid w:val="00723ECA"/>
    <w:rsid w:val="00724233"/>
    <w:rsid w:val="00724802"/>
    <w:rsid w:val="0072568E"/>
    <w:rsid w:val="007261E6"/>
    <w:rsid w:val="007264DF"/>
    <w:rsid w:val="00727074"/>
    <w:rsid w:val="007309B3"/>
    <w:rsid w:val="00734197"/>
    <w:rsid w:val="007349F5"/>
    <w:rsid w:val="00735C43"/>
    <w:rsid w:val="00736D01"/>
    <w:rsid w:val="007404F6"/>
    <w:rsid w:val="00740A0D"/>
    <w:rsid w:val="007411C3"/>
    <w:rsid w:val="00742854"/>
    <w:rsid w:val="00742868"/>
    <w:rsid w:val="00747308"/>
    <w:rsid w:val="00752050"/>
    <w:rsid w:val="00752F22"/>
    <w:rsid w:val="00754062"/>
    <w:rsid w:val="007543D5"/>
    <w:rsid w:val="007578CE"/>
    <w:rsid w:val="00757E76"/>
    <w:rsid w:val="007601FC"/>
    <w:rsid w:val="00761CC8"/>
    <w:rsid w:val="007654AC"/>
    <w:rsid w:val="00765E92"/>
    <w:rsid w:val="00765F42"/>
    <w:rsid w:val="00770887"/>
    <w:rsid w:val="007735D0"/>
    <w:rsid w:val="007736D1"/>
    <w:rsid w:val="00774828"/>
    <w:rsid w:val="007764F3"/>
    <w:rsid w:val="007765C0"/>
    <w:rsid w:val="007810E4"/>
    <w:rsid w:val="00782C34"/>
    <w:rsid w:val="007830E7"/>
    <w:rsid w:val="007839EA"/>
    <w:rsid w:val="007904D8"/>
    <w:rsid w:val="00790D77"/>
    <w:rsid w:val="0079192F"/>
    <w:rsid w:val="00791A91"/>
    <w:rsid w:val="00792850"/>
    <w:rsid w:val="00793085"/>
    <w:rsid w:val="00796B51"/>
    <w:rsid w:val="007974DD"/>
    <w:rsid w:val="007A311B"/>
    <w:rsid w:val="007A385A"/>
    <w:rsid w:val="007A42D2"/>
    <w:rsid w:val="007A571D"/>
    <w:rsid w:val="007A63A8"/>
    <w:rsid w:val="007A7361"/>
    <w:rsid w:val="007A7871"/>
    <w:rsid w:val="007B3222"/>
    <w:rsid w:val="007B3A76"/>
    <w:rsid w:val="007B3E05"/>
    <w:rsid w:val="007B5866"/>
    <w:rsid w:val="007B74F0"/>
    <w:rsid w:val="007B7CDE"/>
    <w:rsid w:val="007B7F48"/>
    <w:rsid w:val="007B7F6A"/>
    <w:rsid w:val="007C3ED3"/>
    <w:rsid w:val="007D3A24"/>
    <w:rsid w:val="007D679F"/>
    <w:rsid w:val="007D6D37"/>
    <w:rsid w:val="007E01C5"/>
    <w:rsid w:val="007E01D3"/>
    <w:rsid w:val="007E2484"/>
    <w:rsid w:val="007E4CA2"/>
    <w:rsid w:val="007E60D7"/>
    <w:rsid w:val="007E76C4"/>
    <w:rsid w:val="007E7D70"/>
    <w:rsid w:val="007F11CE"/>
    <w:rsid w:val="007F281A"/>
    <w:rsid w:val="007F5E85"/>
    <w:rsid w:val="007F5E95"/>
    <w:rsid w:val="007F621C"/>
    <w:rsid w:val="00800BC0"/>
    <w:rsid w:val="00800DD1"/>
    <w:rsid w:val="0080418E"/>
    <w:rsid w:val="008054E3"/>
    <w:rsid w:val="00810232"/>
    <w:rsid w:val="0081294C"/>
    <w:rsid w:val="00812D23"/>
    <w:rsid w:val="00813D25"/>
    <w:rsid w:val="00816160"/>
    <w:rsid w:val="00823A71"/>
    <w:rsid w:val="00823D7C"/>
    <w:rsid w:val="00824A9E"/>
    <w:rsid w:val="008251FE"/>
    <w:rsid w:val="00825243"/>
    <w:rsid w:val="008260C3"/>
    <w:rsid w:val="008318D0"/>
    <w:rsid w:val="008320AF"/>
    <w:rsid w:val="0083579E"/>
    <w:rsid w:val="008359D4"/>
    <w:rsid w:val="0084178E"/>
    <w:rsid w:val="0084250A"/>
    <w:rsid w:val="00842528"/>
    <w:rsid w:val="00842BD6"/>
    <w:rsid w:val="00843F15"/>
    <w:rsid w:val="00851338"/>
    <w:rsid w:val="008520BC"/>
    <w:rsid w:val="00852F62"/>
    <w:rsid w:val="008532A2"/>
    <w:rsid w:val="00855F42"/>
    <w:rsid w:val="00857D60"/>
    <w:rsid w:val="008605C0"/>
    <w:rsid w:val="00860D6E"/>
    <w:rsid w:val="00864BDD"/>
    <w:rsid w:val="00864D2A"/>
    <w:rsid w:val="0086564D"/>
    <w:rsid w:val="00866155"/>
    <w:rsid w:val="0086757E"/>
    <w:rsid w:val="00867DF3"/>
    <w:rsid w:val="0087217F"/>
    <w:rsid w:val="00872B09"/>
    <w:rsid w:val="008776D9"/>
    <w:rsid w:val="00881CD9"/>
    <w:rsid w:val="008825EE"/>
    <w:rsid w:val="00890BBD"/>
    <w:rsid w:val="00892878"/>
    <w:rsid w:val="0089348A"/>
    <w:rsid w:val="00894A66"/>
    <w:rsid w:val="00895784"/>
    <w:rsid w:val="00895ADD"/>
    <w:rsid w:val="008A046A"/>
    <w:rsid w:val="008A1378"/>
    <w:rsid w:val="008A4C20"/>
    <w:rsid w:val="008A64C0"/>
    <w:rsid w:val="008A7C3D"/>
    <w:rsid w:val="008B4A2E"/>
    <w:rsid w:val="008B7610"/>
    <w:rsid w:val="008C11EC"/>
    <w:rsid w:val="008C2969"/>
    <w:rsid w:val="008C4E3C"/>
    <w:rsid w:val="008C541D"/>
    <w:rsid w:val="008C578B"/>
    <w:rsid w:val="008C7A78"/>
    <w:rsid w:val="008D194E"/>
    <w:rsid w:val="008D38F2"/>
    <w:rsid w:val="008D4476"/>
    <w:rsid w:val="008D44B0"/>
    <w:rsid w:val="008D5A25"/>
    <w:rsid w:val="008E0128"/>
    <w:rsid w:val="008E0FDE"/>
    <w:rsid w:val="008E1885"/>
    <w:rsid w:val="008F0C5D"/>
    <w:rsid w:val="008F2310"/>
    <w:rsid w:val="008F40C7"/>
    <w:rsid w:val="008F5B61"/>
    <w:rsid w:val="008F7446"/>
    <w:rsid w:val="008F76FF"/>
    <w:rsid w:val="008F7936"/>
    <w:rsid w:val="009014C0"/>
    <w:rsid w:val="0090283B"/>
    <w:rsid w:val="00902B72"/>
    <w:rsid w:val="00902D9B"/>
    <w:rsid w:val="00904515"/>
    <w:rsid w:val="00905DE0"/>
    <w:rsid w:val="00906CC5"/>
    <w:rsid w:val="00907334"/>
    <w:rsid w:val="00907C34"/>
    <w:rsid w:val="00910CAE"/>
    <w:rsid w:val="00915849"/>
    <w:rsid w:val="00920592"/>
    <w:rsid w:val="00922C57"/>
    <w:rsid w:val="00923C95"/>
    <w:rsid w:val="00927CBF"/>
    <w:rsid w:val="00930C84"/>
    <w:rsid w:val="00931031"/>
    <w:rsid w:val="009337FF"/>
    <w:rsid w:val="0093497C"/>
    <w:rsid w:val="009350A3"/>
    <w:rsid w:val="00937A35"/>
    <w:rsid w:val="00940959"/>
    <w:rsid w:val="00942C84"/>
    <w:rsid w:val="009470C6"/>
    <w:rsid w:val="00947EDE"/>
    <w:rsid w:val="00951D6F"/>
    <w:rsid w:val="00953F56"/>
    <w:rsid w:val="00954442"/>
    <w:rsid w:val="0095691C"/>
    <w:rsid w:val="00957DB1"/>
    <w:rsid w:val="009605AD"/>
    <w:rsid w:val="00961C7F"/>
    <w:rsid w:val="00962FD0"/>
    <w:rsid w:val="00966FB7"/>
    <w:rsid w:val="00967DA7"/>
    <w:rsid w:val="00972582"/>
    <w:rsid w:val="00972E4D"/>
    <w:rsid w:val="009752F0"/>
    <w:rsid w:val="0097594D"/>
    <w:rsid w:val="00975FA2"/>
    <w:rsid w:val="009760C7"/>
    <w:rsid w:val="00977851"/>
    <w:rsid w:val="00977DAA"/>
    <w:rsid w:val="00980D3B"/>
    <w:rsid w:val="0098218A"/>
    <w:rsid w:val="009859A6"/>
    <w:rsid w:val="009860D4"/>
    <w:rsid w:val="00986FD4"/>
    <w:rsid w:val="00987A6C"/>
    <w:rsid w:val="0099096E"/>
    <w:rsid w:val="00992B0E"/>
    <w:rsid w:val="009937D5"/>
    <w:rsid w:val="00997C60"/>
    <w:rsid w:val="009A1E6C"/>
    <w:rsid w:val="009A2860"/>
    <w:rsid w:val="009A2A01"/>
    <w:rsid w:val="009A3876"/>
    <w:rsid w:val="009B0995"/>
    <w:rsid w:val="009B1259"/>
    <w:rsid w:val="009B51CF"/>
    <w:rsid w:val="009C0999"/>
    <w:rsid w:val="009C126C"/>
    <w:rsid w:val="009C19CF"/>
    <w:rsid w:val="009C27A4"/>
    <w:rsid w:val="009D1BCA"/>
    <w:rsid w:val="009D52A6"/>
    <w:rsid w:val="009D6FD7"/>
    <w:rsid w:val="009D7EA4"/>
    <w:rsid w:val="009E0155"/>
    <w:rsid w:val="009E01B7"/>
    <w:rsid w:val="009E6ECD"/>
    <w:rsid w:val="009E7061"/>
    <w:rsid w:val="009E7854"/>
    <w:rsid w:val="009F2293"/>
    <w:rsid w:val="009F5974"/>
    <w:rsid w:val="009F6B9A"/>
    <w:rsid w:val="00A035F4"/>
    <w:rsid w:val="00A0394C"/>
    <w:rsid w:val="00A041C6"/>
    <w:rsid w:val="00A061AD"/>
    <w:rsid w:val="00A0629F"/>
    <w:rsid w:val="00A071D9"/>
    <w:rsid w:val="00A108D9"/>
    <w:rsid w:val="00A11593"/>
    <w:rsid w:val="00A12E98"/>
    <w:rsid w:val="00A167C6"/>
    <w:rsid w:val="00A1744F"/>
    <w:rsid w:val="00A22F62"/>
    <w:rsid w:val="00A23466"/>
    <w:rsid w:val="00A2469E"/>
    <w:rsid w:val="00A24720"/>
    <w:rsid w:val="00A259B3"/>
    <w:rsid w:val="00A27344"/>
    <w:rsid w:val="00A278BB"/>
    <w:rsid w:val="00A30533"/>
    <w:rsid w:val="00A312AF"/>
    <w:rsid w:val="00A32492"/>
    <w:rsid w:val="00A32887"/>
    <w:rsid w:val="00A3376A"/>
    <w:rsid w:val="00A3562B"/>
    <w:rsid w:val="00A35BDF"/>
    <w:rsid w:val="00A35EF8"/>
    <w:rsid w:val="00A362DD"/>
    <w:rsid w:val="00A36C92"/>
    <w:rsid w:val="00A41902"/>
    <w:rsid w:val="00A42AD0"/>
    <w:rsid w:val="00A444A5"/>
    <w:rsid w:val="00A45F50"/>
    <w:rsid w:val="00A4731A"/>
    <w:rsid w:val="00A527EC"/>
    <w:rsid w:val="00A548E2"/>
    <w:rsid w:val="00A54C06"/>
    <w:rsid w:val="00A55267"/>
    <w:rsid w:val="00A617C0"/>
    <w:rsid w:val="00A62483"/>
    <w:rsid w:val="00A63B1D"/>
    <w:rsid w:val="00A63E5F"/>
    <w:rsid w:val="00A65EA8"/>
    <w:rsid w:val="00A70499"/>
    <w:rsid w:val="00A71F18"/>
    <w:rsid w:val="00A730CA"/>
    <w:rsid w:val="00A74CC4"/>
    <w:rsid w:val="00A7546F"/>
    <w:rsid w:val="00A755B0"/>
    <w:rsid w:val="00A81B8F"/>
    <w:rsid w:val="00A81F71"/>
    <w:rsid w:val="00A93063"/>
    <w:rsid w:val="00A939FD"/>
    <w:rsid w:val="00A94194"/>
    <w:rsid w:val="00A96ABD"/>
    <w:rsid w:val="00AA0017"/>
    <w:rsid w:val="00AA03D4"/>
    <w:rsid w:val="00AA20C3"/>
    <w:rsid w:val="00AA291F"/>
    <w:rsid w:val="00AA30AD"/>
    <w:rsid w:val="00AA3799"/>
    <w:rsid w:val="00AA38D5"/>
    <w:rsid w:val="00AA3D6C"/>
    <w:rsid w:val="00AA3D7A"/>
    <w:rsid w:val="00AA49A0"/>
    <w:rsid w:val="00AA4B9B"/>
    <w:rsid w:val="00AA6811"/>
    <w:rsid w:val="00AA75F5"/>
    <w:rsid w:val="00AB2AF4"/>
    <w:rsid w:val="00AB6C5E"/>
    <w:rsid w:val="00AB75FA"/>
    <w:rsid w:val="00AC0204"/>
    <w:rsid w:val="00AC5406"/>
    <w:rsid w:val="00AD16A8"/>
    <w:rsid w:val="00AD2FD8"/>
    <w:rsid w:val="00AD7501"/>
    <w:rsid w:val="00AE0F7C"/>
    <w:rsid w:val="00AE31B5"/>
    <w:rsid w:val="00AE3223"/>
    <w:rsid w:val="00AE34D4"/>
    <w:rsid w:val="00AE3C69"/>
    <w:rsid w:val="00AE4804"/>
    <w:rsid w:val="00AE4819"/>
    <w:rsid w:val="00AE6FA5"/>
    <w:rsid w:val="00AE721A"/>
    <w:rsid w:val="00AF0742"/>
    <w:rsid w:val="00AF2D64"/>
    <w:rsid w:val="00AF3143"/>
    <w:rsid w:val="00AF7E34"/>
    <w:rsid w:val="00B0137C"/>
    <w:rsid w:val="00B01832"/>
    <w:rsid w:val="00B02F61"/>
    <w:rsid w:val="00B06732"/>
    <w:rsid w:val="00B068E6"/>
    <w:rsid w:val="00B115C7"/>
    <w:rsid w:val="00B1377B"/>
    <w:rsid w:val="00B144A5"/>
    <w:rsid w:val="00B15339"/>
    <w:rsid w:val="00B177DB"/>
    <w:rsid w:val="00B21A0C"/>
    <w:rsid w:val="00B224BD"/>
    <w:rsid w:val="00B22DAB"/>
    <w:rsid w:val="00B26E65"/>
    <w:rsid w:val="00B305E9"/>
    <w:rsid w:val="00B316A8"/>
    <w:rsid w:val="00B33A7C"/>
    <w:rsid w:val="00B34D6E"/>
    <w:rsid w:val="00B35B2F"/>
    <w:rsid w:val="00B3694B"/>
    <w:rsid w:val="00B37F6E"/>
    <w:rsid w:val="00B45297"/>
    <w:rsid w:val="00B453B6"/>
    <w:rsid w:val="00B469F9"/>
    <w:rsid w:val="00B46A17"/>
    <w:rsid w:val="00B50934"/>
    <w:rsid w:val="00B518E7"/>
    <w:rsid w:val="00B5234A"/>
    <w:rsid w:val="00B52EFA"/>
    <w:rsid w:val="00B546D7"/>
    <w:rsid w:val="00B602C1"/>
    <w:rsid w:val="00B6067D"/>
    <w:rsid w:val="00B61507"/>
    <w:rsid w:val="00B62878"/>
    <w:rsid w:val="00B64948"/>
    <w:rsid w:val="00B65B3D"/>
    <w:rsid w:val="00B65C64"/>
    <w:rsid w:val="00B65D8C"/>
    <w:rsid w:val="00B73D94"/>
    <w:rsid w:val="00B75816"/>
    <w:rsid w:val="00B768E5"/>
    <w:rsid w:val="00B77CE2"/>
    <w:rsid w:val="00B8064D"/>
    <w:rsid w:val="00B80EE1"/>
    <w:rsid w:val="00B84517"/>
    <w:rsid w:val="00B847B6"/>
    <w:rsid w:val="00B84D16"/>
    <w:rsid w:val="00B85728"/>
    <w:rsid w:val="00B858A1"/>
    <w:rsid w:val="00B870FA"/>
    <w:rsid w:val="00B87A1B"/>
    <w:rsid w:val="00B87BF0"/>
    <w:rsid w:val="00B91F2C"/>
    <w:rsid w:val="00B960AC"/>
    <w:rsid w:val="00B96523"/>
    <w:rsid w:val="00B975A6"/>
    <w:rsid w:val="00B97DA1"/>
    <w:rsid w:val="00BA0815"/>
    <w:rsid w:val="00BA113B"/>
    <w:rsid w:val="00BA1710"/>
    <w:rsid w:val="00BA1B65"/>
    <w:rsid w:val="00BA1EB3"/>
    <w:rsid w:val="00BA382D"/>
    <w:rsid w:val="00BA570D"/>
    <w:rsid w:val="00BA589B"/>
    <w:rsid w:val="00BA5ADB"/>
    <w:rsid w:val="00BA60F2"/>
    <w:rsid w:val="00BA7A51"/>
    <w:rsid w:val="00BA7ADF"/>
    <w:rsid w:val="00BA7B54"/>
    <w:rsid w:val="00BB0E31"/>
    <w:rsid w:val="00BB27DB"/>
    <w:rsid w:val="00BB674E"/>
    <w:rsid w:val="00BC1F7D"/>
    <w:rsid w:val="00BC335E"/>
    <w:rsid w:val="00BC5D53"/>
    <w:rsid w:val="00BD0CC6"/>
    <w:rsid w:val="00BD0D1D"/>
    <w:rsid w:val="00BD0E4F"/>
    <w:rsid w:val="00BD3874"/>
    <w:rsid w:val="00BD47A0"/>
    <w:rsid w:val="00BD5FB3"/>
    <w:rsid w:val="00BD6527"/>
    <w:rsid w:val="00BD6BB1"/>
    <w:rsid w:val="00BD733C"/>
    <w:rsid w:val="00BD7C5F"/>
    <w:rsid w:val="00BE0A85"/>
    <w:rsid w:val="00BE295E"/>
    <w:rsid w:val="00BF080E"/>
    <w:rsid w:val="00BF1CBD"/>
    <w:rsid w:val="00BF56AA"/>
    <w:rsid w:val="00BF6710"/>
    <w:rsid w:val="00BF73CE"/>
    <w:rsid w:val="00BF7922"/>
    <w:rsid w:val="00C00CDC"/>
    <w:rsid w:val="00C03D81"/>
    <w:rsid w:val="00C101C2"/>
    <w:rsid w:val="00C12483"/>
    <w:rsid w:val="00C13186"/>
    <w:rsid w:val="00C15A61"/>
    <w:rsid w:val="00C1775D"/>
    <w:rsid w:val="00C209AB"/>
    <w:rsid w:val="00C218CA"/>
    <w:rsid w:val="00C22B96"/>
    <w:rsid w:val="00C24DCE"/>
    <w:rsid w:val="00C25407"/>
    <w:rsid w:val="00C25531"/>
    <w:rsid w:val="00C2570C"/>
    <w:rsid w:val="00C2657C"/>
    <w:rsid w:val="00C31BDB"/>
    <w:rsid w:val="00C33AE9"/>
    <w:rsid w:val="00C351EC"/>
    <w:rsid w:val="00C352A7"/>
    <w:rsid w:val="00C35B5B"/>
    <w:rsid w:val="00C35B89"/>
    <w:rsid w:val="00C35C0F"/>
    <w:rsid w:val="00C36B97"/>
    <w:rsid w:val="00C36C48"/>
    <w:rsid w:val="00C36F66"/>
    <w:rsid w:val="00C415BB"/>
    <w:rsid w:val="00C41E08"/>
    <w:rsid w:val="00C42CD3"/>
    <w:rsid w:val="00C4317E"/>
    <w:rsid w:val="00C434BF"/>
    <w:rsid w:val="00C467CA"/>
    <w:rsid w:val="00C4754D"/>
    <w:rsid w:val="00C503D1"/>
    <w:rsid w:val="00C51670"/>
    <w:rsid w:val="00C52D17"/>
    <w:rsid w:val="00C53325"/>
    <w:rsid w:val="00C57900"/>
    <w:rsid w:val="00C6128D"/>
    <w:rsid w:val="00C617DE"/>
    <w:rsid w:val="00C61F09"/>
    <w:rsid w:val="00C63291"/>
    <w:rsid w:val="00C6466E"/>
    <w:rsid w:val="00C65B19"/>
    <w:rsid w:val="00C66AA1"/>
    <w:rsid w:val="00C70080"/>
    <w:rsid w:val="00C701FC"/>
    <w:rsid w:val="00C7077E"/>
    <w:rsid w:val="00C730E3"/>
    <w:rsid w:val="00C73B03"/>
    <w:rsid w:val="00C74BDB"/>
    <w:rsid w:val="00C766EF"/>
    <w:rsid w:val="00C76864"/>
    <w:rsid w:val="00C807E2"/>
    <w:rsid w:val="00C81536"/>
    <w:rsid w:val="00C81575"/>
    <w:rsid w:val="00C81702"/>
    <w:rsid w:val="00C8331C"/>
    <w:rsid w:val="00C83AA9"/>
    <w:rsid w:val="00C87922"/>
    <w:rsid w:val="00C9065C"/>
    <w:rsid w:val="00C9316E"/>
    <w:rsid w:val="00C94382"/>
    <w:rsid w:val="00C94C26"/>
    <w:rsid w:val="00C95EFA"/>
    <w:rsid w:val="00C96211"/>
    <w:rsid w:val="00C96E29"/>
    <w:rsid w:val="00CA04B2"/>
    <w:rsid w:val="00CA083B"/>
    <w:rsid w:val="00CA0AB1"/>
    <w:rsid w:val="00CA3E80"/>
    <w:rsid w:val="00CA45FA"/>
    <w:rsid w:val="00CA4D82"/>
    <w:rsid w:val="00CA5312"/>
    <w:rsid w:val="00CB5AFB"/>
    <w:rsid w:val="00CC3A3A"/>
    <w:rsid w:val="00CC5A3F"/>
    <w:rsid w:val="00CC63B4"/>
    <w:rsid w:val="00CC76E9"/>
    <w:rsid w:val="00CD1D25"/>
    <w:rsid w:val="00CD1F04"/>
    <w:rsid w:val="00CD23EE"/>
    <w:rsid w:val="00CD2E54"/>
    <w:rsid w:val="00CD3135"/>
    <w:rsid w:val="00CD410D"/>
    <w:rsid w:val="00CD4F03"/>
    <w:rsid w:val="00CD4F2B"/>
    <w:rsid w:val="00CD5011"/>
    <w:rsid w:val="00CD64A2"/>
    <w:rsid w:val="00CE0BF8"/>
    <w:rsid w:val="00CE2295"/>
    <w:rsid w:val="00CE4DD5"/>
    <w:rsid w:val="00CE5D9F"/>
    <w:rsid w:val="00CE6631"/>
    <w:rsid w:val="00CF09DD"/>
    <w:rsid w:val="00CF2EF1"/>
    <w:rsid w:val="00CF4815"/>
    <w:rsid w:val="00CF5135"/>
    <w:rsid w:val="00CF5BAB"/>
    <w:rsid w:val="00CF5DD0"/>
    <w:rsid w:val="00CF6383"/>
    <w:rsid w:val="00D01676"/>
    <w:rsid w:val="00D0228F"/>
    <w:rsid w:val="00D025AD"/>
    <w:rsid w:val="00D05B14"/>
    <w:rsid w:val="00D11161"/>
    <w:rsid w:val="00D11380"/>
    <w:rsid w:val="00D11734"/>
    <w:rsid w:val="00D12176"/>
    <w:rsid w:val="00D1254E"/>
    <w:rsid w:val="00D13AC2"/>
    <w:rsid w:val="00D141B2"/>
    <w:rsid w:val="00D1428B"/>
    <w:rsid w:val="00D16012"/>
    <w:rsid w:val="00D20640"/>
    <w:rsid w:val="00D219F2"/>
    <w:rsid w:val="00D25F1D"/>
    <w:rsid w:val="00D269C0"/>
    <w:rsid w:val="00D274EB"/>
    <w:rsid w:val="00D309B7"/>
    <w:rsid w:val="00D309C4"/>
    <w:rsid w:val="00D3310B"/>
    <w:rsid w:val="00D339DD"/>
    <w:rsid w:val="00D343BC"/>
    <w:rsid w:val="00D354F7"/>
    <w:rsid w:val="00D35BBB"/>
    <w:rsid w:val="00D40507"/>
    <w:rsid w:val="00D41752"/>
    <w:rsid w:val="00D43323"/>
    <w:rsid w:val="00D441BE"/>
    <w:rsid w:val="00D468A0"/>
    <w:rsid w:val="00D507B6"/>
    <w:rsid w:val="00D51292"/>
    <w:rsid w:val="00D52A24"/>
    <w:rsid w:val="00D54129"/>
    <w:rsid w:val="00D562BA"/>
    <w:rsid w:val="00D57154"/>
    <w:rsid w:val="00D601D4"/>
    <w:rsid w:val="00D6448A"/>
    <w:rsid w:val="00D75A66"/>
    <w:rsid w:val="00D77705"/>
    <w:rsid w:val="00D84233"/>
    <w:rsid w:val="00D85752"/>
    <w:rsid w:val="00D8651D"/>
    <w:rsid w:val="00D86894"/>
    <w:rsid w:val="00D91E28"/>
    <w:rsid w:val="00D9298C"/>
    <w:rsid w:val="00D93933"/>
    <w:rsid w:val="00D93DEF"/>
    <w:rsid w:val="00D958A6"/>
    <w:rsid w:val="00D96DE4"/>
    <w:rsid w:val="00D97927"/>
    <w:rsid w:val="00D97FD8"/>
    <w:rsid w:val="00DA03E3"/>
    <w:rsid w:val="00DA06A3"/>
    <w:rsid w:val="00DA1355"/>
    <w:rsid w:val="00DA47A8"/>
    <w:rsid w:val="00DA62DB"/>
    <w:rsid w:val="00DA76AC"/>
    <w:rsid w:val="00DA7862"/>
    <w:rsid w:val="00DB2150"/>
    <w:rsid w:val="00DB455D"/>
    <w:rsid w:val="00DB56E1"/>
    <w:rsid w:val="00DB78C7"/>
    <w:rsid w:val="00DC1748"/>
    <w:rsid w:val="00DC186E"/>
    <w:rsid w:val="00DC1C28"/>
    <w:rsid w:val="00DC2308"/>
    <w:rsid w:val="00DC24BC"/>
    <w:rsid w:val="00DC3B0A"/>
    <w:rsid w:val="00DC4172"/>
    <w:rsid w:val="00DC5BE0"/>
    <w:rsid w:val="00DC5CFF"/>
    <w:rsid w:val="00DC6669"/>
    <w:rsid w:val="00DC6D5E"/>
    <w:rsid w:val="00DD06DB"/>
    <w:rsid w:val="00DD11A0"/>
    <w:rsid w:val="00DD5C34"/>
    <w:rsid w:val="00DD665F"/>
    <w:rsid w:val="00DE135E"/>
    <w:rsid w:val="00DE18AF"/>
    <w:rsid w:val="00DE2DAA"/>
    <w:rsid w:val="00DE319E"/>
    <w:rsid w:val="00DE4093"/>
    <w:rsid w:val="00DE558B"/>
    <w:rsid w:val="00DE625E"/>
    <w:rsid w:val="00DF09E3"/>
    <w:rsid w:val="00DF1081"/>
    <w:rsid w:val="00DF23FC"/>
    <w:rsid w:val="00DF52EC"/>
    <w:rsid w:val="00DF5EC8"/>
    <w:rsid w:val="00DF6270"/>
    <w:rsid w:val="00E00C0D"/>
    <w:rsid w:val="00E0225B"/>
    <w:rsid w:val="00E0273A"/>
    <w:rsid w:val="00E12B26"/>
    <w:rsid w:val="00E13A52"/>
    <w:rsid w:val="00E14A71"/>
    <w:rsid w:val="00E22C08"/>
    <w:rsid w:val="00E233AF"/>
    <w:rsid w:val="00E23A58"/>
    <w:rsid w:val="00E23CB9"/>
    <w:rsid w:val="00E27A30"/>
    <w:rsid w:val="00E316F7"/>
    <w:rsid w:val="00E3192A"/>
    <w:rsid w:val="00E31BA7"/>
    <w:rsid w:val="00E32AE1"/>
    <w:rsid w:val="00E32BCC"/>
    <w:rsid w:val="00E353BF"/>
    <w:rsid w:val="00E41BBF"/>
    <w:rsid w:val="00E42334"/>
    <w:rsid w:val="00E43450"/>
    <w:rsid w:val="00E540B3"/>
    <w:rsid w:val="00E545F4"/>
    <w:rsid w:val="00E5586D"/>
    <w:rsid w:val="00E60B15"/>
    <w:rsid w:val="00E60B4D"/>
    <w:rsid w:val="00E61CC9"/>
    <w:rsid w:val="00E61FE9"/>
    <w:rsid w:val="00E638BE"/>
    <w:rsid w:val="00E642D6"/>
    <w:rsid w:val="00E66437"/>
    <w:rsid w:val="00E6645F"/>
    <w:rsid w:val="00E70952"/>
    <w:rsid w:val="00E738C4"/>
    <w:rsid w:val="00E763BE"/>
    <w:rsid w:val="00E80430"/>
    <w:rsid w:val="00E8127C"/>
    <w:rsid w:val="00E8154F"/>
    <w:rsid w:val="00E81CCF"/>
    <w:rsid w:val="00E847B0"/>
    <w:rsid w:val="00E87CD0"/>
    <w:rsid w:val="00E909E4"/>
    <w:rsid w:val="00E90EBF"/>
    <w:rsid w:val="00E94901"/>
    <w:rsid w:val="00E949BB"/>
    <w:rsid w:val="00E96F90"/>
    <w:rsid w:val="00E97C12"/>
    <w:rsid w:val="00EA2DED"/>
    <w:rsid w:val="00EA3A0F"/>
    <w:rsid w:val="00EA3AF8"/>
    <w:rsid w:val="00EA3E19"/>
    <w:rsid w:val="00EA53AD"/>
    <w:rsid w:val="00EA721A"/>
    <w:rsid w:val="00EA783E"/>
    <w:rsid w:val="00EB0E5F"/>
    <w:rsid w:val="00EB1D46"/>
    <w:rsid w:val="00EC14BC"/>
    <w:rsid w:val="00EC2EC9"/>
    <w:rsid w:val="00EC6C3F"/>
    <w:rsid w:val="00EC6D3B"/>
    <w:rsid w:val="00ED009D"/>
    <w:rsid w:val="00ED2118"/>
    <w:rsid w:val="00ED3330"/>
    <w:rsid w:val="00ED46C9"/>
    <w:rsid w:val="00ED4F7D"/>
    <w:rsid w:val="00ED5965"/>
    <w:rsid w:val="00ED6455"/>
    <w:rsid w:val="00ED69B8"/>
    <w:rsid w:val="00ED6D03"/>
    <w:rsid w:val="00EE3A36"/>
    <w:rsid w:val="00EE7705"/>
    <w:rsid w:val="00EF19C0"/>
    <w:rsid w:val="00EF443F"/>
    <w:rsid w:val="00EF4573"/>
    <w:rsid w:val="00EF5770"/>
    <w:rsid w:val="00EF5A0B"/>
    <w:rsid w:val="00EF68ED"/>
    <w:rsid w:val="00F00610"/>
    <w:rsid w:val="00F00AEA"/>
    <w:rsid w:val="00F025AF"/>
    <w:rsid w:val="00F03FB1"/>
    <w:rsid w:val="00F041B0"/>
    <w:rsid w:val="00F05594"/>
    <w:rsid w:val="00F06972"/>
    <w:rsid w:val="00F10AA1"/>
    <w:rsid w:val="00F11765"/>
    <w:rsid w:val="00F138F5"/>
    <w:rsid w:val="00F14BFB"/>
    <w:rsid w:val="00F14E7C"/>
    <w:rsid w:val="00F15029"/>
    <w:rsid w:val="00F15403"/>
    <w:rsid w:val="00F15418"/>
    <w:rsid w:val="00F24EA7"/>
    <w:rsid w:val="00F25281"/>
    <w:rsid w:val="00F254FF"/>
    <w:rsid w:val="00F276FB"/>
    <w:rsid w:val="00F278D7"/>
    <w:rsid w:val="00F3430E"/>
    <w:rsid w:val="00F34332"/>
    <w:rsid w:val="00F37E85"/>
    <w:rsid w:val="00F41D54"/>
    <w:rsid w:val="00F44174"/>
    <w:rsid w:val="00F450C7"/>
    <w:rsid w:val="00F46343"/>
    <w:rsid w:val="00F4710D"/>
    <w:rsid w:val="00F52163"/>
    <w:rsid w:val="00F52E32"/>
    <w:rsid w:val="00F544E5"/>
    <w:rsid w:val="00F54A18"/>
    <w:rsid w:val="00F54F8C"/>
    <w:rsid w:val="00F56BC6"/>
    <w:rsid w:val="00F624F3"/>
    <w:rsid w:val="00F62B53"/>
    <w:rsid w:val="00F6306D"/>
    <w:rsid w:val="00F70278"/>
    <w:rsid w:val="00F70E62"/>
    <w:rsid w:val="00F720FD"/>
    <w:rsid w:val="00F747CD"/>
    <w:rsid w:val="00F7572C"/>
    <w:rsid w:val="00F765ED"/>
    <w:rsid w:val="00F8211B"/>
    <w:rsid w:val="00F840BE"/>
    <w:rsid w:val="00F84DF0"/>
    <w:rsid w:val="00F8563A"/>
    <w:rsid w:val="00F8716A"/>
    <w:rsid w:val="00F931C0"/>
    <w:rsid w:val="00F94B9D"/>
    <w:rsid w:val="00FA08D5"/>
    <w:rsid w:val="00FA5762"/>
    <w:rsid w:val="00FA762B"/>
    <w:rsid w:val="00FA7BB0"/>
    <w:rsid w:val="00FB0314"/>
    <w:rsid w:val="00FB0947"/>
    <w:rsid w:val="00FB0A32"/>
    <w:rsid w:val="00FB18E7"/>
    <w:rsid w:val="00FB23E3"/>
    <w:rsid w:val="00FB5706"/>
    <w:rsid w:val="00FC2D06"/>
    <w:rsid w:val="00FC399E"/>
    <w:rsid w:val="00FC3E65"/>
    <w:rsid w:val="00FC4B96"/>
    <w:rsid w:val="00FD050D"/>
    <w:rsid w:val="00FD0FC3"/>
    <w:rsid w:val="00FD1189"/>
    <w:rsid w:val="00FD1994"/>
    <w:rsid w:val="00FD4F2F"/>
    <w:rsid w:val="00FD7CB2"/>
    <w:rsid w:val="00FE19AF"/>
    <w:rsid w:val="00FE1AED"/>
    <w:rsid w:val="00FE2CBA"/>
    <w:rsid w:val="00FE3F6B"/>
    <w:rsid w:val="00FF12D0"/>
    <w:rsid w:val="00FF54CC"/>
    <w:rsid w:val="00FF5C90"/>
    <w:rsid w:val="00FF5EB8"/>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2">
    <w:name w:val="heading 2"/>
    <w:basedOn w:val="Normal"/>
    <w:next w:val="Normal"/>
    <w:link w:val="Heading2Char"/>
    <w:uiPriority w:val="9"/>
    <w:semiHidden/>
    <w:unhideWhenUsed/>
    <w:qFormat/>
    <w:rsid w:val="00F343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8A7C3D"/>
    <w:pPr>
      <w:spacing w:after="0"/>
    </w:pPr>
  </w:style>
  <w:style w:type="character" w:customStyle="1" w:styleId="Heading2Char">
    <w:name w:val="Heading 2 Char"/>
    <w:basedOn w:val="DefaultParagraphFont"/>
    <w:link w:val="Heading2"/>
    <w:uiPriority w:val="9"/>
    <w:semiHidden/>
    <w:rsid w:val="00F3433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F34332"/>
    <w:pPr>
      <w:spacing w:after="0"/>
    </w:pPr>
    <w:rPr>
      <w:sz w:val="20"/>
      <w:szCs w:val="20"/>
    </w:rPr>
  </w:style>
  <w:style w:type="character" w:customStyle="1" w:styleId="FootnoteTextChar">
    <w:name w:val="Footnote Text Char"/>
    <w:basedOn w:val="DefaultParagraphFont"/>
    <w:link w:val="FootnoteText"/>
    <w:uiPriority w:val="99"/>
    <w:semiHidden/>
    <w:rsid w:val="00F34332"/>
    <w:rPr>
      <w:sz w:val="20"/>
      <w:szCs w:val="20"/>
    </w:rPr>
  </w:style>
  <w:style w:type="character" w:styleId="FootnoteReference">
    <w:name w:val="footnote reference"/>
    <w:basedOn w:val="DefaultParagraphFont"/>
    <w:uiPriority w:val="99"/>
    <w:semiHidden/>
    <w:unhideWhenUsed/>
    <w:rsid w:val="00F34332"/>
    <w:rPr>
      <w:vertAlign w:val="superscript"/>
    </w:rPr>
  </w:style>
  <w:style w:type="character" w:styleId="UnresolvedMention">
    <w:name w:val="Unresolved Mention"/>
    <w:basedOn w:val="DefaultParagraphFont"/>
    <w:uiPriority w:val="99"/>
    <w:semiHidden/>
    <w:unhideWhenUsed/>
    <w:rsid w:val="00D0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31480492">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81092490">
      <w:bodyDiv w:val="1"/>
      <w:marLeft w:val="0"/>
      <w:marRight w:val="0"/>
      <w:marTop w:val="0"/>
      <w:marBottom w:val="0"/>
      <w:divBdr>
        <w:top w:val="none" w:sz="0" w:space="0" w:color="auto"/>
        <w:left w:val="none" w:sz="0" w:space="0" w:color="auto"/>
        <w:bottom w:val="none" w:sz="0" w:space="0" w:color="auto"/>
        <w:right w:val="none" w:sz="0" w:space="0" w:color="auto"/>
      </w:divBdr>
    </w:div>
    <w:div w:id="234752337">
      <w:bodyDiv w:val="1"/>
      <w:marLeft w:val="0"/>
      <w:marRight w:val="0"/>
      <w:marTop w:val="0"/>
      <w:marBottom w:val="0"/>
      <w:divBdr>
        <w:top w:val="none" w:sz="0" w:space="0" w:color="auto"/>
        <w:left w:val="none" w:sz="0" w:space="0" w:color="auto"/>
        <w:bottom w:val="none" w:sz="0" w:space="0" w:color="auto"/>
        <w:right w:val="none" w:sz="0" w:space="0" w:color="auto"/>
      </w:divBdr>
    </w:div>
    <w:div w:id="314341657">
      <w:bodyDiv w:val="1"/>
      <w:marLeft w:val="0"/>
      <w:marRight w:val="0"/>
      <w:marTop w:val="0"/>
      <w:marBottom w:val="0"/>
      <w:divBdr>
        <w:top w:val="none" w:sz="0" w:space="0" w:color="auto"/>
        <w:left w:val="none" w:sz="0" w:space="0" w:color="auto"/>
        <w:bottom w:val="none" w:sz="0" w:space="0" w:color="auto"/>
        <w:right w:val="none" w:sz="0" w:space="0" w:color="auto"/>
      </w:divBdr>
    </w:div>
    <w:div w:id="328749063">
      <w:bodyDiv w:val="1"/>
      <w:marLeft w:val="0"/>
      <w:marRight w:val="0"/>
      <w:marTop w:val="0"/>
      <w:marBottom w:val="0"/>
      <w:divBdr>
        <w:top w:val="none" w:sz="0" w:space="0" w:color="auto"/>
        <w:left w:val="none" w:sz="0" w:space="0" w:color="auto"/>
        <w:bottom w:val="none" w:sz="0" w:space="0" w:color="auto"/>
        <w:right w:val="none" w:sz="0" w:space="0" w:color="auto"/>
      </w:divBdr>
    </w:div>
    <w:div w:id="450442788">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66569400">
      <w:bodyDiv w:val="1"/>
      <w:marLeft w:val="0"/>
      <w:marRight w:val="0"/>
      <w:marTop w:val="0"/>
      <w:marBottom w:val="0"/>
      <w:divBdr>
        <w:top w:val="none" w:sz="0" w:space="0" w:color="auto"/>
        <w:left w:val="none" w:sz="0" w:space="0" w:color="auto"/>
        <w:bottom w:val="none" w:sz="0" w:space="0" w:color="auto"/>
        <w:right w:val="none" w:sz="0" w:space="0" w:color="auto"/>
      </w:divBdr>
    </w:div>
    <w:div w:id="591355987">
      <w:bodyDiv w:val="1"/>
      <w:marLeft w:val="0"/>
      <w:marRight w:val="0"/>
      <w:marTop w:val="0"/>
      <w:marBottom w:val="0"/>
      <w:divBdr>
        <w:top w:val="none" w:sz="0" w:space="0" w:color="auto"/>
        <w:left w:val="none" w:sz="0" w:space="0" w:color="auto"/>
        <w:bottom w:val="none" w:sz="0" w:space="0" w:color="auto"/>
        <w:right w:val="none" w:sz="0" w:space="0" w:color="auto"/>
      </w:divBdr>
    </w:div>
    <w:div w:id="612203361">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32312591">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29491249">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38224261">
      <w:bodyDiv w:val="1"/>
      <w:marLeft w:val="0"/>
      <w:marRight w:val="0"/>
      <w:marTop w:val="0"/>
      <w:marBottom w:val="0"/>
      <w:divBdr>
        <w:top w:val="none" w:sz="0" w:space="0" w:color="auto"/>
        <w:left w:val="none" w:sz="0" w:space="0" w:color="auto"/>
        <w:bottom w:val="none" w:sz="0" w:space="0" w:color="auto"/>
        <w:right w:val="none" w:sz="0" w:space="0" w:color="auto"/>
      </w:divBdr>
    </w:div>
    <w:div w:id="955477860">
      <w:bodyDiv w:val="1"/>
      <w:marLeft w:val="0"/>
      <w:marRight w:val="0"/>
      <w:marTop w:val="0"/>
      <w:marBottom w:val="0"/>
      <w:divBdr>
        <w:top w:val="none" w:sz="0" w:space="0" w:color="auto"/>
        <w:left w:val="none" w:sz="0" w:space="0" w:color="auto"/>
        <w:bottom w:val="none" w:sz="0" w:space="0" w:color="auto"/>
        <w:right w:val="none" w:sz="0" w:space="0" w:color="auto"/>
      </w:divBdr>
      <w:divsChild>
        <w:div w:id="1215385363">
          <w:marLeft w:val="0"/>
          <w:marRight w:val="0"/>
          <w:marTop w:val="0"/>
          <w:marBottom w:val="0"/>
          <w:divBdr>
            <w:top w:val="none" w:sz="0" w:space="0" w:color="auto"/>
            <w:left w:val="none" w:sz="0" w:space="0" w:color="auto"/>
            <w:bottom w:val="none" w:sz="0" w:space="0" w:color="auto"/>
            <w:right w:val="none" w:sz="0" w:space="0" w:color="auto"/>
          </w:divBdr>
        </w:div>
      </w:divsChild>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26100367">
      <w:bodyDiv w:val="1"/>
      <w:marLeft w:val="0"/>
      <w:marRight w:val="0"/>
      <w:marTop w:val="0"/>
      <w:marBottom w:val="0"/>
      <w:divBdr>
        <w:top w:val="none" w:sz="0" w:space="0" w:color="auto"/>
        <w:left w:val="none" w:sz="0" w:space="0" w:color="auto"/>
        <w:bottom w:val="none" w:sz="0" w:space="0" w:color="auto"/>
        <w:right w:val="none" w:sz="0" w:space="0" w:color="auto"/>
      </w:divBdr>
    </w:div>
    <w:div w:id="1054936783">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85174586">
      <w:bodyDiv w:val="1"/>
      <w:marLeft w:val="0"/>
      <w:marRight w:val="0"/>
      <w:marTop w:val="0"/>
      <w:marBottom w:val="0"/>
      <w:divBdr>
        <w:top w:val="none" w:sz="0" w:space="0" w:color="auto"/>
        <w:left w:val="none" w:sz="0" w:space="0" w:color="auto"/>
        <w:bottom w:val="none" w:sz="0" w:space="0" w:color="auto"/>
        <w:right w:val="none" w:sz="0" w:space="0" w:color="auto"/>
      </w:divBdr>
      <w:divsChild>
        <w:div w:id="1278947166">
          <w:marLeft w:val="0"/>
          <w:marRight w:val="0"/>
          <w:marTop w:val="0"/>
          <w:marBottom w:val="0"/>
          <w:divBdr>
            <w:top w:val="none" w:sz="0" w:space="0" w:color="auto"/>
            <w:left w:val="none" w:sz="0" w:space="0" w:color="auto"/>
            <w:bottom w:val="none" w:sz="0" w:space="0" w:color="auto"/>
            <w:right w:val="none" w:sz="0" w:space="0" w:color="auto"/>
          </w:divBdr>
        </w:div>
      </w:divsChild>
    </w:div>
    <w:div w:id="1196041852">
      <w:bodyDiv w:val="1"/>
      <w:marLeft w:val="0"/>
      <w:marRight w:val="0"/>
      <w:marTop w:val="0"/>
      <w:marBottom w:val="0"/>
      <w:divBdr>
        <w:top w:val="none" w:sz="0" w:space="0" w:color="auto"/>
        <w:left w:val="none" w:sz="0" w:space="0" w:color="auto"/>
        <w:bottom w:val="none" w:sz="0" w:space="0" w:color="auto"/>
        <w:right w:val="none" w:sz="0" w:space="0" w:color="auto"/>
      </w:divBdr>
      <w:divsChild>
        <w:div w:id="2038847486">
          <w:marLeft w:val="0"/>
          <w:marRight w:val="0"/>
          <w:marTop w:val="0"/>
          <w:marBottom w:val="0"/>
          <w:divBdr>
            <w:top w:val="none" w:sz="0" w:space="0" w:color="auto"/>
            <w:left w:val="none" w:sz="0" w:space="0" w:color="auto"/>
            <w:bottom w:val="none" w:sz="0" w:space="0" w:color="auto"/>
            <w:right w:val="none" w:sz="0" w:space="0" w:color="auto"/>
          </w:divBdr>
        </w:div>
      </w:divsChild>
    </w:div>
    <w:div w:id="1215048983">
      <w:bodyDiv w:val="1"/>
      <w:marLeft w:val="0"/>
      <w:marRight w:val="0"/>
      <w:marTop w:val="0"/>
      <w:marBottom w:val="0"/>
      <w:divBdr>
        <w:top w:val="none" w:sz="0" w:space="0" w:color="auto"/>
        <w:left w:val="none" w:sz="0" w:space="0" w:color="auto"/>
        <w:bottom w:val="none" w:sz="0" w:space="0" w:color="auto"/>
        <w:right w:val="none" w:sz="0" w:space="0" w:color="auto"/>
      </w:divBdr>
    </w:div>
    <w:div w:id="1219780604">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31771995">
      <w:bodyDiv w:val="1"/>
      <w:marLeft w:val="0"/>
      <w:marRight w:val="0"/>
      <w:marTop w:val="0"/>
      <w:marBottom w:val="0"/>
      <w:divBdr>
        <w:top w:val="none" w:sz="0" w:space="0" w:color="auto"/>
        <w:left w:val="none" w:sz="0" w:space="0" w:color="auto"/>
        <w:bottom w:val="none" w:sz="0" w:space="0" w:color="auto"/>
        <w:right w:val="none" w:sz="0" w:space="0" w:color="auto"/>
      </w:divBdr>
    </w:div>
    <w:div w:id="1265460150">
      <w:bodyDiv w:val="1"/>
      <w:marLeft w:val="0"/>
      <w:marRight w:val="0"/>
      <w:marTop w:val="0"/>
      <w:marBottom w:val="0"/>
      <w:divBdr>
        <w:top w:val="none" w:sz="0" w:space="0" w:color="auto"/>
        <w:left w:val="none" w:sz="0" w:space="0" w:color="auto"/>
        <w:bottom w:val="none" w:sz="0" w:space="0" w:color="auto"/>
        <w:right w:val="none" w:sz="0" w:space="0" w:color="auto"/>
      </w:divBdr>
    </w:div>
    <w:div w:id="1266376970">
      <w:bodyDiv w:val="1"/>
      <w:marLeft w:val="0"/>
      <w:marRight w:val="0"/>
      <w:marTop w:val="0"/>
      <w:marBottom w:val="0"/>
      <w:divBdr>
        <w:top w:val="none" w:sz="0" w:space="0" w:color="auto"/>
        <w:left w:val="none" w:sz="0" w:space="0" w:color="auto"/>
        <w:bottom w:val="none" w:sz="0" w:space="0" w:color="auto"/>
        <w:right w:val="none" w:sz="0" w:space="0" w:color="auto"/>
      </w:divBdr>
    </w:div>
    <w:div w:id="1268073727">
      <w:bodyDiv w:val="1"/>
      <w:marLeft w:val="0"/>
      <w:marRight w:val="0"/>
      <w:marTop w:val="0"/>
      <w:marBottom w:val="0"/>
      <w:divBdr>
        <w:top w:val="none" w:sz="0" w:space="0" w:color="auto"/>
        <w:left w:val="none" w:sz="0" w:space="0" w:color="auto"/>
        <w:bottom w:val="none" w:sz="0" w:space="0" w:color="auto"/>
        <w:right w:val="none" w:sz="0" w:space="0" w:color="auto"/>
      </w:divBdr>
    </w:div>
    <w:div w:id="1550610012">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3006000">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5251759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064489">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798717040">
      <w:bodyDiv w:val="1"/>
      <w:marLeft w:val="0"/>
      <w:marRight w:val="0"/>
      <w:marTop w:val="0"/>
      <w:marBottom w:val="0"/>
      <w:divBdr>
        <w:top w:val="none" w:sz="0" w:space="0" w:color="auto"/>
        <w:left w:val="none" w:sz="0" w:space="0" w:color="auto"/>
        <w:bottom w:val="none" w:sz="0" w:space="0" w:color="auto"/>
        <w:right w:val="none" w:sz="0" w:space="0" w:color="auto"/>
      </w:divBdr>
      <w:divsChild>
        <w:div w:id="344138954">
          <w:marLeft w:val="0"/>
          <w:marRight w:val="0"/>
          <w:marTop w:val="0"/>
          <w:marBottom w:val="0"/>
          <w:divBdr>
            <w:top w:val="none" w:sz="0" w:space="0" w:color="auto"/>
            <w:left w:val="none" w:sz="0" w:space="0" w:color="auto"/>
            <w:bottom w:val="none" w:sz="0" w:space="0" w:color="auto"/>
            <w:right w:val="none" w:sz="0" w:space="0" w:color="auto"/>
          </w:divBdr>
        </w:div>
      </w:divsChild>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77754186">
      <w:bodyDiv w:val="1"/>
      <w:marLeft w:val="0"/>
      <w:marRight w:val="0"/>
      <w:marTop w:val="0"/>
      <w:marBottom w:val="0"/>
      <w:divBdr>
        <w:top w:val="none" w:sz="0" w:space="0" w:color="auto"/>
        <w:left w:val="none" w:sz="0" w:space="0" w:color="auto"/>
        <w:bottom w:val="none" w:sz="0" w:space="0" w:color="auto"/>
        <w:right w:val="none" w:sz="0" w:space="0" w:color="auto"/>
      </w:divBdr>
    </w:div>
    <w:div w:id="2080050492">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5/11/20/sudan-statement-by-the-high-representative-on-behalf-of-the-european-union-20-november-2025/" TargetMode="External"/><Relationship Id="rId1" Type="http://schemas.openxmlformats.org/officeDocument/2006/relationships/hyperlink" Target="https://www.consilium.europa.eu/nl/press/press-releases/2025/10/20/sudan-council-approves-conclusions-on-the-ongoing-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1676</ap:Words>
  <ap:Characters>9218</ap:Characters>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2025-12-01T09:24:00.0000000Z</dcterms:created>
  <dcterms:modified xsi:type="dcterms:W3CDTF">2025-12-01T09:31:00.0000000Z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3387d30d-634a-4d13-ac0e-a2f7ab74be5a</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ies>
</file>