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00C" w:rsidP="00A2500C" w:rsidRDefault="00A2500C" w14:paraId="38984A76" w14:textId="77777777">
      <w:r>
        <w:t>Geachte voorzitter,</w:t>
      </w:r>
    </w:p>
    <w:p w:rsidRPr="008F1021" w:rsidR="00A2500C" w:rsidP="00A2500C" w:rsidRDefault="00A2500C" w14:paraId="456D53A1" w14:textId="77777777">
      <w:pPr>
        <w:spacing w:line="276" w:lineRule="auto"/>
      </w:pPr>
    </w:p>
    <w:p w:rsidRPr="00D92030" w:rsidR="00A2500C" w:rsidP="00A2500C" w:rsidRDefault="00A2500C" w14:paraId="0E2E1B43" w14:textId="77777777">
      <w:pPr>
        <w:spacing w:line="276" w:lineRule="auto"/>
      </w:pPr>
      <w:r w:rsidRPr="00D92030">
        <w:t xml:space="preserve">De Directie Internationaal Onderzoek en Beleidsevaluatie (IOB) van het ministerie van Buitenlandse Zaken </w:t>
      </w:r>
      <w:r>
        <w:t xml:space="preserve">onderzocht, op verzoek van de verantwoordelijke beleidsdirectie, het Makandra-programma. Het Makandra-programma was een samenwerking met de Surinaamse overheid </w:t>
      </w:r>
      <w:r w:rsidRPr="00D92030">
        <w:t xml:space="preserve">in de periode 2021-2025. </w:t>
      </w:r>
      <w:r>
        <w:t xml:space="preserve">De evaluatie is </w:t>
      </w:r>
      <w:r w:rsidRPr="006609BE">
        <w:t>in september 2025 afgerond</w:t>
      </w:r>
      <w:r>
        <w:t xml:space="preserve">. </w:t>
      </w:r>
      <w:r w:rsidRPr="00D92030">
        <w:t xml:space="preserve">Hierbij </w:t>
      </w:r>
      <w:r>
        <w:t>ontvangt u de IOB-evaluatie</w:t>
      </w:r>
      <w:r w:rsidRPr="00D92030">
        <w:t xml:space="preserve"> ‘Bouwen in vertrouwen: Investeren in de hernieuwde relatie tussen Nederland en Suriname</w:t>
      </w:r>
      <w:r>
        <w:t xml:space="preserve">’ en de beleidsreactie op dit rapport. </w:t>
      </w:r>
    </w:p>
    <w:p w:rsidRPr="00D92030" w:rsidR="00A2500C" w:rsidP="00A2500C" w:rsidRDefault="00A2500C" w14:paraId="19D88FAA" w14:textId="77777777"/>
    <w:p w:rsidR="00A2500C" w:rsidP="00A2500C" w:rsidRDefault="00A2500C" w14:paraId="240C3AAF" w14:textId="79029131">
      <w:r>
        <w:t>Op 14 februari 2025 werd uw Kamer schriftelijk geïnformeerd o</w:t>
      </w:r>
      <w:r w:rsidRPr="00D92030">
        <w:t>ver de</w:t>
      </w:r>
      <w:r>
        <w:t xml:space="preserve"> ontwikkelingen in Suriname en de inzet van het kabinet. Op 2 juni jl. is dit besproken in het notaoverleg Suriname, waarbij het Makandra-programma in positieve zin ter sprake kwam.</w:t>
      </w:r>
      <w:r>
        <w:rPr>
          <w:rStyle w:val="FootnoteReference"/>
        </w:rPr>
        <w:footnoteReference w:id="2"/>
      </w:r>
      <w:r>
        <w:t xml:space="preserve"> De </w:t>
      </w:r>
      <w:r w:rsidR="004F42A0">
        <w:t xml:space="preserve">voormalig </w:t>
      </w:r>
      <w:r>
        <w:t>minister van Buitenlandse Zaken deed daar de toezegging om “</w:t>
      </w:r>
      <w:r w:rsidRPr="00D92030">
        <w:t>voor het einde van dit jaar na ontvangst van de IOB-evaluatie van het Makandra-programma een brief aan de Kamer doen toekomen over de voortzetting van het programma, mits de IOB-evaluatie positief is en de Surinaamse regering heeft aangegeven behoefte te hebben aan deze voortzetting</w:t>
      </w:r>
      <w:r>
        <w:t>”.</w:t>
      </w:r>
      <w:r>
        <w:rPr>
          <w:rStyle w:val="FootnoteReference"/>
        </w:rPr>
        <w:footnoteReference w:id="3"/>
      </w:r>
      <w:r>
        <w:t xml:space="preserve"> Met deze brief voldoet het kabinet aan deze toezegging.</w:t>
      </w:r>
    </w:p>
    <w:p w:rsidR="00A2500C" w:rsidP="00A2500C" w:rsidRDefault="00A2500C" w14:paraId="043421D2" w14:textId="77777777"/>
    <w:p w:rsidRPr="00A10CD1" w:rsidR="00A2500C" w:rsidP="00A2500C" w:rsidRDefault="00A2500C" w14:paraId="5F022B63" w14:textId="77777777">
      <w:pPr>
        <w:spacing w:line="276" w:lineRule="auto"/>
        <w:rPr>
          <w:b/>
          <w:bCs/>
        </w:rPr>
      </w:pPr>
      <w:r>
        <w:rPr>
          <w:b/>
          <w:bCs/>
        </w:rPr>
        <w:t>Huidig beleid</w:t>
      </w:r>
      <w:r w:rsidRPr="00A10CD1">
        <w:rPr>
          <w:b/>
          <w:bCs/>
        </w:rPr>
        <w:t xml:space="preserve"> </w:t>
      </w:r>
    </w:p>
    <w:p w:rsidR="00A2500C" w:rsidP="00A2500C" w:rsidRDefault="00A2500C" w14:paraId="71475459" w14:textId="6A4FC221">
      <w:r>
        <w:t>Zoals beschreven in de Kamerbrief van 14 februari 2025 hebben h</w:t>
      </w:r>
      <w:r w:rsidRPr="00D92030">
        <w:t>et Koninkrijk der Nederlanden en Suriname een bijzondere relatie vanuit het gedeelde verleden, de gemeenschappelijke taal en de grote Surinaamse diaspora in Nederland en de Caribische delen van het Koninkrijk.</w:t>
      </w:r>
      <w:r w:rsidRPr="00B9213E">
        <w:rPr>
          <w:rStyle w:val="FootnoteReference"/>
        </w:rPr>
        <w:t xml:space="preserve"> </w:t>
      </w:r>
      <w:r w:rsidR="00B51B6A">
        <w:t xml:space="preserve">Sinds 2020 heeft de relatie een hernieuwde vlucht genomen. Het Makandra-programma fungeerde </w:t>
      </w:r>
      <w:r w:rsidR="00EF22A0">
        <w:t xml:space="preserve">daarbij </w:t>
      </w:r>
      <w:r w:rsidR="00B51B6A">
        <w:t>als katalysator voor de samenwerking tussen de Nederlandse en Surinaamse overheden.</w:t>
      </w:r>
      <w:r w:rsidR="00B51B6A">
        <w:rPr>
          <w:rStyle w:val="FootnoteReference"/>
        </w:rPr>
        <w:footnoteReference w:id="4"/>
      </w:r>
      <w:r w:rsidR="00B51B6A">
        <w:t xml:space="preserve"> </w:t>
      </w:r>
      <w:r w:rsidRPr="00530D63">
        <w:t xml:space="preserve">Nederland en Suriname </w:t>
      </w:r>
      <w:r w:rsidR="00B51B6A">
        <w:t xml:space="preserve">hebben </w:t>
      </w:r>
      <w:r w:rsidRPr="00530D63">
        <w:t xml:space="preserve">samen geïnvesteerd </w:t>
      </w:r>
      <w:r>
        <w:t xml:space="preserve">in de </w:t>
      </w:r>
      <w:r w:rsidRPr="00530D63">
        <w:t>samenwerking op een breed aantal terreinen.</w:t>
      </w:r>
      <w:r>
        <w:t xml:space="preserve"> </w:t>
      </w:r>
      <w:r w:rsidRPr="00D92030">
        <w:t xml:space="preserve">De </w:t>
      </w:r>
      <w:r>
        <w:t xml:space="preserve">huidige </w:t>
      </w:r>
      <w:r w:rsidRPr="00D92030">
        <w:t xml:space="preserve">bilaterale </w:t>
      </w:r>
      <w:r>
        <w:t>relatie</w:t>
      </w:r>
      <w:r w:rsidRPr="00D92030">
        <w:t xml:space="preserve"> is zakelijk en betrokken op basis van gelijkwaardigheid en wederzijds respect</w:t>
      </w:r>
      <w:r>
        <w:t>.</w:t>
      </w:r>
    </w:p>
    <w:p w:rsidR="0007350C" w:rsidP="00A2500C" w:rsidRDefault="0007350C" w14:paraId="3ED2EA7F" w14:textId="77777777"/>
    <w:p w:rsidR="00A2500C" w:rsidP="00A2500C" w:rsidRDefault="00A2500C" w14:paraId="51FBE4A1" w14:textId="77777777">
      <w:pPr>
        <w:rPr>
          <w:b/>
          <w:bCs/>
        </w:rPr>
      </w:pPr>
    </w:p>
    <w:p w:rsidRPr="00455F56" w:rsidR="00A2500C" w:rsidP="00A2500C" w:rsidRDefault="00A2500C" w14:paraId="477EC82F" w14:textId="77777777">
      <w:pPr>
        <w:rPr>
          <w:b/>
          <w:bCs/>
        </w:rPr>
      </w:pPr>
      <w:r>
        <w:rPr>
          <w:b/>
          <w:bCs/>
        </w:rPr>
        <w:lastRenderedPageBreak/>
        <w:t>Makandra-</w:t>
      </w:r>
      <w:r w:rsidRPr="00455F56">
        <w:rPr>
          <w:b/>
          <w:bCs/>
        </w:rPr>
        <w:t>programma</w:t>
      </w:r>
      <w:r>
        <w:rPr>
          <w:b/>
          <w:bCs/>
        </w:rPr>
        <w:t>: samen optrekken</w:t>
      </w:r>
    </w:p>
    <w:p w:rsidR="00A2500C" w:rsidP="00A2500C" w:rsidRDefault="00A2500C" w14:paraId="65D288CA" w14:textId="114FF8F6">
      <w:r>
        <w:t>In 2021 startte het Makandra-programma (Surinaams voor “samen optrekken”) om invulling te geven aan de hernieuwde betrekkingen. Het programma ter grootte van</w:t>
      </w:r>
      <w:r w:rsidRPr="004F42A0">
        <w:t xml:space="preserve"> </w:t>
      </w:r>
      <w:r w:rsidRPr="004F42A0" w:rsidR="004F42A0">
        <w:t>EUR</w:t>
      </w:r>
      <w:r w:rsidR="004F42A0">
        <w:rPr>
          <w:rFonts w:ascii="Aptos Display" w:hAnsi="Aptos Display"/>
        </w:rPr>
        <w:t xml:space="preserve"> </w:t>
      </w:r>
      <w:r>
        <w:t xml:space="preserve">10 miljoen faciliteerde </w:t>
      </w:r>
      <w:r w:rsidRPr="007F532C">
        <w:t>samenwerking tussen de Nederlandse en de Surinaamse overheid via kennisoverdracht</w:t>
      </w:r>
      <w:r>
        <w:t xml:space="preserve"> en technische assistentie.</w:t>
      </w:r>
      <w:r w:rsidR="00B721C0">
        <w:rPr>
          <w:rStyle w:val="FootnoteReference"/>
        </w:rPr>
        <w:footnoteReference w:id="5"/>
      </w:r>
    </w:p>
    <w:p w:rsidR="00A2500C" w:rsidP="00A2500C" w:rsidRDefault="00A2500C" w14:paraId="58D6A5CB" w14:textId="77777777"/>
    <w:p w:rsidR="00A2500C" w:rsidP="00A2500C" w:rsidRDefault="00A2500C" w14:paraId="3DA3329D" w14:textId="42778F2A">
      <w:r>
        <w:t xml:space="preserve">Makandra kende een tweeledige doelstelling. Allereerst </w:t>
      </w:r>
      <w:r w:rsidR="00134F45">
        <w:t>de diplomatieke doelstelling, het kabinet</w:t>
      </w:r>
      <w:r>
        <w:t xml:space="preserve"> wilde met Makandra de onderlinge samenwerking tussen de overheden uit beide landen intensiveren. Concreet beoogde het programma: </w:t>
      </w:r>
    </w:p>
    <w:p w:rsidR="00A2500C" w:rsidP="00A2500C" w:rsidRDefault="00A2500C" w14:paraId="38D99105" w14:textId="77777777">
      <w:pPr>
        <w:pStyle w:val="ListParagraph"/>
        <w:numPr>
          <w:ilvl w:val="0"/>
          <w:numId w:val="25"/>
        </w:numPr>
      </w:pPr>
      <w:r>
        <w:t>verbeterde samenwerking in Suriname:</w:t>
      </w:r>
    </w:p>
    <w:p w:rsidR="00A2500C" w:rsidP="00A2500C" w:rsidRDefault="00A2500C" w14:paraId="0D9D3A72" w14:textId="77777777">
      <w:pPr>
        <w:pStyle w:val="ListParagraph"/>
        <w:numPr>
          <w:ilvl w:val="0"/>
          <w:numId w:val="22"/>
        </w:numPr>
      </w:pPr>
      <w:r>
        <w:t>meer kennis en begrip van de (</w:t>
      </w:r>
      <w:proofErr w:type="spellStart"/>
      <w:r>
        <w:t>overheids</w:t>
      </w:r>
      <w:proofErr w:type="spellEnd"/>
      <w:r>
        <w:t>)context;</w:t>
      </w:r>
    </w:p>
    <w:p w:rsidR="00A2500C" w:rsidP="00A2500C" w:rsidRDefault="00A2500C" w14:paraId="63D7E1C8" w14:textId="77777777">
      <w:pPr>
        <w:pStyle w:val="ListParagraph"/>
        <w:numPr>
          <w:ilvl w:val="0"/>
          <w:numId w:val="22"/>
        </w:numPr>
      </w:pPr>
      <w:r>
        <w:t>vergroot netwerk Nederlandse ambassade in Suriname;</w:t>
      </w:r>
    </w:p>
    <w:p w:rsidR="00A2500C" w:rsidP="00A2500C" w:rsidRDefault="00A2500C" w14:paraId="6BFDA29A" w14:textId="77777777">
      <w:pPr>
        <w:pStyle w:val="ListParagraph"/>
        <w:numPr>
          <w:ilvl w:val="0"/>
          <w:numId w:val="22"/>
        </w:numPr>
      </w:pPr>
      <w:r>
        <w:t>invulling van wederzijdse behoeften.</w:t>
      </w:r>
    </w:p>
    <w:p w:rsidR="00A2500C" w:rsidP="00A2500C" w:rsidRDefault="00A2500C" w14:paraId="7C53CBD4" w14:textId="77777777">
      <w:pPr>
        <w:pStyle w:val="ListParagraph"/>
        <w:numPr>
          <w:ilvl w:val="0"/>
          <w:numId w:val="27"/>
        </w:numPr>
      </w:pPr>
      <w:r>
        <w:t>verbeterde samenwerking tussen Surinaamse en Nederlandse overheidsorganisaties:</w:t>
      </w:r>
    </w:p>
    <w:p w:rsidR="00A2500C" w:rsidP="00A2500C" w:rsidRDefault="00A2500C" w14:paraId="35BF74C9" w14:textId="77777777">
      <w:pPr>
        <w:pStyle w:val="ListParagraph"/>
        <w:numPr>
          <w:ilvl w:val="0"/>
          <w:numId w:val="24"/>
        </w:numPr>
      </w:pPr>
      <w:r>
        <w:t>vergroot netwerk voor Surinaamse en Nederlandse ambtenaren op prioritaire thema’s.</w:t>
      </w:r>
    </w:p>
    <w:p w:rsidR="00A2500C" w:rsidP="00A2500C" w:rsidRDefault="00A2500C" w14:paraId="0CF004BC" w14:textId="77777777">
      <w:pPr>
        <w:ind w:left="360"/>
      </w:pPr>
    </w:p>
    <w:p w:rsidR="00A2500C" w:rsidP="00A2500C" w:rsidRDefault="00A2500C" w14:paraId="6EF25F3C" w14:textId="45F40C0D">
      <w:r>
        <w:t xml:space="preserve">Daarnaast </w:t>
      </w:r>
      <w:r w:rsidR="00134F45">
        <w:t xml:space="preserve">de programmatische doelstelling, </w:t>
      </w:r>
      <w:r>
        <w:t xml:space="preserve">het programma </w:t>
      </w:r>
      <w:r w:rsidR="00134F45">
        <w:t xml:space="preserve">beoogde </w:t>
      </w:r>
      <w:r>
        <w:t xml:space="preserve">bij te dragen aan capaciteitsopbouw van de Surinaamse overheid in verschillende beleidssectoren. </w:t>
      </w:r>
    </w:p>
    <w:p w:rsidR="00A2500C" w:rsidP="00A2500C" w:rsidRDefault="00A2500C" w14:paraId="633C70D0" w14:textId="77777777">
      <w:r>
        <w:t xml:space="preserve">Aanvankelijk waren dat er drie: </w:t>
      </w:r>
    </w:p>
    <w:p w:rsidR="00A2500C" w:rsidP="00A2500C" w:rsidRDefault="00A2500C" w14:paraId="20C0CAAF" w14:textId="77777777">
      <w:pPr>
        <w:pStyle w:val="ListParagraph"/>
        <w:numPr>
          <w:ilvl w:val="0"/>
          <w:numId w:val="28"/>
        </w:numPr>
      </w:pPr>
      <w:r>
        <w:t xml:space="preserve">goed bestuur; </w:t>
      </w:r>
    </w:p>
    <w:p w:rsidR="00A2500C" w:rsidP="00A2500C" w:rsidRDefault="00A2500C" w14:paraId="1F2C5D5D" w14:textId="77777777">
      <w:pPr>
        <w:pStyle w:val="ListParagraph"/>
        <w:numPr>
          <w:ilvl w:val="0"/>
          <w:numId w:val="28"/>
        </w:numPr>
      </w:pPr>
      <w:r>
        <w:t xml:space="preserve">de rechtsstaat; </w:t>
      </w:r>
    </w:p>
    <w:p w:rsidR="00A2500C" w:rsidP="00A2500C" w:rsidRDefault="00A2500C" w14:paraId="04067EB2" w14:textId="77777777">
      <w:pPr>
        <w:pStyle w:val="ListParagraph"/>
        <w:numPr>
          <w:ilvl w:val="0"/>
          <w:numId w:val="28"/>
        </w:numPr>
      </w:pPr>
      <w:r>
        <w:t xml:space="preserve">de economische niet-fysieke infrastructuur. </w:t>
      </w:r>
    </w:p>
    <w:p w:rsidR="00A2500C" w:rsidP="00A2500C" w:rsidRDefault="00A2500C" w14:paraId="08373834" w14:textId="77777777"/>
    <w:p w:rsidR="00A2500C" w:rsidP="00A2500C" w:rsidRDefault="00A2500C" w14:paraId="4973C595" w14:textId="3E7F32AD">
      <w:r>
        <w:t xml:space="preserve">In 2023 is de samenwerking verbreed met de volgende beleidsterreinen: </w:t>
      </w:r>
    </w:p>
    <w:p w:rsidR="00A2500C" w:rsidP="00A2500C" w:rsidRDefault="00A2500C" w14:paraId="796FC2C9" w14:textId="77777777">
      <w:pPr>
        <w:pStyle w:val="ListParagraph"/>
        <w:numPr>
          <w:ilvl w:val="0"/>
          <w:numId w:val="29"/>
        </w:numPr>
      </w:pPr>
      <w:r>
        <w:t>klimaatadaptatie en –mitigatie;</w:t>
      </w:r>
    </w:p>
    <w:p w:rsidR="00A2500C" w:rsidP="00A2500C" w:rsidRDefault="00A2500C" w14:paraId="4F909B2B" w14:textId="77777777">
      <w:pPr>
        <w:pStyle w:val="ListParagraph"/>
        <w:numPr>
          <w:ilvl w:val="0"/>
          <w:numId w:val="29"/>
        </w:numPr>
      </w:pPr>
      <w:r>
        <w:t>sociaal-publieke dienstverlening (gezondheidszorg, onderwijs en cultuur).</w:t>
      </w:r>
    </w:p>
    <w:p w:rsidRPr="00D92030" w:rsidR="00A2500C" w:rsidP="00A2500C" w:rsidRDefault="00A2500C" w14:paraId="799DAE17" w14:textId="77777777">
      <w:pPr>
        <w:spacing w:line="276" w:lineRule="auto"/>
      </w:pPr>
    </w:p>
    <w:p w:rsidRPr="00A10CD1" w:rsidR="00A2500C" w:rsidP="00A2500C" w:rsidRDefault="00A2500C" w14:paraId="312C90A8" w14:textId="77777777">
      <w:pPr>
        <w:spacing w:line="276" w:lineRule="auto"/>
        <w:rPr>
          <w:b/>
          <w:bCs/>
        </w:rPr>
      </w:pPr>
      <w:r>
        <w:rPr>
          <w:b/>
          <w:bCs/>
        </w:rPr>
        <w:t xml:space="preserve">De evaluatie </w:t>
      </w:r>
    </w:p>
    <w:p w:rsidRPr="00D92030" w:rsidR="00A2500C" w:rsidP="00A2500C" w:rsidRDefault="00A2500C" w14:paraId="15B650E1" w14:textId="30C7FC87">
      <w:pPr>
        <w:pStyle w:val="NoSpacing"/>
        <w:spacing w:line="276" w:lineRule="auto"/>
      </w:pPr>
      <w:r w:rsidRPr="00D92030">
        <w:t>De hoofdvraag van de evaluatie was in hoeverre het Makandra-programma</w:t>
      </w:r>
      <w:r>
        <w:t xml:space="preserve"> </w:t>
      </w:r>
      <w:r w:rsidRPr="00D92030">
        <w:t xml:space="preserve">op een effectieve wijze </w:t>
      </w:r>
      <w:r>
        <w:t>bijdroeg</w:t>
      </w:r>
      <w:r w:rsidRPr="00D92030">
        <w:t xml:space="preserve"> aan de </w:t>
      </w:r>
      <w:r w:rsidR="00134F45">
        <w:t>twee</w:t>
      </w:r>
      <w:r w:rsidRPr="00D92030">
        <w:t xml:space="preserve"> doelstellingen. </w:t>
      </w:r>
      <w:r>
        <w:t xml:space="preserve">Daarbij onderzocht IOB ook welke lessen uit de evaluatie getrokken kunnen worden. </w:t>
      </w:r>
    </w:p>
    <w:p w:rsidR="00A2500C" w:rsidP="00A2500C" w:rsidRDefault="00A2500C" w14:paraId="0E498508" w14:textId="77777777"/>
    <w:p w:rsidR="00A2500C" w:rsidP="00A2500C" w:rsidRDefault="00A2500C" w14:paraId="35814DB6" w14:textId="77777777">
      <w:r>
        <w:t>Om hierop een antwoord te formuleren onderzocht IOB in hoeverre het programma de bilaterale relatie heeft versterkt, of het programma op basis van zakelijkheid en gelijkwaardigheid was opgezet, en in hoeverre er capaciteitsversterking plaatsvond bij de betrokkenen individuen, Surinaamse overheidsorganisaties en binnen de beleidssectoren.</w:t>
      </w:r>
    </w:p>
    <w:p w:rsidR="00A2500C" w:rsidP="00A2500C" w:rsidRDefault="00A2500C" w14:paraId="3C8F15BC" w14:textId="77777777"/>
    <w:p w:rsidR="00115B9C" w:rsidP="00A2500C" w:rsidRDefault="00A2500C" w14:paraId="0C8AD498" w14:textId="2ED75934">
      <w:r>
        <w:t>Ook onderzocht IOB de voorwaarden voor effectiviteit</w:t>
      </w:r>
      <w:r w:rsidR="00901921">
        <w:t xml:space="preserve">: </w:t>
      </w:r>
      <w:r w:rsidR="00115B9C">
        <w:t xml:space="preserve">opzet, </w:t>
      </w:r>
      <w:r>
        <w:t xml:space="preserve">relevantie en coherentie. IOB bekeek in welke mate het programma inspeelde op de behoeften van de projectbetrokkenen van Nederlandse en Surinaamse ministeries en overheidsorganisaties. Tevens ging IOB na of het programma bekend was bij externe actoren, zoals internationale organisaties en het bedrijfsleven, en of zij de geselecteerde beleidsthema’s relevant vonden. Daarnaast bekeek IOB of er op interne en externe coherentie gestuurd werd en of de projecten aansloten bij bestaande Nederlandse of internationale initiatieven. </w:t>
      </w:r>
    </w:p>
    <w:p w:rsidRPr="00B365A7" w:rsidR="00A2500C" w:rsidP="00A2500C" w:rsidRDefault="00A2500C" w14:paraId="5095A7AA" w14:textId="0540A8F7">
      <w:r>
        <w:lastRenderedPageBreak/>
        <w:t>De evaluatie is gebaseerd op 84 interviews met 150 geïnterviewden, een survey met 143 respondenten, 12 focusgroepen, een documentanalyse van (</w:t>
      </w:r>
      <w:proofErr w:type="spellStart"/>
      <w:r>
        <w:t>beleids</w:t>
      </w:r>
      <w:proofErr w:type="spellEnd"/>
      <w:r>
        <w:t xml:space="preserve">)documenten en openbare bronnen, en een bezoek aan Suriname. De geïnterviewden en respondenten waren zowel Surinaams als Nederlands: projectbetrokkenen, medewerkers van ministeries of externen. In aanvulling hierop heeft IOB een tiental projecten geselecteerd en deze in detail geanalyseerd. </w:t>
      </w:r>
      <w:r w:rsidR="00B232FD">
        <w:t xml:space="preserve">Deze dienen ter illustratie voor de bredere bevindingen van de evaluatie. </w:t>
      </w:r>
    </w:p>
    <w:p w:rsidR="00A2500C" w:rsidP="00A2500C" w:rsidRDefault="00A2500C" w14:paraId="184E14DA" w14:textId="77777777"/>
    <w:p w:rsidRPr="00740962" w:rsidR="00A2500C" w:rsidP="00A2500C" w:rsidRDefault="00A2500C" w14:paraId="0682BED9" w14:textId="77777777">
      <w:pPr>
        <w:rPr>
          <w:b/>
          <w:bCs/>
        </w:rPr>
      </w:pPr>
      <w:r w:rsidRPr="00740962">
        <w:rPr>
          <w:b/>
          <w:bCs/>
        </w:rPr>
        <w:t>Hoofdconclusie</w:t>
      </w:r>
    </w:p>
    <w:p w:rsidR="00A2500C" w:rsidP="00A2500C" w:rsidRDefault="00A2500C" w14:paraId="60E04187" w14:textId="77777777">
      <w:r>
        <w:t>IOB concludeert in het rapport het volgende:</w:t>
      </w:r>
    </w:p>
    <w:p w:rsidR="00A2500C" w:rsidP="00A2500C" w:rsidRDefault="00A2500C" w14:paraId="163EC8D0" w14:textId="77777777"/>
    <w:p w:rsidR="00A2500C" w:rsidP="00A2500C" w:rsidRDefault="00A2500C" w14:paraId="01AA9534" w14:textId="77777777">
      <w:r>
        <w:t>Ten aanzien van de diplomatieke doelstelling:</w:t>
      </w:r>
    </w:p>
    <w:p w:rsidR="001F4B3F" w:rsidP="00A2500C" w:rsidRDefault="001F4B3F" w14:paraId="600F3EE5" w14:textId="77777777"/>
    <w:p w:rsidR="00A2500C" w:rsidP="00A2500C" w:rsidRDefault="00A2500C" w14:paraId="082AA3DE" w14:textId="77777777">
      <w:r>
        <w:t xml:space="preserve">“Het Makandra-programma heeft met relatief bescheiden middelen een belangrijke bijdrage geleverd aan de verbetering van de diplomatieke betrekkingen tussen Nederland en Suriname in de periode 2021-2025. De samenwerking tussen de overheden uit beide landen is zowel verbreed als verdiept. Er is bovendien meer openheid gekomen en wederzijds begrip voor de context waarin beide overheden werken. Daarnaast heeft Makandra het netwerk van de Nederlandse ambassade in Suriname versterkt. Dat kwam ook de informatiepositie ten goede.” </w:t>
      </w:r>
    </w:p>
    <w:p w:rsidR="00A2500C" w:rsidP="00A2500C" w:rsidRDefault="00A2500C" w14:paraId="66DD2310" w14:textId="77777777"/>
    <w:p w:rsidR="00A2500C" w:rsidP="00A2500C" w:rsidRDefault="00A2500C" w14:paraId="4C96FC1D" w14:textId="3019F3EB">
      <w:r>
        <w:t xml:space="preserve">Ten aanzien van de </w:t>
      </w:r>
      <w:r w:rsidR="00693FF2">
        <w:t>programmatische</w:t>
      </w:r>
      <w:r>
        <w:t xml:space="preserve"> doelstelling:</w:t>
      </w:r>
    </w:p>
    <w:p w:rsidR="00A2500C" w:rsidP="00A2500C" w:rsidRDefault="00A2500C" w14:paraId="5752B0E3" w14:textId="77777777"/>
    <w:p w:rsidR="00A2500C" w:rsidP="00A2500C" w:rsidRDefault="00A2500C" w14:paraId="1A58D1D4" w14:textId="71253EE0">
      <w:r>
        <w:t xml:space="preserve">“Tegelijkertijd is de beoogde programmatische bijdrage aan capaciteitsversterking van Surinaamse overheidsorganisaties slechts beperkt geweest. Door Makandra hebben Nederlandse overheidsexperts kennis overgedragen aan hun Surinaamse vakgenoten. Maar organisatorische effecten of verbeterde samenwerking tussen </w:t>
      </w:r>
      <w:r w:rsidR="00B232FD">
        <w:t xml:space="preserve">Surinaamse </w:t>
      </w:r>
      <w:r>
        <w:t>overheidsorganisaties binnen beleidssectoren zijn slechts incidenteel tot stand gekomen”.</w:t>
      </w:r>
      <w:r w:rsidRPr="007B4B23">
        <w:t xml:space="preserve"> </w:t>
      </w:r>
      <w:r>
        <w:rPr>
          <w:rStyle w:val="FootnoteReference"/>
        </w:rPr>
        <w:footnoteReference w:id="6"/>
      </w:r>
    </w:p>
    <w:p w:rsidRPr="00D92030" w:rsidR="00A2500C" w:rsidP="00A2500C" w:rsidRDefault="00A2500C" w14:paraId="5C7671EE" w14:textId="77777777"/>
    <w:p w:rsidRPr="00A10CD1" w:rsidR="00A2500C" w:rsidP="00A2500C" w:rsidRDefault="00A2500C" w14:paraId="46FD8EFA" w14:textId="77777777">
      <w:pPr>
        <w:rPr>
          <w:b/>
          <w:bCs/>
        </w:rPr>
      </w:pPr>
      <w:r w:rsidRPr="00A10CD1">
        <w:rPr>
          <w:b/>
          <w:bCs/>
        </w:rPr>
        <w:t>Beleidsreactie</w:t>
      </w:r>
    </w:p>
    <w:p w:rsidR="00A2500C" w:rsidP="00A2500C" w:rsidRDefault="00A2500C" w14:paraId="0862ECA8" w14:textId="77777777">
      <w:bookmarkStart w:name="_Hlk213688382" w:id="0"/>
      <w:r w:rsidRPr="006D1413">
        <w:t xml:space="preserve">Het kabinet </w:t>
      </w:r>
      <w:r>
        <w:t xml:space="preserve">verwelkomt de conclusie dat het programma met </w:t>
      </w:r>
      <w:r w:rsidRPr="00D92030">
        <w:t xml:space="preserve">bescheiden middelen een belangrijke bijdrage heeft geleverd aan de verbetering van de (diplomatieke) betrekkingen. </w:t>
      </w:r>
      <w:r>
        <w:t xml:space="preserve">Het kabinet herkent deze conclusie en ziet dat bevestigd in de constructieve en goede betrekkingen met Suriname. </w:t>
      </w:r>
    </w:p>
    <w:p w:rsidR="007F4516" w:rsidP="007F4516" w:rsidRDefault="00A2500C" w14:paraId="522BD787" w14:textId="70040893">
      <w:r>
        <w:t>Deze positieve ontwikkeling blijkt niet alleen uit de 52 projecten die concreet plaatsvonden, maar ook uit de toegenomen contacten, aanvullende initiatieven, (</w:t>
      </w:r>
      <w:proofErr w:type="spellStart"/>
      <w:r>
        <w:t>beleids</w:t>
      </w:r>
      <w:proofErr w:type="spellEnd"/>
      <w:r>
        <w:t xml:space="preserve">)overleggen en brede samenwerkingsverbanden tussen beide landen die de afgelopen jaren tot stand zijn gekomen. </w:t>
      </w:r>
    </w:p>
    <w:p w:rsidR="007F4516" w:rsidP="007F4516" w:rsidRDefault="007F4516" w14:paraId="10A45633" w14:textId="77777777">
      <w:pPr>
        <w:rPr>
          <w:highlight w:val="yellow"/>
        </w:rPr>
      </w:pPr>
    </w:p>
    <w:p w:rsidR="007F4516" w:rsidP="007F4516" w:rsidRDefault="007F4516" w14:paraId="71C1AEBE" w14:textId="1F143210">
      <w:bookmarkStart w:name="_Hlk213856330" w:id="1"/>
      <w:r>
        <w:t xml:space="preserve">Ter illustratie: </w:t>
      </w:r>
      <w:r w:rsidRPr="0043386D">
        <w:t>met Surinaamse ketenpartners</w:t>
      </w:r>
      <w:r>
        <w:t xml:space="preserve"> is</w:t>
      </w:r>
      <w:r w:rsidRPr="0043386D">
        <w:t xml:space="preserve"> gewerkt aan capaciteitsopbouw op het gebied van reclassering, politie, rechtspraak en het OM. Het Makandra</w:t>
      </w:r>
      <w:r>
        <w:t>-</w:t>
      </w:r>
      <w:r w:rsidRPr="0043386D">
        <w:t>programma heeft daarmee</w:t>
      </w:r>
      <w:r w:rsidR="00855255">
        <w:t xml:space="preserve"> op een positieve manier </w:t>
      </w:r>
      <w:r w:rsidRPr="0043386D">
        <w:t>bijgedragen aan de justitiële samenwerking tussen beide landen</w:t>
      </w:r>
      <w:r>
        <w:t>.</w:t>
      </w:r>
    </w:p>
    <w:bookmarkEnd w:id="1"/>
    <w:p w:rsidR="007F4516" w:rsidP="007F4516" w:rsidRDefault="007F4516" w14:paraId="5F6A544A" w14:textId="77777777">
      <w:pPr>
        <w:rPr>
          <w:highlight w:val="yellow"/>
        </w:rPr>
      </w:pPr>
    </w:p>
    <w:p w:rsidR="007F4516" w:rsidP="007F4516" w:rsidRDefault="007F4516" w14:paraId="0B8BA9F0" w14:textId="2B463E11">
      <w:bookmarkStart w:name="_Hlk213750347" w:id="2"/>
      <w:r>
        <w:t>Een ander voorbeeld</w:t>
      </w:r>
      <w:r w:rsidRPr="0043386D">
        <w:t xml:space="preserve"> </w:t>
      </w:r>
      <w:r w:rsidR="00855255">
        <w:t>is de</w:t>
      </w:r>
      <w:r>
        <w:t xml:space="preserve"> stage</w:t>
      </w:r>
      <w:r w:rsidR="00855255">
        <w:t xml:space="preserve"> </w:t>
      </w:r>
      <w:r>
        <w:t>van</w:t>
      </w:r>
      <w:r w:rsidRPr="0043386D">
        <w:t xml:space="preserve"> medewerkers van de Surinaamse Belastingdienst en Douane </w:t>
      </w:r>
      <w:r>
        <w:t xml:space="preserve">bij </w:t>
      </w:r>
      <w:r w:rsidR="00855255">
        <w:t>hun</w:t>
      </w:r>
      <w:r w:rsidRPr="0043386D">
        <w:t xml:space="preserve"> Nederlandse </w:t>
      </w:r>
      <w:r w:rsidR="0098676F">
        <w:t>equivalenten</w:t>
      </w:r>
      <w:r w:rsidRPr="0043386D">
        <w:t xml:space="preserve">. </w:t>
      </w:r>
      <w:r>
        <w:t>De uitwisselingen</w:t>
      </w:r>
      <w:r w:rsidR="00D92D4A">
        <w:t xml:space="preserve"> </w:t>
      </w:r>
      <w:r w:rsidRPr="0043386D">
        <w:lastRenderedPageBreak/>
        <w:t>boden een kans om kennis en ervaring te delen</w:t>
      </w:r>
      <w:r w:rsidR="00855255">
        <w:t xml:space="preserve"> en </w:t>
      </w:r>
      <w:r w:rsidRPr="0043386D">
        <w:t xml:space="preserve">versterkten </w:t>
      </w:r>
      <w:r w:rsidR="00855255">
        <w:t>tegelijkertijd o</w:t>
      </w:r>
      <w:r w:rsidRPr="0043386D">
        <w:t xml:space="preserve">ok het onderlinge begrip en vertrouwen tussen beide diensten. Deze gezamenlijke leerervaringen vormen een fundament voor verdere samenwerking. </w:t>
      </w:r>
    </w:p>
    <w:p w:rsidR="007C3F5B" w:rsidP="007F4516" w:rsidRDefault="007C3F5B" w14:paraId="040474DF" w14:textId="77777777"/>
    <w:bookmarkEnd w:id="2"/>
    <w:p w:rsidRPr="00AE3F4B" w:rsidR="00AE3F4B" w:rsidP="00AE3F4B" w:rsidRDefault="00AE3F4B" w14:paraId="36DF52FA" w14:textId="1C7101B3">
      <w:r w:rsidRPr="00AE3F4B">
        <w:t>D</w:t>
      </w:r>
      <w:r>
        <w:t>aarnaast werkten d</w:t>
      </w:r>
      <w:r w:rsidRPr="00AE3F4B">
        <w:t xml:space="preserve">e Surinaamse en Nederlandse onderwijsinspecties meerjarig samen aan een effectievere en toekomstbestendige Surinaamse inspectiedienst via </w:t>
      </w:r>
      <w:r w:rsidRPr="00AE3F4B">
        <w:rPr>
          <w:i/>
          <w:iCs/>
        </w:rPr>
        <w:t>train-the-trainer</w:t>
      </w:r>
      <w:r w:rsidRPr="00AE3F4B">
        <w:t xml:space="preserve"> cursussen, workshops voor aanscherping van toezichtinstrumenten en praktische handvatten bij de uitvoering van het toezicht. Dit project laat zien hoe de ministeries inzetten op duurzame samenwerking en verbindingen door intensieve uitwisseling van kennis en expertise.  </w:t>
      </w:r>
    </w:p>
    <w:p w:rsidR="007636F6" w:rsidP="00A2500C" w:rsidRDefault="007636F6" w14:paraId="3838B36D" w14:textId="77777777"/>
    <w:p w:rsidR="0098676F" w:rsidP="00B232FD" w:rsidRDefault="0098676F" w14:paraId="044BAB95" w14:textId="77777777">
      <w:r>
        <w:t>Kortom, h</w:t>
      </w:r>
      <w:r w:rsidR="00A2500C">
        <w:t xml:space="preserve">et Makandra-programma had een aanjagende functie voor projectmatige samenwerking en legde een basis waarop voortgebouwd kan worden. Daarnaast vergrootte het programma binnen de betrokken ministeries het interne draagvlak voor samenwerking met Suriname. Tevens zorgde het programma voor een versterkte positie van de Nederlandse ambassade in Suriname bij de autoriteiten, hetgeen zich vertaalde in korte lijnen met de Surinaamse overheid, naamsbekendheid en zichtbaarheid. </w:t>
      </w:r>
      <w:bookmarkEnd w:id="0"/>
    </w:p>
    <w:p w:rsidR="0098676F" w:rsidP="00B232FD" w:rsidRDefault="0098676F" w14:paraId="0A9480EC" w14:textId="77777777"/>
    <w:p w:rsidR="00B232FD" w:rsidP="00B232FD" w:rsidRDefault="00B232FD" w14:paraId="2AD20BC1" w14:textId="37928210">
      <w:r>
        <w:t xml:space="preserve">Tegelijk concludeert IOB </w:t>
      </w:r>
      <w:r w:rsidRPr="00E41156">
        <w:t>d</w:t>
      </w:r>
      <w:r>
        <w:t xml:space="preserve">at </w:t>
      </w:r>
      <w:r w:rsidRPr="00E41156">
        <w:t xml:space="preserve">de beoogde capaciteitsversterking van Surinaamse overheidsorganisaties </w:t>
      </w:r>
      <w:r>
        <w:t xml:space="preserve">slechts </w:t>
      </w:r>
      <w:r w:rsidRPr="00E41156">
        <w:t>beperkt</w:t>
      </w:r>
      <w:r>
        <w:t xml:space="preserve"> tot stand is gekomen. Er is</w:t>
      </w:r>
      <w:r w:rsidRPr="00E41156">
        <w:t xml:space="preserve"> </w:t>
      </w:r>
      <w:r>
        <w:t xml:space="preserve">weliswaar </w:t>
      </w:r>
      <w:r w:rsidRPr="00E41156">
        <w:t>sprake geweest van aanzienlijk</w:t>
      </w:r>
      <w:r>
        <w:t>e</w:t>
      </w:r>
      <w:r w:rsidRPr="00E41156">
        <w:t xml:space="preserve"> kennisoverdracht, </w:t>
      </w:r>
      <w:r>
        <w:t xml:space="preserve">maar dit kreeg beperkte </w:t>
      </w:r>
      <w:r w:rsidRPr="00E41156">
        <w:t xml:space="preserve">weerslag in </w:t>
      </w:r>
      <w:r>
        <w:t xml:space="preserve">een grotere organisatorische capaciteit van en </w:t>
      </w:r>
      <w:r w:rsidRPr="00E41156">
        <w:t xml:space="preserve">samenwerking tussen </w:t>
      </w:r>
      <w:r>
        <w:t xml:space="preserve">Surinaamse </w:t>
      </w:r>
      <w:r w:rsidRPr="00E41156">
        <w:t xml:space="preserve">overheidsorganisaties binnen </w:t>
      </w:r>
      <w:r>
        <w:t xml:space="preserve">de diverse beleidssectoren. </w:t>
      </w:r>
    </w:p>
    <w:p w:rsidR="00A2500C" w:rsidP="00A2500C" w:rsidRDefault="00A2500C" w14:paraId="318A21CC" w14:textId="77777777"/>
    <w:p w:rsidR="00A2500C" w:rsidP="00A2500C" w:rsidRDefault="00A2500C" w14:paraId="1B3F4DE7" w14:textId="77777777">
      <w:r>
        <w:t xml:space="preserve">Ook deze conclusie herkent het kabinet. De kracht van het programma was het praktische, snelle en flexibele karakter. Hierdoor kon de brede samenwerking snel opgetuigd worden, conform de politieke wens van Suriname en Nederland. De vijf beleidsthema’s maakten projecten mogelijk op veel onderwerpen, maar zorgden onvermijdelijk ook voor versnippering. </w:t>
      </w:r>
    </w:p>
    <w:p w:rsidR="001F4B3F" w:rsidP="00A2500C" w:rsidRDefault="001F4B3F" w14:paraId="26B2402D" w14:textId="77777777"/>
    <w:p w:rsidR="00A2500C" w:rsidP="00A2500C" w:rsidRDefault="00A2500C" w14:paraId="669C52A2" w14:textId="69B06519">
      <w:r>
        <w:t xml:space="preserve">IOB stelt terecht dat daadwerkelijke capaciteitsversterking een omvangrijkere en langdurigere samenwerking vereist. </w:t>
      </w:r>
      <w:bookmarkStart w:name="_Hlk213776802" w:id="3"/>
      <w:r>
        <w:t>Het kabinet onderschrijft dit, voor echt duurzaam resultaat is meer focus en tijd nodig. Een vervolgprogramma kan hierop een antwoord zijn.</w:t>
      </w:r>
      <w:r w:rsidR="0007350C">
        <w:t xml:space="preserve"> </w:t>
      </w:r>
    </w:p>
    <w:bookmarkEnd w:id="3"/>
    <w:p w:rsidR="00A2500C" w:rsidP="00A2500C" w:rsidRDefault="00A2500C" w14:paraId="161B0824" w14:textId="77777777"/>
    <w:p w:rsidR="00A2500C" w:rsidP="00A2500C" w:rsidRDefault="00A2500C" w14:paraId="26140726" w14:textId="77777777">
      <w:r w:rsidRPr="00C247E7">
        <w:t>Ook stelt IOB dat samenwerking het meest effectief ble</w:t>
      </w:r>
      <w:r>
        <w:t>e</w:t>
      </w:r>
      <w:r w:rsidRPr="00C247E7">
        <w:t>k</w:t>
      </w:r>
      <w:r>
        <w:t xml:space="preserve"> wanneer </w:t>
      </w:r>
      <w:r w:rsidRPr="00C247E7">
        <w:t>sprake was van een gedeeld belang. Het kabinet onderschrijft deze conclusie</w:t>
      </w:r>
      <w:r>
        <w:t xml:space="preserve"> eveneens</w:t>
      </w:r>
      <w:r w:rsidRPr="00C247E7">
        <w:t>: van beide kanten moeten personeel, tijd en eigenaarschap worden ingebracht. Een sterk gedeeld belang vormt daarbij de basis. Dat sluit</w:t>
      </w:r>
      <w:r>
        <w:t xml:space="preserve"> ook</w:t>
      </w:r>
      <w:r w:rsidRPr="00C247E7">
        <w:t xml:space="preserve"> aan bij een </w:t>
      </w:r>
      <w:r>
        <w:t xml:space="preserve">zakelijke </w:t>
      </w:r>
      <w:r w:rsidRPr="00C247E7">
        <w:t>relatie gebaseerd op gelijkwaardigheid.</w:t>
      </w:r>
    </w:p>
    <w:p w:rsidR="00A2500C" w:rsidP="00A2500C" w:rsidRDefault="00A2500C" w14:paraId="69630DE0" w14:textId="77777777"/>
    <w:p w:rsidR="00B721C0" w:rsidP="00A2500C" w:rsidRDefault="00A2500C" w14:paraId="34FF01C9" w14:textId="77777777">
      <w:r>
        <w:t xml:space="preserve">Tot slot constateert IOB dat enerzijds de strategische sturing tussen onderlinge Makandra-projecten is verbeterd, maar dat anderzijds coördinatie op of met externe initiatieven van internationale organisaties ontbrak. </w:t>
      </w:r>
      <w:r w:rsidRPr="00B029A2">
        <w:t xml:space="preserve">Het kabinet is zich er terdege van bewust dat samenhang </w:t>
      </w:r>
      <w:r>
        <w:t xml:space="preserve">met, </w:t>
      </w:r>
      <w:r w:rsidRPr="00B029A2">
        <w:t>en voortbouwen op</w:t>
      </w:r>
      <w:r>
        <w:t>,</w:t>
      </w:r>
      <w:r w:rsidRPr="00B029A2">
        <w:t xml:space="preserve"> bestaande initiatieven efficiënt is en een katalyserend effect heeft. Daarom </w:t>
      </w:r>
      <w:r w:rsidR="001F4B3F">
        <w:t>werd</w:t>
      </w:r>
      <w:r w:rsidRPr="00B029A2">
        <w:t xml:space="preserve"> </w:t>
      </w:r>
      <w:r>
        <w:t>bij</w:t>
      </w:r>
      <w:r w:rsidR="001F4B3F">
        <w:t xml:space="preserve"> de</w:t>
      </w:r>
      <w:r>
        <w:t xml:space="preserve"> opzet en uitvoering van de projecten actief </w:t>
      </w:r>
      <w:r w:rsidRPr="00B029A2">
        <w:t xml:space="preserve">gezocht naar aansluiting bij andere organisaties. </w:t>
      </w:r>
      <w:r>
        <w:t>Echter, in de praktijk bleek de toegang t</w:t>
      </w:r>
      <w:r w:rsidRPr="00B029A2">
        <w:t>ot deze initiatieven soms lastig</w:t>
      </w:r>
      <w:r w:rsidR="00B721C0">
        <w:t>.</w:t>
      </w:r>
    </w:p>
    <w:p w:rsidR="00D92D4A" w:rsidP="00A2500C" w:rsidRDefault="00D92D4A" w14:paraId="4DC7E8E1" w14:textId="77777777"/>
    <w:p w:rsidR="008D101B" w:rsidP="00A2500C" w:rsidRDefault="008D101B" w14:paraId="1BADB586" w14:textId="77777777"/>
    <w:p w:rsidRPr="00B721C0" w:rsidR="007C3F5B" w:rsidP="00A2500C" w:rsidRDefault="007C3F5B" w14:paraId="20722FD5" w14:textId="1725AEC0">
      <w:r w:rsidRPr="007C3F5B">
        <w:rPr>
          <w:b/>
          <w:bCs/>
        </w:rPr>
        <w:lastRenderedPageBreak/>
        <w:t>Toekomst</w:t>
      </w:r>
      <w:r w:rsidR="001D367C">
        <w:rPr>
          <w:b/>
          <w:bCs/>
        </w:rPr>
        <w:t xml:space="preserve">: </w:t>
      </w:r>
      <w:r w:rsidR="00FF1869">
        <w:rPr>
          <w:b/>
          <w:bCs/>
        </w:rPr>
        <w:t xml:space="preserve">een </w:t>
      </w:r>
      <w:r w:rsidR="001D367C">
        <w:rPr>
          <w:b/>
          <w:bCs/>
        </w:rPr>
        <w:t>tweede Makandra-programma</w:t>
      </w:r>
    </w:p>
    <w:p w:rsidR="007C3F5B" w:rsidP="007C3F5B" w:rsidRDefault="007C3F5B" w14:paraId="141F4C3A" w14:textId="6D912824">
      <w:r>
        <w:t>Het kabinet verwelkomt de conclusies uit de evaluatie en wil hierop voortbouwen, niet alleen voor een verdieping en versterking van de bestaande samenwerking met Suriname, maar ook voor een duurzamer resultaat en blijvende(r) impact.</w:t>
      </w:r>
    </w:p>
    <w:p w:rsidR="00D82B16" w:rsidP="007C3F5B" w:rsidRDefault="00D82B16" w14:paraId="15BECCC2" w14:textId="77777777"/>
    <w:p w:rsidR="007C3F5B" w:rsidP="007C3F5B" w:rsidRDefault="007C3F5B" w14:paraId="16F1164D" w14:textId="7AD6247B">
      <w:r>
        <w:t xml:space="preserve">Het kabinet voelt zich </w:t>
      </w:r>
      <w:r w:rsidR="00D82B16">
        <w:t xml:space="preserve">daarom </w:t>
      </w:r>
      <w:r>
        <w:t>door de evaluatie gesterkt om een tweede Makandra-programma op te zetten. De Surinaamse regering heeft hier ook interesse in getoond. De volgende stap is bilaterale besprekingen te voeren over de inhoud en de focus van de samenwerking, waarbij zowel de Surinaamse als Nederlandse beleidsprioriteiten leidend zullen zijn.</w:t>
      </w:r>
      <w:r w:rsidR="001D367C">
        <w:t xml:space="preserve"> </w:t>
      </w:r>
      <w:r w:rsidRPr="00FF1869" w:rsidR="00FF1869">
        <w:t xml:space="preserve">De kern van de evaluatie ligt voor het kabinet namelijk in het werken op basis van </w:t>
      </w:r>
      <w:r w:rsidR="00FF1869">
        <w:t xml:space="preserve">een </w:t>
      </w:r>
      <w:r w:rsidRPr="00FF1869" w:rsidR="00FF1869">
        <w:t>gedeeld belang</w:t>
      </w:r>
      <w:r w:rsidR="00FF1869">
        <w:t>.</w:t>
      </w:r>
    </w:p>
    <w:p w:rsidR="00A2500C" w:rsidP="00A2500C" w:rsidRDefault="00A2500C" w14:paraId="7445C037" w14:textId="77777777"/>
    <w:p w:rsidRPr="005F240E" w:rsidR="00A2500C" w:rsidP="00A2500C" w:rsidRDefault="00A2500C" w14:paraId="32EBED1A" w14:textId="77777777">
      <w:pPr>
        <w:rPr>
          <w:b/>
          <w:bCs/>
        </w:rPr>
      </w:pPr>
      <w:r w:rsidRPr="005F240E">
        <w:rPr>
          <w:b/>
          <w:bCs/>
        </w:rPr>
        <w:t>Aanbevelingen</w:t>
      </w:r>
    </w:p>
    <w:p w:rsidRPr="005E222F" w:rsidR="00A2500C" w:rsidP="00A2500C" w:rsidRDefault="001D367C" w14:paraId="1FF3C04F" w14:textId="4315AC67">
      <w:bookmarkStart w:name="_Hlk214016030" w:id="4"/>
      <w:r>
        <w:t>IOB heeft in het rapport drie aanbevelingen opgesteld voor een mogelijk vervolgprogramma</w:t>
      </w:r>
      <w:r w:rsidR="005F75A8">
        <w:t>, om naast de diplomatieke resultaten die zijn behaald, ook de bijdrage aan capaciteitsversterking te vergroten</w:t>
      </w:r>
      <w:bookmarkEnd w:id="4"/>
      <w:r>
        <w:t xml:space="preserve">. Deze aanbevelingen zijn daarom waardevol om mee te nemen bij het opzetten van een tweede Makandra-programma. </w:t>
      </w:r>
      <w:r w:rsidR="00A2500C">
        <w:t>Hieronder worden de</w:t>
      </w:r>
      <w:r>
        <w:t xml:space="preserve"> aanbevelingen</w:t>
      </w:r>
      <w:r w:rsidR="00A2500C">
        <w:t xml:space="preserve"> kort uiteengezet, met reactie per aanbeveling. </w:t>
      </w:r>
    </w:p>
    <w:p w:rsidRPr="003473A2" w:rsidR="00A2500C" w:rsidP="00A2500C" w:rsidRDefault="00A2500C" w14:paraId="65256393" w14:textId="77777777">
      <w:pPr>
        <w:rPr>
          <w:i/>
          <w:iCs/>
        </w:rPr>
      </w:pPr>
    </w:p>
    <w:p w:rsidRPr="003473A2" w:rsidR="00A2500C" w:rsidP="00A2500C" w:rsidRDefault="00A2500C" w14:paraId="6669E62D" w14:textId="77777777">
      <w:pPr>
        <w:pStyle w:val="ListParagraph"/>
        <w:numPr>
          <w:ilvl w:val="0"/>
          <w:numId w:val="14"/>
        </w:numPr>
        <w:ind w:left="360"/>
        <w:rPr>
          <w:i/>
          <w:iCs/>
        </w:rPr>
      </w:pPr>
      <w:r w:rsidRPr="003473A2">
        <w:rPr>
          <w:i/>
          <w:iCs/>
        </w:rPr>
        <w:t>Besteed als BZ meer aandacht aan een resultaatgerichte opzet van een toekomstige samenwerking op het gebied van capaciteitsversterking.</w:t>
      </w:r>
    </w:p>
    <w:p w:rsidRPr="003473A2" w:rsidR="00A2500C" w:rsidP="00A2500C" w:rsidRDefault="00A2500C" w14:paraId="07B03C25" w14:textId="77777777">
      <w:pPr>
        <w:rPr>
          <w:i/>
          <w:iCs/>
        </w:rPr>
      </w:pPr>
    </w:p>
    <w:p w:rsidRPr="005F240E" w:rsidR="00A2500C" w:rsidP="00A2500C" w:rsidRDefault="00A2500C" w14:paraId="0F000B38" w14:textId="4EC1E9CA">
      <w:r w:rsidRPr="005F240E">
        <w:t xml:space="preserve">Het kabinet neemt deze aanbeveling ter harte voor </w:t>
      </w:r>
      <w:r w:rsidR="00EC7B62">
        <w:t>het</w:t>
      </w:r>
      <w:r w:rsidRPr="005F240E">
        <w:t xml:space="preserve"> </w:t>
      </w:r>
      <w:r w:rsidR="001D367C">
        <w:t>tweede Makandra-programma</w:t>
      </w:r>
      <w:r w:rsidRPr="005F240E">
        <w:t xml:space="preserve">. </w:t>
      </w:r>
      <w:r>
        <w:t xml:space="preserve">Hierbij kan </w:t>
      </w:r>
      <w:r w:rsidR="001D367C">
        <w:t xml:space="preserve">gedacht worden aan </w:t>
      </w:r>
      <w:r>
        <w:t xml:space="preserve">een uitgebreidere contextanalyse, voortbouwend op de resultaten, ervaringen, uitdagingen en lessen van de eerdere projecten, alsmede adviezen van Surinaamse experts, om de programmatische impact te vergroten. Ook een helder, gezamenlijk </w:t>
      </w:r>
      <w:r w:rsidR="00BB5DBD">
        <w:t>vastgesteld</w:t>
      </w:r>
      <w:r>
        <w:t xml:space="preserve"> resultatenkader, inclusief tussentijdse evaluatie </w:t>
      </w:r>
      <w:r w:rsidR="00DF40AE">
        <w:t xml:space="preserve">en mogelijkheid tot bijsturen, </w:t>
      </w:r>
      <w:r>
        <w:t xml:space="preserve">kan behulpzaam zijn bij het vergroten van de impact. </w:t>
      </w:r>
    </w:p>
    <w:p w:rsidRPr="003473A2" w:rsidR="00A2500C" w:rsidP="00A2500C" w:rsidRDefault="00A2500C" w14:paraId="0FBB2A87" w14:textId="77777777">
      <w:pPr>
        <w:rPr>
          <w:i/>
          <w:iCs/>
        </w:rPr>
      </w:pPr>
    </w:p>
    <w:p w:rsidR="00A2500C" w:rsidP="00A2500C" w:rsidRDefault="00A2500C" w14:paraId="1A5B45F3" w14:textId="77777777">
      <w:pPr>
        <w:pStyle w:val="ListParagraph"/>
        <w:numPr>
          <w:ilvl w:val="0"/>
          <w:numId w:val="14"/>
        </w:numPr>
        <w:ind w:left="360"/>
        <w:rPr>
          <w:i/>
          <w:iCs/>
        </w:rPr>
      </w:pPr>
      <w:r w:rsidRPr="006D1413">
        <w:rPr>
          <w:i/>
          <w:iCs/>
        </w:rPr>
        <w:t>Selecteer beleidsterreinen die voor beide landen prioritair zijn en verbreed de beschikbare beleidsinstrumenten</w:t>
      </w:r>
    </w:p>
    <w:p w:rsidR="00A2500C" w:rsidP="00A2500C" w:rsidRDefault="00A2500C" w14:paraId="3A974B00" w14:textId="77777777">
      <w:pPr>
        <w:rPr>
          <w:i/>
          <w:iCs/>
        </w:rPr>
      </w:pPr>
    </w:p>
    <w:p w:rsidRPr="00B01255" w:rsidR="00A2500C" w:rsidP="00A2500C" w:rsidRDefault="00A2500C" w14:paraId="59252307" w14:textId="0D786822">
      <w:r>
        <w:t xml:space="preserve">Het kabinet neemt deze aanbeveling mee voor </w:t>
      </w:r>
      <w:r w:rsidR="00EC7B62">
        <w:t>het</w:t>
      </w:r>
      <w:r w:rsidR="001D367C">
        <w:t xml:space="preserve"> tweede Makandra-programma</w:t>
      </w:r>
      <w:r>
        <w:t xml:space="preserve">. Thema’s die voor beide landen van belang zijn moeten leidend zijn. Ook dit bevestigt de zakelijke en gelijkwaardige relatie. Bij een </w:t>
      </w:r>
      <w:r w:rsidR="001D367C">
        <w:t>tweede Makandra-programma</w:t>
      </w:r>
      <w:r>
        <w:t xml:space="preserve"> zal samen met Suriname vastgesteld worden wat deze prioritaire thema</w:t>
      </w:r>
      <w:r w:rsidR="00B232FD">
        <w:t>’</w:t>
      </w:r>
      <w:r>
        <w:t>s</w:t>
      </w:r>
      <w:r w:rsidR="00B232FD">
        <w:t xml:space="preserve"> en de beschikbare beleidsinstrumenten zullen</w:t>
      </w:r>
      <w:r>
        <w:t xml:space="preserve"> zijn, om focus aan te brengen, duurzame impact te bevorderen en daarmee ook het succes te vergroten.</w:t>
      </w:r>
    </w:p>
    <w:p w:rsidRPr="003473A2" w:rsidR="00A2500C" w:rsidP="00A2500C" w:rsidRDefault="00A2500C" w14:paraId="00BDB031" w14:textId="77777777">
      <w:pPr>
        <w:rPr>
          <w:i/>
          <w:iCs/>
        </w:rPr>
      </w:pPr>
    </w:p>
    <w:p w:rsidR="00A2500C" w:rsidP="00A2500C" w:rsidRDefault="00A2500C" w14:paraId="081D09D1" w14:textId="77777777">
      <w:pPr>
        <w:pStyle w:val="ListParagraph"/>
        <w:numPr>
          <w:ilvl w:val="0"/>
          <w:numId w:val="14"/>
        </w:numPr>
        <w:ind w:left="360"/>
        <w:rPr>
          <w:i/>
          <w:iCs/>
        </w:rPr>
      </w:pPr>
      <w:r w:rsidRPr="003473A2">
        <w:rPr>
          <w:i/>
          <w:iCs/>
        </w:rPr>
        <w:t>Stuur gerichter op samenhang tussen de verschillende programma’s die Nederland ondersteunt (intern) en met relevante initiatieven van internationale organisaties (extern) op het gebied van capaciteitsopbouw in Suriname</w:t>
      </w:r>
      <w:r>
        <w:rPr>
          <w:i/>
          <w:iCs/>
        </w:rPr>
        <w:t>.</w:t>
      </w:r>
    </w:p>
    <w:p w:rsidR="00A2500C" w:rsidP="00A2500C" w:rsidRDefault="00A2500C" w14:paraId="5D0E4B60" w14:textId="77777777">
      <w:pPr>
        <w:rPr>
          <w:i/>
          <w:iCs/>
        </w:rPr>
      </w:pPr>
    </w:p>
    <w:p w:rsidRPr="005F240E" w:rsidR="00A2500C" w:rsidP="00A2500C" w:rsidRDefault="00A2500C" w14:paraId="086E8CEA" w14:textId="15625A8E">
      <w:r w:rsidRPr="005F240E">
        <w:t xml:space="preserve">Het kabinet </w:t>
      </w:r>
      <w:r>
        <w:t xml:space="preserve">ziet het belang van deze aanbeveling maar erkent ook dat dit in de praktijk weerbarstig is gebleken en </w:t>
      </w:r>
      <w:r w:rsidR="00BA5EA4">
        <w:t xml:space="preserve">daarom </w:t>
      </w:r>
      <w:r>
        <w:t xml:space="preserve">extra aandacht vereist. Het kabinet zal bij </w:t>
      </w:r>
      <w:r w:rsidR="001D367C">
        <w:t>het tweede Makandra-programma</w:t>
      </w:r>
      <w:r>
        <w:t xml:space="preserve"> streven om, samen met Suriname, hier nadrukkelijker regie op te voeren. In di</w:t>
      </w:r>
      <w:r w:rsidRPr="00F0787F">
        <w:t xml:space="preserve">t kader </w:t>
      </w:r>
      <w:r>
        <w:t xml:space="preserve">kan bijvoorbeeld gedacht worden </w:t>
      </w:r>
      <w:r w:rsidR="001F4B3F">
        <w:t>om met Suriname een</w:t>
      </w:r>
      <w:r>
        <w:t xml:space="preserve"> </w:t>
      </w:r>
      <w:r w:rsidRPr="00F0787F">
        <w:t>coördinatiemechanisme</w:t>
      </w:r>
      <w:r w:rsidR="001F4B3F">
        <w:t xml:space="preserve"> op te zetten</w:t>
      </w:r>
      <w:r>
        <w:t xml:space="preserve">. </w:t>
      </w:r>
      <w:r w:rsidRPr="005F240E">
        <w:t xml:space="preserve">Ook ziet het kabinet </w:t>
      </w:r>
      <w:r w:rsidRPr="005F240E">
        <w:lastRenderedPageBreak/>
        <w:t>de meerwaarde van aansluiting bij initiatieven</w:t>
      </w:r>
      <w:r w:rsidR="001F4B3F">
        <w:t xml:space="preserve"> </w:t>
      </w:r>
      <w:r w:rsidRPr="005F240E">
        <w:t>in de Caribische regio</w:t>
      </w:r>
      <w:r>
        <w:t xml:space="preserve">, niet alleen om van elkaar te leren, maar ook om het programma ten gunste van het gehele Koninkrijk in te zetten. </w:t>
      </w:r>
    </w:p>
    <w:p w:rsidRPr="003765D6" w:rsidR="00A2500C" w:rsidP="00A2500C" w:rsidRDefault="00A2500C" w14:paraId="5C57D393" w14:textId="77777777">
      <w:pPr>
        <w:rPr>
          <w:i/>
          <w:iCs/>
        </w:rPr>
      </w:pPr>
    </w:p>
    <w:p w:rsidRPr="003765D6" w:rsidR="00A2500C" w:rsidP="00A2500C" w:rsidRDefault="00A2500C" w14:paraId="305CA70A" w14:textId="77777777">
      <w:pPr>
        <w:rPr>
          <w:b/>
          <w:bCs/>
        </w:rPr>
      </w:pPr>
      <w:r w:rsidRPr="003765D6">
        <w:rPr>
          <w:b/>
          <w:bCs/>
        </w:rPr>
        <w:t>Slotopmerkingen</w:t>
      </w:r>
    </w:p>
    <w:p w:rsidR="00A2500C" w:rsidP="00A2500C" w:rsidRDefault="00A2500C" w14:paraId="6D80EF0A" w14:textId="1A893FD6">
      <w:r w:rsidRPr="003765D6">
        <w:t xml:space="preserve">Kortom, het kabinet verwelkomt </w:t>
      </w:r>
      <w:r>
        <w:t xml:space="preserve">deze </w:t>
      </w:r>
      <w:r w:rsidRPr="003765D6">
        <w:t xml:space="preserve">positieve evaluatie, en </w:t>
      </w:r>
      <w:r>
        <w:t xml:space="preserve">beschouwt deze </w:t>
      </w:r>
      <w:r w:rsidRPr="003765D6">
        <w:t xml:space="preserve">als een bevestiging van het </w:t>
      </w:r>
      <w:r>
        <w:t xml:space="preserve">huidige </w:t>
      </w:r>
      <w:r w:rsidRPr="003765D6">
        <w:t xml:space="preserve">beleid. Daarnaast biedt de evaluatie </w:t>
      </w:r>
      <w:r>
        <w:t>concrete</w:t>
      </w:r>
      <w:r w:rsidRPr="003765D6">
        <w:t xml:space="preserve"> handva</w:t>
      </w:r>
      <w:r w:rsidR="00B232FD">
        <w:t>t</w:t>
      </w:r>
      <w:r w:rsidRPr="003765D6">
        <w:t>ten om de brede samenwerking duurzaam voort te zetten en te verdiepen</w:t>
      </w:r>
      <w:r>
        <w:t xml:space="preserve"> en vormt daarmee een solide basis om </w:t>
      </w:r>
      <w:r w:rsidR="00076E90">
        <w:t>een tweede</w:t>
      </w:r>
      <w:r>
        <w:t xml:space="preserve"> Makandra-programma </w:t>
      </w:r>
      <w:r w:rsidR="00076E90">
        <w:t>op</w:t>
      </w:r>
      <w:r>
        <w:t xml:space="preserve"> te zetten voor de periode 2026-2030. Dit dient het belang van beide landen en komt de bilaterale relatie ten goede.</w:t>
      </w:r>
    </w:p>
    <w:p w:rsidR="001D367C" w:rsidP="00A2500C" w:rsidRDefault="001D367C" w14:paraId="5B0CCB2D" w14:textId="77777777"/>
    <w:p w:rsidR="00A2500C" w:rsidP="00A2500C" w:rsidRDefault="00A2500C" w14:paraId="110B1827" w14:textId="77777777">
      <w:pPr>
        <w:rPr>
          <w:i/>
          <w:iCs/>
          <w:highlight w:val="yellow"/>
        </w:rPr>
      </w:pPr>
    </w:p>
    <w:tbl>
      <w:tblPr>
        <w:tblStyle w:val="Tabelondertekening"/>
        <w:tblW w:w="7541" w:type="dxa"/>
        <w:tblInd w:w="0" w:type="dxa"/>
        <w:tblLayout w:type="fixed"/>
        <w:tblLook w:val="07E0" w:firstRow="1" w:lastRow="1" w:firstColumn="1" w:lastColumn="1" w:noHBand="1" w:noVBand="1"/>
      </w:tblPr>
      <w:tblGrid>
        <w:gridCol w:w="3620"/>
        <w:gridCol w:w="3921"/>
      </w:tblGrid>
      <w:tr w:rsidR="00A2500C" w:rsidTr="00B11B3A" w14:paraId="5E1535DB" w14:textId="77777777">
        <w:tc>
          <w:tcPr>
            <w:tcW w:w="3620" w:type="dxa"/>
          </w:tcPr>
          <w:p w:rsidR="00A2500C" w:rsidP="00B11B3A" w:rsidRDefault="00A2500C" w14:paraId="71AA3FF8" w14:textId="68CC22EE">
            <w:r>
              <w:t xml:space="preserve">De </w:t>
            </w:r>
            <w:r w:rsidR="004F42A0">
              <w:t>m</w:t>
            </w:r>
            <w:r>
              <w:t>inister van Buitenlandse Zaken,</w:t>
            </w:r>
            <w:r>
              <w:br/>
            </w:r>
            <w:r>
              <w:br/>
            </w:r>
            <w:r>
              <w:br/>
            </w:r>
            <w:r>
              <w:br/>
            </w:r>
            <w:r>
              <w:br/>
            </w:r>
            <w:r>
              <w:br/>
              <w:t>D.M. van Weel</w:t>
            </w:r>
          </w:p>
        </w:tc>
        <w:tc>
          <w:tcPr>
            <w:tcW w:w="3921" w:type="dxa"/>
          </w:tcPr>
          <w:p w:rsidR="00A2500C" w:rsidP="00B11B3A" w:rsidRDefault="00A2500C" w14:paraId="2B6508F4" w14:textId="77777777"/>
        </w:tc>
      </w:tr>
    </w:tbl>
    <w:p w:rsidR="00A2500C" w:rsidP="00A2500C" w:rsidRDefault="00A2500C" w14:paraId="6EBFFBC1" w14:textId="77777777"/>
    <w:p w:rsidR="00D30EE6" w:rsidP="00C247E7" w:rsidRDefault="00D30EE6" w14:paraId="3BBFB6D3" w14:textId="77777777"/>
    <w:p w:rsidR="001D367C" w:rsidP="00C247E7" w:rsidRDefault="001D367C" w14:paraId="2882CB5F" w14:textId="77777777"/>
    <w:sectPr w:rsidR="001D367C">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E9D1" w14:textId="77777777" w:rsidR="006730A9" w:rsidRDefault="006730A9">
      <w:pPr>
        <w:spacing w:line="240" w:lineRule="auto"/>
      </w:pPr>
      <w:r>
        <w:separator/>
      </w:r>
    </w:p>
  </w:endnote>
  <w:endnote w:type="continuationSeparator" w:id="0">
    <w:p w14:paraId="45B89FA8" w14:textId="77777777" w:rsidR="006730A9" w:rsidRDefault="006730A9">
      <w:pPr>
        <w:spacing w:line="240" w:lineRule="auto"/>
      </w:pPr>
      <w:r>
        <w:continuationSeparator/>
      </w:r>
    </w:p>
  </w:endnote>
  <w:endnote w:type="continuationNotice" w:id="1">
    <w:p w14:paraId="46AADF2B" w14:textId="77777777" w:rsidR="006730A9" w:rsidRDefault="006730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0F7F" w14:textId="77777777" w:rsidR="000F042B" w:rsidRDefault="000F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092848"/>
      <w:docPartObj>
        <w:docPartGallery w:val="Page Numbers (Bottom of Page)"/>
        <w:docPartUnique/>
      </w:docPartObj>
    </w:sdtPr>
    <w:sdtContent>
      <w:p w14:paraId="1A60D3AE" w14:textId="17562EE5" w:rsidR="001E7A75" w:rsidRDefault="001E7A75">
        <w:pPr>
          <w:pStyle w:val="Footer"/>
          <w:jc w:val="center"/>
        </w:pPr>
        <w:r>
          <w:fldChar w:fldCharType="begin"/>
        </w:r>
        <w:r>
          <w:instrText>PAGE   \* MERGEFORMAT</w:instrText>
        </w:r>
        <w:r>
          <w:fldChar w:fldCharType="separate"/>
        </w:r>
        <w:r>
          <w:t>2</w:t>
        </w:r>
        <w:r>
          <w:fldChar w:fldCharType="end"/>
        </w:r>
      </w:p>
    </w:sdtContent>
  </w:sdt>
  <w:p w14:paraId="3CF83D9F" w14:textId="77777777" w:rsidR="001E7A75" w:rsidRDefault="001E7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582544"/>
      <w:docPartObj>
        <w:docPartGallery w:val="Page Numbers (Bottom of Page)"/>
        <w:docPartUnique/>
      </w:docPartObj>
    </w:sdtPr>
    <w:sdtContent>
      <w:p w14:paraId="72660449" w14:textId="319283D7" w:rsidR="001E7A75" w:rsidRDefault="001E7A75">
        <w:pPr>
          <w:pStyle w:val="Footer"/>
          <w:jc w:val="center"/>
        </w:pPr>
        <w:r>
          <w:fldChar w:fldCharType="begin"/>
        </w:r>
        <w:r>
          <w:instrText>PAGE   \* MERGEFORMAT</w:instrText>
        </w:r>
        <w:r>
          <w:fldChar w:fldCharType="separate"/>
        </w:r>
        <w:r>
          <w:t>2</w:t>
        </w:r>
        <w:r>
          <w:fldChar w:fldCharType="end"/>
        </w:r>
      </w:p>
    </w:sdtContent>
  </w:sdt>
  <w:p w14:paraId="28A7F4FD" w14:textId="77777777" w:rsidR="001E7A75" w:rsidRDefault="001E7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3A04" w14:textId="77777777" w:rsidR="006730A9" w:rsidRDefault="006730A9">
      <w:pPr>
        <w:spacing w:line="240" w:lineRule="auto"/>
      </w:pPr>
      <w:r>
        <w:separator/>
      </w:r>
    </w:p>
  </w:footnote>
  <w:footnote w:type="continuationSeparator" w:id="0">
    <w:p w14:paraId="1FCF3BEA" w14:textId="77777777" w:rsidR="006730A9" w:rsidRDefault="006730A9">
      <w:pPr>
        <w:spacing w:line="240" w:lineRule="auto"/>
      </w:pPr>
      <w:r>
        <w:continuationSeparator/>
      </w:r>
    </w:p>
  </w:footnote>
  <w:footnote w:type="continuationNotice" w:id="1">
    <w:p w14:paraId="141A3C94" w14:textId="77777777" w:rsidR="006730A9" w:rsidRDefault="006730A9">
      <w:pPr>
        <w:spacing w:line="240" w:lineRule="auto"/>
      </w:pPr>
    </w:p>
  </w:footnote>
  <w:footnote w:id="2">
    <w:p w14:paraId="562A1C37" w14:textId="77777777" w:rsidR="00A2500C" w:rsidRPr="00530D63" w:rsidRDefault="00A2500C" w:rsidP="00A2500C">
      <w:pPr>
        <w:pStyle w:val="FootnoteText"/>
        <w:rPr>
          <w:sz w:val="16"/>
          <w:szCs w:val="16"/>
        </w:rPr>
      </w:pPr>
      <w:r w:rsidRPr="00530D63">
        <w:rPr>
          <w:rStyle w:val="FootnoteReference"/>
          <w:sz w:val="16"/>
          <w:szCs w:val="16"/>
        </w:rPr>
        <w:footnoteRef/>
      </w:r>
      <w:r w:rsidRPr="00530D63">
        <w:rPr>
          <w:sz w:val="16"/>
          <w:szCs w:val="16"/>
        </w:rPr>
        <w:t xml:space="preserve"> Verslag van een notaoverleg, gehouden op 2 juni 2025, over Suriname</w:t>
      </w:r>
    </w:p>
  </w:footnote>
  <w:footnote w:id="3">
    <w:p w14:paraId="2889429F" w14:textId="77777777" w:rsidR="00A2500C" w:rsidRPr="00530D63" w:rsidRDefault="00A2500C" w:rsidP="00A2500C">
      <w:pPr>
        <w:pStyle w:val="FootnoteText"/>
        <w:rPr>
          <w:sz w:val="16"/>
          <w:szCs w:val="16"/>
        </w:rPr>
      </w:pPr>
      <w:r w:rsidRPr="00530D63">
        <w:rPr>
          <w:rStyle w:val="FootnoteReference"/>
          <w:sz w:val="16"/>
          <w:szCs w:val="16"/>
        </w:rPr>
        <w:footnoteRef/>
      </w:r>
      <w:r w:rsidRPr="00530D63">
        <w:rPr>
          <w:sz w:val="16"/>
          <w:szCs w:val="16"/>
        </w:rPr>
        <w:t xml:space="preserve"> </w:t>
      </w:r>
      <w:hyperlink r:id="rId1" w:history="1">
        <w:r w:rsidRPr="00530D63">
          <w:rPr>
            <w:rStyle w:val="Hyperlink"/>
            <w:sz w:val="16"/>
            <w:szCs w:val="16"/>
          </w:rPr>
          <w:t>Toezegging bij Suriname | Tweede Kamer der Staten-Generaal</w:t>
        </w:r>
      </w:hyperlink>
      <w:r w:rsidRPr="00530D63">
        <w:rPr>
          <w:sz w:val="16"/>
          <w:szCs w:val="16"/>
        </w:rPr>
        <w:t xml:space="preserve"> TZ202506-008</w:t>
      </w:r>
    </w:p>
  </w:footnote>
  <w:footnote w:id="4">
    <w:p w14:paraId="16AF0730" w14:textId="77777777" w:rsidR="00B51B6A" w:rsidRPr="00530D63" w:rsidRDefault="00B51B6A" w:rsidP="00B51B6A">
      <w:pPr>
        <w:pStyle w:val="FootnoteText"/>
        <w:rPr>
          <w:sz w:val="16"/>
          <w:szCs w:val="16"/>
        </w:rPr>
      </w:pPr>
      <w:r w:rsidRPr="00530D63">
        <w:rPr>
          <w:rStyle w:val="FootnoteReference"/>
          <w:sz w:val="16"/>
          <w:szCs w:val="16"/>
        </w:rPr>
        <w:footnoteRef/>
      </w:r>
      <w:r w:rsidRPr="00530D63">
        <w:rPr>
          <w:sz w:val="16"/>
          <w:szCs w:val="16"/>
        </w:rPr>
        <w:t xml:space="preserve"> Kamerbrief Suriname 14 februari 2025</w:t>
      </w:r>
    </w:p>
  </w:footnote>
  <w:footnote w:id="5">
    <w:p w14:paraId="41B19D1A" w14:textId="26C4D7E8" w:rsidR="00B721C0" w:rsidRPr="00B721C0" w:rsidRDefault="00B721C0">
      <w:pPr>
        <w:pStyle w:val="FootnoteText"/>
        <w:rPr>
          <w:sz w:val="16"/>
          <w:szCs w:val="16"/>
        </w:rPr>
      </w:pPr>
      <w:r w:rsidRPr="00B721C0">
        <w:rPr>
          <w:rStyle w:val="FootnoteReference"/>
          <w:sz w:val="16"/>
          <w:szCs w:val="16"/>
        </w:rPr>
        <w:footnoteRef/>
      </w:r>
      <w:r w:rsidRPr="00B721C0">
        <w:rPr>
          <w:sz w:val="16"/>
          <w:szCs w:val="16"/>
        </w:rPr>
        <w:t xml:space="preserve"> De opdracht van BZ aan RVO kwam uiteindelijk uit op een bedrag van </w:t>
      </w:r>
      <w:r w:rsidR="004F42A0">
        <w:rPr>
          <w:sz w:val="16"/>
          <w:szCs w:val="16"/>
        </w:rPr>
        <w:t>EUR</w:t>
      </w:r>
      <w:r w:rsidRPr="00B721C0">
        <w:rPr>
          <w:sz w:val="16"/>
          <w:szCs w:val="16"/>
        </w:rPr>
        <w:t xml:space="preserve"> 9.650.000, waarvan </w:t>
      </w:r>
      <w:r w:rsidR="004F42A0">
        <w:rPr>
          <w:sz w:val="16"/>
          <w:szCs w:val="16"/>
        </w:rPr>
        <w:t>EUR</w:t>
      </w:r>
      <w:r w:rsidRPr="00B721C0">
        <w:rPr>
          <w:sz w:val="16"/>
          <w:szCs w:val="16"/>
        </w:rPr>
        <w:t xml:space="preserve"> 8.480.000 beschikbaar was voor programmamiddelen</w:t>
      </w:r>
    </w:p>
  </w:footnote>
  <w:footnote w:id="6">
    <w:p w14:paraId="4FF43881" w14:textId="77777777" w:rsidR="00A2500C" w:rsidRPr="00530D63" w:rsidRDefault="00A2500C" w:rsidP="00A2500C">
      <w:pPr>
        <w:pStyle w:val="Heading2"/>
        <w:rPr>
          <w:sz w:val="16"/>
          <w:szCs w:val="16"/>
        </w:rPr>
      </w:pPr>
      <w:r w:rsidRPr="00530D63">
        <w:rPr>
          <w:rStyle w:val="FootnoteReference"/>
          <w:sz w:val="16"/>
          <w:szCs w:val="16"/>
        </w:rPr>
        <w:footnoteRef/>
      </w:r>
      <w:r w:rsidRPr="00530D63">
        <w:rPr>
          <w:i w:val="0"/>
          <w:iCs/>
          <w:sz w:val="16"/>
          <w:szCs w:val="16"/>
        </w:rPr>
        <w:t xml:space="preserve"> IOB Evaluatie van het Makandra-programma (2021-2025). </w:t>
      </w:r>
      <w:r w:rsidRPr="00530D63">
        <w:rPr>
          <w:sz w:val="16"/>
          <w:szCs w:val="16"/>
        </w:rPr>
        <w:t>Bouwen in vertrouwen: Investeren in de hernieuwde relatie tussen Nederland en Suriname.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02A8" w14:textId="77777777" w:rsidR="000F042B" w:rsidRDefault="000F0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C579" w14:textId="31E6DFB6" w:rsidR="00D12BFB" w:rsidRDefault="00030AFA">
    <w:r>
      <w:rPr>
        <w:noProof/>
      </w:rPr>
      <mc:AlternateContent>
        <mc:Choice Requires="wps">
          <w:drawing>
            <wp:anchor distT="0" distB="0" distL="0" distR="0" simplePos="0" relativeHeight="251658240" behindDoc="0" locked="1" layoutInCell="1" allowOverlap="1" wp14:anchorId="0599C57D" wp14:editId="26C0F858">
              <wp:simplePos x="0" y="0"/>
              <wp:positionH relativeFrom="page">
                <wp:posOffset>5922010</wp:posOffset>
              </wp:positionH>
              <wp:positionV relativeFrom="page">
                <wp:posOffset>1962150</wp:posOffset>
              </wp:positionV>
              <wp:extent cx="136398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p w14:paraId="0599C5AC" w14:textId="77777777" w:rsidR="00D12BFB" w:rsidRDefault="00030AFA">
                          <w:pPr>
                            <w:pStyle w:val="Referentiegegevensbold"/>
                          </w:pPr>
                          <w:r>
                            <w:t>Ministerie van Buitenlandse Zaken</w:t>
                          </w:r>
                        </w:p>
                        <w:p w14:paraId="0599C5AD" w14:textId="77777777" w:rsidR="00D12BFB" w:rsidRDefault="00D12BFB">
                          <w:pPr>
                            <w:pStyle w:val="WitregelW2"/>
                          </w:pPr>
                        </w:p>
                        <w:p w14:paraId="0599C5AE" w14:textId="77777777" w:rsidR="00D12BFB" w:rsidRDefault="00030AFA">
                          <w:pPr>
                            <w:pStyle w:val="Referentiegegevensbold"/>
                          </w:pPr>
                          <w:r>
                            <w:t>Onze referentie</w:t>
                          </w:r>
                        </w:p>
                        <w:p w14:paraId="0599C5AF" w14:textId="77777777" w:rsidR="00D12BFB" w:rsidRDefault="00030AFA">
                          <w:pPr>
                            <w:pStyle w:val="Referentiegegevens"/>
                          </w:pPr>
                          <w:r>
                            <w:t>BZ2521179</w:t>
                          </w:r>
                        </w:p>
                      </w:txbxContent>
                    </wps:txbx>
                    <wps:bodyPr vert="horz" wrap="square" lIns="0" tIns="0" rIns="0" bIns="0" anchor="t" anchorCtr="0"/>
                  </wps:wsp>
                </a:graphicData>
              </a:graphic>
              <wp14:sizeRelH relativeFrom="margin">
                <wp14:pctWidth>0</wp14:pctWidth>
              </wp14:sizeRelH>
            </wp:anchor>
          </w:drawing>
        </mc:Choice>
        <mc:Fallback>
          <w:pict>
            <v:shapetype w14:anchorId="0599C57D" id="_x0000_t202" coordsize="21600,21600" o:spt="202" path="m,l,21600r21600,l21600,xe">
              <v:stroke joinstyle="miter"/>
              <v:path gradientshapeok="t" o:connecttype="rect"/>
            </v:shapetype>
            <v:shape id="41b1110a-80a4-11ea-b356-6230a4311406" o:spid="_x0000_s1026" type="#_x0000_t202" style="position:absolute;margin-left:466.3pt;margin-top:154.5pt;width:107.4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" filled="f" stroked="f">
              <v:textbox inset="0,0,0,0">
                <w:txbxContent>
                  <w:p w14:paraId="0599C5AC" w14:textId="77777777" w:rsidR="00D12BFB" w:rsidRDefault="00030AFA">
                    <w:pPr>
                      <w:pStyle w:val="Referentiegegevensbold"/>
                    </w:pPr>
                    <w:r>
                      <w:t>Ministerie van Buitenlandse Zaken</w:t>
                    </w:r>
                  </w:p>
                  <w:p w14:paraId="0599C5AD" w14:textId="77777777" w:rsidR="00D12BFB" w:rsidRDefault="00D12BFB">
                    <w:pPr>
                      <w:pStyle w:val="WitregelW2"/>
                    </w:pPr>
                  </w:p>
                  <w:p w14:paraId="0599C5AE" w14:textId="77777777" w:rsidR="00D12BFB" w:rsidRDefault="00030AFA">
                    <w:pPr>
                      <w:pStyle w:val="Referentiegegevensbold"/>
                    </w:pPr>
                    <w:r>
                      <w:t>Onze referentie</w:t>
                    </w:r>
                  </w:p>
                  <w:p w14:paraId="0599C5AF" w14:textId="77777777" w:rsidR="00D12BFB" w:rsidRDefault="00030AFA">
                    <w:pPr>
                      <w:pStyle w:val="Referentiegegevens"/>
                    </w:pPr>
                    <w:r>
                      <w:t>BZ2521179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599C581" wp14:editId="012107B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99C5BD" w14:textId="77777777" w:rsidR="00030AFA" w:rsidRDefault="00030AFA"/>
                      </w:txbxContent>
                    </wps:txbx>
                    <wps:bodyPr vert="horz" wrap="square" lIns="0" tIns="0" rIns="0" bIns="0" anchor="t" anchorCtr="0"/>
                  </wps:wsp>
                </a:graphicData>
              </a:graphic>
            </wp:anchor>
          </w:drawing>
        </mc:Choice>
        <mc:Fallback>
          <w:pict>
            <v:shape w14:anchorId="0599C58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599C5BD" w14:textId="77777777" w:rsidR="00030AFA" w:rsidRDefault="00030AF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C57B" w14:textId="151E0BB1" w:rsidR="00D12BFB" w:rsidRDefault="00030AFA">
    <w:pPr>
      <w:spacing w:after="7131" w:line="14" w:lineRule="exact"/>
    </w:pPr>
    <w:r>
      <w:rPr>
        <w:noProof/>
      </w:rPr>
      <mc:AlternateContent>
        <mc:Choice Requires="wps">
          <w:drawing>
            <wp:anchor distT="0" distB="0" distL="0" distR="0" simplePos="0" relativeHeight="251658243" behindDoc="0" locked="1" layoutInCell="1" allowOverlap="1" wp14:anchorId="0599C583" wp14:editId="0599C58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599C5B1" w14:textId="77777777" w:rsidR="00030AFA" w:rsidRDefault="00030AFA"/>
                      </w:txbxContent>
                    </wps:txbx>
                    <wps:bodyPr vert="horz" wrap="square" lIns="0" tIns="0" rIns="0" bIns="0" anchor="t" anchorCtr="0"/>
                  </wps:wsp>
                </a:graphicData>
              </a:graphic>
            </wp:anchor>
          </w:drawing>
        </mc:Choice>
        <mc:Fallback>
          <w:pict>
            <v:shapetype w14:anchorId="0599C58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599C5B1" w14:textId="77777777" w:rsidR="00030AFA" w:rsidRDefault="00030AF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599C585" wp14:editId="0599C58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99C594" w14:textId="77777777" w:rsidR="00D12BFB" w:rsidRDefault="00030AF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599C58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99C594" w14:textId="77777777" w:rsidR="00D12BFB" w:rsidRDefault="00030AF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599C587" wp14:editId="0599C58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12BFB" w14:paraId="0599C597" w14:textId="77777777">
                            <w:tc>
                              <w:tcPr>
                                <w:tcW w:w="678" w:type="dxa"/>
                              </w:tcPr>
                              <w:p w14:paraId="0599C595" w14:textId="77777777" w:rsidR="00D12BFB" w:rsidRDefault="00030AFA">
                                <w:r>
                                  <w:t>Datum</w:t>
                                </w:r>
                              </w:p>
                            </w:tc>
                            <w:tc>
                              <w:tcPr>
                                <w:tcW w:w="6851" w:type="dxa"/>
                              </w:tcPr>
                              <w:p w14:paraId="0599C596" w14:textId="542978F9" w:rsidR="00D12BFB" w:rsidRDefault="006650C1">
                                <w:r>
                                  <w:t>1 december</w:t>
                                </w:r>
                                <w:r w:rsidR="00030AFA">
                                  <w:t xml:space="preserve"> 2025</w:t>
                                </w:r>
                              </w:p>
                            </w:tc>
                          </w:tr>
                          <w:tr w:rsidR="00D12BFB" w14:paraId="0599C59C" w14:textId="77777777">
                            <w:tc>
                              <w:tcPr>
                                <w:tcW w:w="678" w:type="dxa"/>
                              </w:tcPr>
                              <w:p w14:paraId="0599C598" w14:textId="77777777" w:rsidR="00D12BFB" w:rsidRDefault="00030AFA">
                                <w:r>
                                  <w:t>Betreft</w:t>
                                </w:r>
                              </w:p>
                              <w:p w14:paraId="0599C599" w14:textId="77777777" w:rsidR="00D12BFB" w:rsidRDefault="00D12BFB"/>
                            </w:tc>
                            <w:tc>
                              <w:tcPr>
                                <w:tcW w:w="6851" w:type="dxa"/>
                              </w:tcPr>
                              <w:p w14:paraId="0599C59A" w14:textId="77777777" w:rsidR="00D12BFB" w:rsidRDefault="00030AFA">
                                <w:r>
                                  <w:t>Kabinetsreactie IOB-evaluatie Makandra-programma 2021-2025</w:t>
                                </w:r>
                              </w:p>
                              <w:p w14:paraId="0599C59B" w14:textId="77777777" w:rsidR="00D12BFB" w:rsidRDefault="00D12BFB"/>
                            </w:tc>
                          </w:tr>
                        </w:tbl>
                        <w:p w14:paraId="0599C59D" w14:textId="77777777" w:rsidR="00D12BFB" w:rsidRDefault="00D12BFB"/>
                        <w:p w14:paraId="0599C59E" w14:textId="77777777" w:rsidR="00D12BFB" w:rsidRDefault="00D12BFB"/>
                      </w:txbxContent>
                    </wps:txbx>
                    <wps:bodyPr vert="horz" wrap="square" lIns="0" tIns="0" rIns="0" bIns="0" anchor="t" anchorCtr="0"/>
                  </wps:wsp>
                </a:graphicData>
              </a:graphic>
            </wp:anchor>
          </w:drawing>
        </mc:Choice>
        <mc:Fallback>
          <w:pict>
            <v:shape w14:anchorId="0599C587"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12BFB" w14:paraId="0599C597" w14:textId="77777777">
                      <w:tc>
                        <w:tcPr>
                          <w:tcW w:w="678" w:type="dxa"/>
                        </w:tcPr>
                        <w:p w14:paraId="0599C595" w14:textId="77777777" w:rsidR="00D12BFB" w:rsidRDefault="00030AFA">
                          <w:r>
                            <w:t>Datum</w:t>
                          </w:r>
                        </w:p>
                      </w:tc>
                      <w:tc>
                        <w:tcPr>
                          <w:tcW w:w="6851" w:type="dxa"/>
                        </w:tcPr>
                        <w:p w14:paraId="0599C596" w14:textId="542978F9" w:rsidR="00D12BFB" w:rsidRDefault="006650C1">
                          <w:r>
                            <w:t>1 december</w:t>
                          </w:r>
                          <w:r w:rsidR="00030AFA">
                            <w:t xml:space="preserve"> 2025</w:t>
                          </w:r>
                        </w:p>
                      </w:tc>
                    </w:tr>
                    <w:tr w:rsidR="00D12BFB" w14:paraId="0599C59C" w14:textId="77777777">
                      <w:tc>
                        <w:tcPr>
                          <w:tcW w:w="678" w:type="dxa"/>
                        </w:tcPr>
                        <w:p w14:paraId="0599C598" w14:textId="77777777" w:rsidR="00D12BFB" w:rsidRDefault="00030AFA">
                          <w:r>
                            <w:t>Betreft</w:t>
                          </w:r>
                        </w:p>
                        <w:p w14:paraId="0599C599" w14:textId="77777777" w:rsidR="00D12BFB" w:rsidRDefault="00D12BFB"/>
                      </w:tc>
                      <w:tc>
                        <w:tcPr>
                          <w:tcW w:w="6851" w:type="dxa"/>
                        </w:tcPr>
                        <w:p w14:paraId="0599C59A" w14:textId="77777777" w:rsidR="00D12BFB" w:rsidRDefault="00030AFA">
                          <w:r>
                            <w:t>Kabinetsreactie IOB-evaluatie Makandra-programma 2021-2025</w:t>
                          </w:r>
                        </w:p>
                        <w:p w14:paraId="0599C59B" w14:textId="77777777" w:rsidR="00D12BFB" w:rsidRDefault="00D12BFB"/>
                      </w:tc>
                    </w:tr>
                  </w:tbl>
                  <w:p w14:paraId="0599C59D" w14:textId="77777777" w:rsidR="00D12BFB" w:rsidRDefault="00D12BFB"/>
                  <w:p w14:paraId="0599C59E" w14:textId="77777777" w:rsidR="00D12BFB" w:rsidRDefault="00D12BF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599C589" wp14:editId="2C809C6F">
              <wp:simplePos x="0" y="0"/>
              <wp:positionH relativeFrom="page">
                <wp:posOffset>5922010</wp:posOffset>
              </wp:positionH>
              <wp:positionV relativeFrom="page">
                <wp:posOffset>1962150</wp:posOffset>
              </wp:positionV>
              <wp:extent cx="13639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B688666" w14:textId="77777777" w:rsidR="001E7A75" w:rsidRPr="00F51C07" w:rsidRDefault="001E7A75" w:rsidP="001E7A75">
                              <w:pPr>
                                <w:rPr>
                                  <w:b/>
                                  <w:sz w:val="13"/>
                                  <w:szCs w:val="13"/>
                                </w:rPr>
                              </w:pPr>
                              <w:r w:rsidRPr="00FC13FA">
                                <w:rPr>
                                  <w:b/>
                                  <w:sz w:val="13"/>
                                  <w:szCs w:val="13"/>
                                </w:rPr>
                                <w:t>Ministerie van Buitenlandse Zaken</w:t>
                              </w:r>
                            </w:p>
                          </w:sdtContent>
                        </w:sdt>
                        <w:p w14:paraId="33F8C7FA" w14:textId="77777777" w:rsidR="001E7A75" w:rsidRPr="00EE5E5D" w:rsidRDefault="001E7A75" w:rsidP="001E7A75">
                          <w:pPr>
                            <w:rPr>
                              <w:sz w:val="13"/>
                              <w:szCs w:val="13"/>
                            </w:rPr>
                          </w:pPr>
                          <w:r>
                            <w:rPr>
                              <w:sz w:val="13"/>
                              <w:szCs w:val="13"/>
                            </w:rPr>
                            <w:t>Rijnstraat 8</w:t>
                          </w:r>
                        </w:p>
                        <w:p w14:paraId="6A1CA240" w14:textId="77777777" w:rsidR="001E7A75" w:rsidRPr="0059764A" w:rsidRDefault="001E7A75" w:rsidP="001E7A75">
                          <w:pPr>
                            <w:rPr>
                              <w:sz w:val="13"/>
                              <w:szCs w:val="13"/>
                              <w:lang w:val="da-DK"/>
                            </w:rPr>
                          </w:pPr>
                          <w:r w:rsidRPr="0059764A">
                            <w:rPr>
                              <w:sz w:val="13"/>
                              <w:szCs w:val="13"/>
                              <w:lang w:val="da-DK"/>
                            </w:rPr>
                            <w:t>2515 XP Den Haag</w:t>
                          </w:r>
                        </w:p>
                        <w:p w14:paraId="678968AF" w14:textId="77777777" w:rsidR="001E7A75" w:rsidRPr="0059764A" w:rsidRDefault="001E7A75" w:rsidP="001E7A75">
                          <w:pPr>
                            <w:rPr>
                              <w:sz w:val="13"/>
                              <w:szCs w:val="13"/>
                              <w:lang w:val="da-DK"/>
                            </w:rPr>
                          </w:pPr>
                          <w:r w:rsidRPr="0059764A">
                            <w:rPr>
                              <w:sz w:val="13"/>
                              <w:szCs w:val="13"/>
                              <w:lang w:val="da-DK"/>
                            </w:rPr>
                            <w:t>Postbus 20061</w:t>
                          </w:r>
                        </w:p>
                        <w:p w14:paraId="1D81EFF2" w14:textId="77777777" w:rsidR="001E7A75" w:rsidRPr="0059764A" w:rsidRDefault="001E7A75" w:rsidP="001E7A75">
                          <w:pPr>
                            <w:rPr>
                              <w:sz w:val="13"/>
                              <w:szCs w:val="13"/>
                              <w:lang w:val="da-DK"/>
                            </w:rPr>
                          </w:pPr>
                          <w:r w:rsidRPr="0059764A">
                            <w:rPr>
                              <w:sz w:val="13"/>
                              <w:szCs w:val="13"/>
                              <w:lang w:val="da-DK"/>
                            </w:rPr>
                            <w:t>Nederland</w:t>
                          </w:r>
                        </w:p>
                        <w:p w14:paraId="0599C5A0" w14:textId="77777777" w:rsidR="00D12BFB" w:rsidRDefault="00D12BFB">
                          <w:pPr>
                            <w:pStyle w:val="WitregelW1"/>
                          </w:pPr>
                        </w:p>
                        <w:p w14:paraId="0599C5A1" w14:textId="77777777" w:rsidR="00D12BFB" w:rsidRDefault="00030AFA">
                          <w:pPr>
                            <w:pStyle w:val="Referentiegegevens"/>
                          </w:pPr>
                          <w:r>
                            <w:t xml:space="preserve"> </w:t>
                          </w:r>
                        </w:p>
                        <w:p w14:paraId="0599C5A2" w14:textId="77777777" w:rsidR="00D12BFB" w:rsidRDefault="00030AFA">
                          <w:pPr>
                            <w:pStyle w:val="Referentiegegevens"/>
                          </w:pPr>
                          <w:r>
                            <w:t>www.minbuza.nl</w:t>
                          </w:r>
                        </w:p>
                        <w:p w14:paraId="0599C5A3" w14:textId="77777777" w:rsidR="00D12BFB" w:rsidRDefault="00D12BFB">
                          <w:pPr>
                            <w:pStyle w:val="WitregelW2"/>
                          </w:pPr>
                        </w:p>
                        <w:p w14:paraId="0599C5A4" w14:textId="77777777" w:rsidR="00D12BFB" w:rsidRDefault="00030AFA">
                          <w:pPr>
                            <w:pStyle w:val="Referentiegegevensbold"/>
                          </w:pPr>
                          <w:r>
                            <w:t>Onze referentie</w:t>
                          </w:r>
                        </w:p>
                        <w:p w14:paraId="0599C5A5" w14:textId="77777777" w:rsidR="00D12BFB" w:rsidRDefault="00030AFA">
                          <w:pPr>
                            <w:pStyle w:val="Referentiegegevens"/>
                          </w:pPr>
                          <w:r>
                            <w:t>BZ2521179</w:t>
                          </w:r>
                        </w:p>
                        <w:p w14:paraId="0599C5A6" w14:textId="77777777" w:rsidR="00D12BFB" w:rsidRDefault="00D12BFB">
                          <w:pPr>
                            <w:pStyle w:val="WitregelW1"/>
                          </w:pPr>
                        </w:p>
                        <w:p w14:paraId="0599C5A7" w14:textId="77777777" w:rsidR="00D12BFB" w:rsidRDefault="00030AFA">
                          <w:pPr>
                            <w:pStyle w:val="Referentiegegevensbold"/>
                          </w:pPr>
                          <w:r>
                            <w:t>Bijlage(n)</w:t>
                          </w:r>
                        </w:p>
                        <w:p w14:paraId="0599C5A8" w14:textId="7576D229" w:rsidR="00D12BFB" w:rsidRDefault="006E62BF">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0599C589" id="41b10cd4-80a4-11ea-b356-6230a4311406" o:spid="_x0000_s1031" type="#_x0000_t202" style="position:absolute;margin-left:466.3pt;margin-top:154.5pt;width:107.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8lAEAABUDAAAOAAAAZHJzL2Uyb0RvYy54bWysUlFvEzEMfkfiP0R5p3fbx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B688666" w14:textId="77777777" w:rsidR="001E7A75" w:rsidRPr="00F51C07" w:rsidRDefault="001E7A75" w:rsidP="001E7A75">
                        <w:pPr>
                          <w:rPr>
                            <w:b/>
                            <w:sz w:val="13"/>
                            <w:szCs w:val="13"/>
                          </w:rPr>
                        </w:pPr>
                        <w:r w:rsidRPr="00FC13FA">
                          <w:rPr>
                            <w:b/>
                            <w:sz w:val="13"/>
                            <w:szCs w:val="13"/>
                          </w:rPr>
                          <w:t>Ministerie van Buitenlandse Zaken</w:t>
                        </w:r>
                      </w:p>
                    </w:sdtContent>
                  </w:sdt>
                  <w:p w14:paraId="33F8C7FA" w14:textId="77777777" w:rsidR="001E7A75" w:rsidRPr="00EE5E5D" w:rsidRDefault="001E7A75" w:rsidP="001E7A75">
                    <w:pPr>
                      <w:rPr>
                        <w:sz w:val="13"/>
                        <w:szCs w:val="13"/>
                      </w:rPr>
                    </w:pPr>
                    <w:r>
                      <w:rPr>
                        <w:sz w:val="13"/>
                        <w:szCs w:val="13"/>
                      </w:rPr>
                      <w:t>Rijnstraat 8</w:t>
                    </w:r>
                  </w:p>
                  <w:p w14:paraId="6A1CA240" w14:textId="77777777" w:rsidR="001E7A75" w:rsidRPr="0059764A" w:rsidRDefault="001E7A75" w:rsidP="001E7A75">
                    <w:pPr>
                      <w:rPr>
                        <w:sz w:val="13"/>
                        <w:szCs w:val="13"/>
                        <w:lang w:val="da-DK"/>
                      </w:rPr>
                    </w:pPr>
                    <w:r w:rsidRPr="0059764A">
                      <w:rPr>
                        <w:sz w:val="13"/>
                        <w:szCs w:val="13"/>
                        <w:lang w:val="da-DK"/>
                      </w:rPr>
                      <w:t>2515 XP Den Haag</w:t>
                    </w:r>
                  </w:p>
                  <w:p w14:paraId="678968AF" w14:textId="77777777" w:rsidR="001E7A75" w:rsidRPr="0059764A" w:rsidRDefault="001E7A75" w:rsidP="001E7A75">
                    <w:pPr>
                      <w:rPr>
                        <w:sz w:val="13"/>
                        <w:szCs w:val="13"/>
                        <w:lang w:val="da-DK"/>
                      </w:rPr>
                    </w:pPr>
                    <w:r w:rsidRPr="0059764A">
                      <w:rPr>
                        <w:sz w:val="13"/>
                        <w:szCs w:val="13"/>
                        <w:lang w:val="da-DK"/>
                      </w:rPr>
                      <w:t>Postbus 20061</w:t>
                    </w:r>
                  </w:p>
                  <w:p w14:paraId="1D81EFF2" w14:textId="77777777" w:rsidR="001E7A75" w:rsidRPr="0059764A" w:rsidRDefault="001E7A75" w:rsidP="001E7A75">
                    <w:pPr>
                      <w:rPr>
                        <w:sz w:val="13"/>
                        <w:szCs w:val="13"/>
                        <w:lang w:val="da-DK"/>
                      </w:rPr>
                    </w:pPr>
                    <w:r w:rsidRPr="0059764A">
                      <w:rPr>
                        <w:sz w:val="13"/>
                        <w:szCs w:val="13"/>
                        <w:lang w:val="da-DK"/>
                      </w:rPr>
                      <w:t>Nederland</w:t>
                    </w:r>
                  </w:p>
                  <w:p w14:paraId="0599C5A0" w14:textId="77777777" w:rsidR="00D12BFB" w:rsidRDefault="00D12BFB">
                    <w:pPr>
                      <w:pStyle w:val="WitregelW1"/>
                    </w:pPr>
                  </w:p>
                  <w:p w14:paraId="0599C5A1" w14:textId="77777777" w:rsidR="00D12BFB" w:rsidRDefault="00030AFA">
                    <w:pPr>
                      <w:pStyle w:val="Referentiegegevens"/>
                    </w:pPr>
                    <w:r>
                      <w:t xml:space="preserve"> </w:t>
                    </w:r>
                  </w:p>
                  <w:p w14:paraId="0599C5A2" w14:textId="77777777" w:rsidR="00D12BFB" w:rsidRDefault="00030AFA">
                    <w:pPr>
                      <w:pStyle w:val="Referentiegegevens"/>
                    </w:pPr>
                    <w:r>
                      <w:t>www.minbuza.nl</w:t>
                    </w:r>
                  </w:p>
                  <w:p w14:paraId="0599C5A3" w14:textId="77777777" w:rsidR="00D12BFB" w:rsidRDefault="00D12BFB">
                    <w:pPr>
                      <w:pStyle w:val="WitregelW2"/>
                    </w:pPr>
                  </w:p>
                  <w:p w14:paraId="0599C5A4" w14:textId="77777777" w:rsidR="00D12BFB" w:rsidRDefault="00030AFA">
                    <w:pPr>
                      <w:pStyle w:val="Referentiegegevensbold"/>
                    </w:pPr>
                    <w:r>
                      <w:t>Onze referentie</w:t>
                    </w:r>
                  </w:p>
                  <w:p w14:paraId="0599C5A5" w14:textId="77777777" w:rsidR="00D12BFB" w:rsidRDefault="00030AFA">
                    <w:pPr>
                      <w:pStyle w:val="Referentiegegevens"/>
                    </w:pPr>
                    <w:r>
                      <w:t>BZ2521179</w:t>
                    </w:r>
                  </w:p>
                  <w:p w14:paraId="0599C5A6" w14:textId="77777777" w:rsidR="00D12BFB" w:rsidRDefault="00D12BFB">
                    <w:pPr>
                      <w:pStyle w:val="WitregelW1"/>
                    </w:pPr>
                  </w:p>
                  <w:p w14:paraId="0599C5A7" w14:textId="77777777" w:rsidR="00D12BFB" w:rsidRDefault="00030AFA">
                    <w:pPr>
                      <w:pStyle w:val="Referentiegegevensbold"/>
                    </w:pPr>
                    <w:r>
                      <w:t>Bijlage(n)</w:t>
                    </w:r>
                  </w:p>
                  <w:p w14:paraId="0599C5A8" w14:textId="7576D229" w:rsidR="00D12BFB" w:rsidRDefault="006E62B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599C58D" wp14:editId="3CB33EC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99C5B7" w14:textId="77777777" w:rsidR="00030AFA" w:rsidRDefault="00030AFA"/>
                      </w:txbxContent>
                    </wps:txbx>
                    <wps:bodyPr vert="horz" wrap="square" lIns="0" tIns="0" rIns="0" bIns="0" anchor="t" anchorCtr="0"/>
                  </wps:wsp>
                </a:graphicData>
              </a:graphic>
            </wp:anchor>
          </w:drawing>
        </mc:Choice>
        <mc:Fallback>
          <w:pict>
            <v:shape w14:anchorId="0599C58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599C5B7" w14:textId="77777777" w:rsidR="00030AFA" w:rsidRDefault="00030AF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599C58F" wp14:editId="0599C59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99C5AA" w14:textId="77777777" w:rsidR="00D12BFB" w:rsidRDefault="00030AFA">
                          <w:pPr>
                            <w:spacing w:line="240" w:lineRule="auto"/>
                          </w:pPr>
                          <w:r>
                            <w:rPr>
                              <w:noProof/>
                            </w:rPr>
                            <w:drawing>
                              <wp:inline distT="0" distB="0" distL="0" distR="0" wp14:anchorId="0599C5B1" wp14:editId="0599C5B2">
                                <wp:extent cx="467995" cy="1583865"/>
                                <wp:effectExtent l="0" t="0" r="0" b="0"/>
                                <wp:docPr id="11" name="Logo" descr="Logo" titl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99C58F"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599C5AA" w14:textId="77777777" w:rsidR="00D12BFB" w:rsidRDefault="00030AFA">
                    <w:pPr>
                      <w:spacing w:line="240" w:lineRule="auto"/>
                    </w:pPr>
                    <w:r>
                      <w:rPr>
                        <w:noProof/>
                      </w:rPr>
                      <w:drawing>
                        <wp:inline distT="0" distB="0" distL="0" distR="0" wp14:anchorId="0599C5B1" wp14:editId="0599C5B2">
                          <wp:extent cx="467995" cy="1583865"/>
                          <wp:effectExtent l="0" t="0" r="0" b="0"/>
                          <wp:docPr id="11" name="Logo" descr="Logo" titl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599C591" wp14:editId="0599C59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99C5AB" w14:textId="77777777" w:rsidR="00D12BFB" w:rsidRDefault="00030AFA">
                          <w:pPr>
                            <w:spacing w:line="240" w:lineRule="auto"/>
                          </w:pPr>
                          <w:r>
                            <w:rPr>
                              <w:noProof/>
                            </w:rPr>
                            <w:drawing>
                              <wp:inline distT="0" distB="0" distL="0" distR="0" wp14:anchorId="0599C5B3" wp14:editId="0599C5B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99C591"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599C5AB" w14:textId="77777777" w:rsidR="00D12BFB" w:rsidRDefault="00030AFA">
                    <w:pPr>
                      <w:spacing w:line="240" w:lineRule="auto"/>
                    </w:pPr>
                    <w:r>
                      <w:rPr>
                        <w:noProof/>
                      </w:rPr>
                      <w:drawing>
                        <wp:inline distT="0" distB="0" distL="0" distR="0" wp14:anchorId="0599C5B3" wp14:editId="0599C5B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E6D28D"/>
    <w:multiLevelType w:val="multilevel"/>
    <w:tmpl w:val="B760047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E1D3C56"/>
    <w:multiLevelType w:val="multilevel"/>
    <w:tmpl w:val="108762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003F7E"/>
    <w:multiLevelType w:val="hybridMultilevel"/>
    <w:tmpl w:val="EE70E7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253310"/>
    <w:multiLevelType w:val="hybridMultilevel"/>
    <w:tmpl w:val="DAD0DDE6"/>
    <w:lvl w:ilvl="0" w:tplc="CDEEB2B8">
      <w:start w:val="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F01042"/>
    <w:multiLevelType w:val="multilevel"/>
    <w:tmpl w:val="46DCF0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DD0821"/>
    <w:multiLevelType w:val="multilevel"/>
    <w:tmpl w:val="1CA4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E5F0D"/>
    <w:multiLevelType w:val="hybridMultilevel"/>
    <w:tmpl w:val="9B06BE84"/>
    <w:lvl w:ilvl="0" w:tplc="5D469AB4">
      <w:numFmt w:val="bullet"/>
      <w:lvlText w:val="•"/>
      <w:lvlJc w:val="left"/>
      <w:pPr>
        <w:ind w:left="1074" w:hanging="714"/>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200CE6"/>
    <w:multiLevelType w:val="hybridMultilevel"/>
    <w:tmpl w:val="E6BC5E1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724A5B"/>
    <w:multiLevelType w:val="multilevel"/>
    <w:tmpl w:val="9952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F4E3A"/>
    <w:multiLevelType w:val="hybridMultilevel"/>
    <w:tmpl w:val="A608F0EC"/>
    <w:lvl w:ilvl="0" w:tplc="04130003">
      <w:start w:val="1"/>
      <w:numFmt w:val="bullet"/>
      <w:lvlText w:val="o"/>
      <w:lvlJc w:val="left"/>
      <w:pPr>
        <w:ind w:left="720" w:hanging="360"/>
      </w:pPr>
      <w:rPr>
        <w:rFonts w:ascii="Courier New" w:hAnsi="Courier New" w:cs="Courier New" w:hint="default"/>
      </w:rPr>
    </w:lvl>
    <w:lvl w:ilvl="1" w:tplc="4AF2A076">
      <w:numFmt w:val="bullet"/>
      <w:lvlText w:val=""/>
      <w:lvlJc w:val="left"/>
      <w:pPr>
        <w:ind w:left="1794" w:hanging="714"/>
      </w:pPr>
      <w:rPr>
        <w:rFonts w:ascii="Symbol" w:eastAsia="DejaVu Sans" w:hAnsi="Symbol" w:cs="Lohit Hindi" w:hint="default"/>
      </w:rPr>
    </w:lvl>
    <w:lvl w:ilvl="2" w:tplc="545E216E">
      <w:numFmt w:val="bullet"/>
      <w:lvlText w:val="•"/>
      <w:lvlJc w:val="left"/>
      <w:pPr>
        <w:ind w:left="2514" w:hanging="714"/>
      </w:pPr>
      <w:rPr>
        <w:rFonts w:ascii="Verdana" w:eastAsia="DejaVu Sans" w:hAnsi="Verdana" w:cs="Lohit Hin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525C13"/>
    <w:multiLevelType w:val="hybridMultilevel"/>
    <w:tmpl w:val="6D0CF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0C26F3"/>
    <w:multiLevelType w:val="hybridMultilevel"/>
    <w:tmpl w:val="D362DF0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9B1F01"/>
    <w:multiLevelType w:val="multilevel"/>
    <w:tmpl w:val="4A4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86E57"/>
    <w:multiLevelType w:val="hybridMultilevel"/>
    <w:tmpl w:val="560ECBE4"/>
    <w:lvl w:ilvl="0" w:tplc="046037FE">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BD36E5"/>
    <w:multiLevelType w:val="hybridMultilevel"/>
    <w:tmpl w:val="3D60F778"/>
    <w:lvl w:ilvl="0" w:tplc="506CB6E2">
      <w:start w:val="1"/>
      <w:numFmt w:val="bullet"/>
      <w:lvlText w:val=""/>
      <w:lvlJc w:val="left"/>
      <w:pPr>
        <w:ind w:left="1440" w:hanging="360"/>
      </w:pPr>
      <w:rPr>
        <w:rFonts w:ascii="Symbol" w:hAnsi="Symbol"/>
      </w:rPr>
    </w:lvl>
    <w:lvl w:ilvl="1" w:tplc="9692F55C">
      <w:start w:val="1"/>
      <w:numFmt w:val="bullet"/>
      <w:lvlText w:val=""/>
      <w:lvlJc w:val="left"/>
      <w:pPr>
        <w:ind w:left="1440" w:hanging="360"/>
      </w:pPr>
      <w:rPr>
        <w:rFonts w:ascii="Symbol" w:hAnsi="Symbol"/>
      </w:rPr>
    </w:lvl>
    <w:lvl w:ilvl="2" w:tplc="5D76F412">
      <w:start w:val="1"/>
      <w:numFmt w:val="bullet"/>
      <w:lvlText w:val=""/>
      <w:lvlJc w:val="left"/>
      <w:pPr>
        <w:ind w:left="1440" w:hanging="360"/>
      </w:pPr>
      <w:rPr>
        <w:rFonts w:ascii="Symbol" w:hAnsi="Symbol"/>
      </w:rPr>
    </w:lvl>
    <w:lvl w:ilvl="3" w:tplc="D7183CD2">
      <w:start w:val="1"/>
      <w:numFmt w:val="bullet"/>
      <w:lvlText w:val=""/>
      <w:lvlJc w:val="left"/>
      <w:pPr>
        <w:ind w:left="1440" w:hanging="360"/>
      </w:pPr>
      <w:rPr>
        <w:rFonts w:ascii="Symbol" w:hAnsi="Symbol"/>
      </w:rPr>
    </w:lvl>
    <w:lvl w:ilvl="4" w:tplc="D186B890">
      <w:start w:val="1"/>
      <w:numFmt w:val="bullet"/>
      <w:lvlText w:val=""/>
      <w:lvlJc w:val="left"/>
      <w:pPr>
        <w:ind w:left="1440" w:hanging="360"/>
      </w:pPr>
      <w:rPr>
        <w:rFonts w:ascii="Symbol" w:hAnsi="Symbol"/>
      </w:rPr>
    </w:lvl>
    <w:lvl w:ilvl="5" w:tplc="FDB48228">
      <w:start w:val="1"/>
      <w:numFmt w:val="bullet"/>
      <w:lvlText w:val=""/>
      <w:lvlJc w:val="left"/>
      <w:pPr>
        <w:ind w:left="1440" w:hanging="360"/>
      </w:pPr>
      <w:rPr>
        <w:rFonts w:ascii="Symbol" w:hAnsi="Symbol"/>
      </w:rPr>
    </w:lvl>
    <w:lvl w:ilvl="6" w:tplc="CD084404">
      <w:start w:val="1"/>
      <w:numFmt w:val="bullet"/>
      <w:lvlText w:val=""/>
      <w:lvlJc w:val="left"/>
      <w:pPr>
        <w:ind w:left="1440" w:hanging="360"/>
      </w:pPr>
      <w:rPr>
        <w:rFonts w:ascii="Symbol" w:hAnsi="Symbol"/>
      </w:rPr>
    </w:lvl>
    <w:lvl w:ilvl="7" w:tplc="E01E8B78">
      <w:start w:val="1"/>
      <w:numFmt w:val="bullet"/>
      <w:lvlText w:val=""/>
      <w:lvlJc w:val="left"/>
      <w:pPr>
        <w:ind w:left="1440" w:hanging="360"/>
      </w:pPr>
      <w:rPr>
        <w:rFonts w:ascii="Symbol" w:hAnsi="Symbol"/>
      </w:rPr>
    </w:lvl>
    <w:lvl w:ilvl="8" w:tplc="057EEF92">
      <w:start w:val="1"/>
      <w:numFmt w:val="bullet"/>
      <w:lvlText w:val=""/>
      <w:lvlJc w:val="left"/>
      <w:pPr>
        <w:ind w:left="1440" w:hanging="360"/>
      </w:pPr>
      <w:rPr>
        <w:rFonts w:ascii="Symbol" w:hAnsi="Symbol"/>
      </w:rPr>
    </w:lvl>
  </w:abstractNum>
  <w:abstractNum w:abstractNumId="15" w15:restartNumberingAfterBreak="0">
    <w:nsid w:val="3B4D2911"/>
    <w:multiLevelType w:val="hybridMultilevel"/>
    <w:tmpl w:val="DC3CA0D0"/>
    <w:lvl w:ilvl="0" w:tplc="50AC57F6">
      <w:start w:val="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F22452"/>
    <w:multiLevelType w:val="hybridMultilevel"/>
    <w:tmpl w:val="FA66C25E"/>
    <w:lvl w:ilvl="0" w:tplc="04130001">
      <w:start w:val="1"/>
      <w:numFmt w:val="bullet"/>
      <w:lvlText w:val=""/>
      <w:lvlJc w:val="left"/>
      <w:pPr>
        <w:ind w:left="360" w:hanging="360"/>
      </w:pPr>
      <w:rPr>
        <w:rFonts w:ascii="Symbol" w:hAnsi="Symbol" w:hint="default"/>
      </w:rPr>
    </w:lvl>
    <w:lvl w:ilvl="1" w:tplc="FFFFFFFF">
      <w:numFmt w:val="bullet"/>
      <w:lvlText w:val=""/>
      <w:lvlJc w:val="left"/>
      <w:pPr>
        <w:ind w:left="1434" w:hanging="714"/>
      </w:pPr>
      <w:rPr>
        <w:rFonts w:ascii="Symbol" w:eastAsia="DejaVu Sans" w:hAnsi="Symbol" w:cs="Lohit Hindi" w:hint="default"/>
      </w:rPr>
    </w:lvl>
    <w:lvl w:ilvl="2" w:tplc="FFFFFFFF">
      <w:numFmt w:val="bullet"/>
      <w:lvlText w:val="•"/>
      <w:lvlJc w:val="left"/>
      <w:pPr>
        <w:ind w:left="2154" w:hanging="714"/>
      </w:pPr>
      <w:rPr>
        <w:rFonts w:ascii="Verdana" w:eastAsia="DejaVu Sans" w:hAnsi="Verdana" w:cs="Lohit Hind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3A6715E"/>
    <w:multiLevelType w:val="hybridMultilevel"/>
    <w:tmpl w:val="E9527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3F0DB5"/>
    <w:multiLevelType w:val="hybridMultilevel"/>
    <w:tmpl w:val="2392F1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C71C18"/>
    <w:multiLevelType w:val="multilevel"/>
    <w:tmpl w:val="0FFA6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B370A3"/>
    <w:multiLevelType w:val="hybridMultilevel"/>
    <w:tmpl w:val="2B26D45A"/>
    <w:lvl w:ilvl="0" w:tplc="CC6CEB6C">
      <w:start w:val="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AE41C3"/>
    <w:multiLevelType w:val="multilevel"/>
    <w:tmpl w:val="B5C81CB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53176D46"/>
    <w:multiLevelType w:val="hybridMultilevel"/>
    <w:tmpl w:val="2B48D2A6"/>
    <w:lvl w:ilvl="0" w:tplc="8C52BCF2">
      <w:numFmt w:val="bullet"/>
      <w:lvlText w:val=""/>
      <w:lvlJc w:val="left"/>
      <w:pPr>
        <w:ind w:left="1074" w:hanging="714"/>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E92332"/>
    <w:multiLevelType w:val="multilevel"/>
    <w:tmpl w:val="E228C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B0917B"/>
    <w:multiLevelType w:val="multilevel"/>
    <w:tmpl w:val="85596E6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4E742A8"/>
    <w:multiLevelType w:val="hybridMultilevel"/>
    <w:tmpl w:val="AE127BE2"/>
    <w:lvl w:ilvl="0" w:tplc="11F2CA7C">
      <w:start w:val="1"/>
      <w:numFmt w:val="bullet"/>
      <w:lvlText w:val=""/>
      <w:lvlJc w:val="left"/>
      <w:pPr>
        <w:ind w:left="1440" w:hanging="360"/>
      </w:pPr>
      <w:rPr>
        <w:rFonts w:ascii="Symbol" w:hAnsi="Symbol"/>
      </w:rPr>
    </w:lvl>
    <w:lvl w:ilvl="1" w:tplc="7A7C6848">
      <w:start w:val="1"/>
      <w:numFmt w:val="bullet"/>
      <w:lvlText w:val=""/>
      <w:lvlJc w:val="left"/>
      <w:pPr>
        <w:ind w:left="1440" w:hanging="360"/>
      </w:pPr>
      <w:rPr>
        <w:rFonts w:ascii="Symbol" w:hAnsi="Symbol"/>
      </w:rPr>
    </w:lvl>
    <w:lvl w:ilvl="2" w:tplc="F2100486">
      <w:start w:val="1"/>
      <w:numFmt w:val="bullet"/>
      <w:lvlText w:val=""/>
      <w:lvlJc w:val="left"/>
      <w:pPr>
        <w:ind w:left="1440" w:hanging="360"/>
      </w:pPr>
      <w:rPr>
        <w:rFonts w:ascii="Symbol" w:hAnsi="Symbol"/>
      </w:rPr>
    </w:lvl>
    <w:lvl w:ilvl="3" w:tplc="08B8B83C">
      <w:start w:val="1"/>
      <w:numFmt w:val="bullet"/>
      <w:lvlText w:val=""/>
      <w:lvlJc w:val="left"/>
      <w:pPr>
        <w:ind w:left="1440" w:hanging="360"/>
      </w:pPr>
      <w:rPr>
        <w:rFonts w:ascii="Symbol" w:hAnsi="Symbol"/>
      </w:rPr>
    </w:lvl>
    <w:lvl w:ilvl="4" w:tplc="62860D16">
      <w:start w:val="1"/>
      <w:numFmt w:val="bullet"/>
      <w:lvlText w:val=""/>
      <w:lvlJc w:val="left"/>
      <w:pPr>
        <w:ind w:left="1440" w:hanging="360"/>
      </w:pPr>
      <w:rPr>
        <w:rFonts w:ascii="Symbol" w:hAnsi="Symbol"/>
      </w:rPr>
    </w:lvl>
    <w:lvl w:ilvl="5" w:tplc="58AC4430">
      <w:start w:val="1"/>
      <w:numFmt w:val="bullet"/>
      <w:lvlText w:val=""/>
      <w:lvlJc w:val="left"/>
      <w:pPr>
        <w:ind w:left="1440" w:hanging="360"/>
      </w:pPr>
      <w:rPr>
        <w:rFonts w:ascii="Symbol" w:hAnsi="Symbol"/>
      </w:rPr>
    </w:lvl>
    <w:lvl w:ilvl="6" w:tplc="34C4CFEA">
      <w:start w:val="1"/>
      <w:numFmt w:val="bullet"/>
      <w:lvlText w:val=""/>
      <w:lvlJc w:val="left"/>
      <w:pPr>
        <w:ind w:left="1440" w:hanging="360"/>
      </w:pPr>
      <w:rPr>
        <w:rFonts w:ascii="Symbol" w:hAnsi="Symbol"/>
      </w:rPr>
    </w:lvl>
    <w:lvl w:ilvl="7" w:tplc="DDE2A8B6">
      <w:start w:val="1"/>
      <w:numFmt w:val="bullet"/>
      <w:lvlText w:val=""/>
      <w:lvlJc w:val="left"/>
      <w:pPr>
        <w:ind w:left="1440" w:hanging="360"/>
      </w:pPr>
      <w:rPr>
        <w:rFonts w:ascii="Symbol" w:hAnsi="Symbol"/>
      </w:rPr>
    </w:lvl>
    <w:lvl w:ilvl="8" w:tplc="C5A84C12">
      <w:start w:val="1"/>
      <w:numFmt w:val="bullet"/>
      <w:lvlText w:val=""/>
      <w:lvlJc w:val="left"/>
      <w:pPr>
        <w:ind w:left="1440" w:hanging="360"/>
      </w:pPr>
      <w:rPr>
        <w:rFonts w:ascii="Symbol" w:hAnsi="Symbol"/>
      </w:rPr>
    </w:lvl>
  </w:abstractNum>
  <w:abstractNum w:abstractNumId="26" w15:restartNumberingAfterBreak="0">
    <w:nsid w:val="6D261A60"/>
    <w:multiLevelType w:val="hybridMultilevel"/>
    <w:tmpl w:val="1AA45B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E3537F2"/>
    <w:multiLevelType w:val="hybridMultilevel"/>
    <w:tmpl w:val="D8A23B84"/>
    <w:lvl w:ilvl="0" w:tplc="840885CE">
      <w:start w:val="1"/>
      <w:numFmt w:val="bullet"/>
      <w:lvlText w:val=""/>
      <w:lvlJc w:val="left"/>
      <w:pPr>
        <w:ind w:left="1440" w:hanging="360"/>
      </w:pPr>
      <w:rPr>
        <w:rFonts w:ascii="Symbol" w:hAnsi="Symbol"/>
      </w:rPr>
    </w:lvl>
    <w:lvl w:ilvl="1" w:tplc="B5F02AF2">
      <w:start w:val="1"/>
      <w:numFmt w:val="bullet"/>
      <w:lvlText w:val=""/>
      <w:lvlJc w:val="left"/>
      <w:pPr>
        <w:ind w:left="1440" w:hanging="360"/>
      </w:pPr>
      <w:rPr>
        <w:rFonts w:ascii="Symbol" w:hAnsi="Symbol"/>
      </w:rPr>
    </w:lvl>
    <w:lvl w:ilvl="2" w:tplc="D382BE7C">
      <w:start w:val="1"/>
      <w:numFmt w:val="bullet"/>
      <w:lvlText w:val=""/>
      <w:lvlJc w:val="left"/>
      <w:pPr>
        <w:ind w:left="1440" w:hanging="360"/>
      </w:pPr>
      <w:rPr>
        <w:rFonts w:ascii="Symbol" w:hAnsi="Symbol"/>
      </w:rPr>
    </w:lvl>
    <w:lvl w:ilvl="3" w:tplc="30CC82BA">
      <w:start w:val="1"/>
      <w:numFmt w:val="bullet"/>
      <w:lvlText w:val=""/>
      <w:lvlJc w:val="left"/>
      <w:pPr>
        <w:ind w:left="1440" w:hanging="360"/>
      </w:pPr>
      <w:rPr>
        <w:rFonts w:ascii="Symbol" w:hAnsi="Symbol"/>
      </w:rPr>
    </w:lvl>
    <w:lvl w:ilvl="4" w:tplc="B562FF6A">
      <w:start w:val="1"/>
      <w:numFmt w:val="bullet"/>
      <w:lvlText w:val=""/>
      <w:lvlJc w:val="left"/>
      <w:pPr>
        <w:ind w:left="1440" w:hanging="360"/>
      </w:pPr>
      <w:rPr>
        <w:rFonts w:ascii="Symbol" w:hAnsi="Symbol"/>
      </w:rPr>
    </w:lvl>
    <w:lvl w:ilvl="5" w:tplc="25CC6CC8">
      <w:start w:val="1"/>
      <w:numFmt w:val="bullet"/>
      <w:lvlText w:val=""/>
      <w:lvlJc w:val="left"/>
      <w:pPr>
        <w:ind w:left="1440" w:hanging="360"/>
      </w:pPr>
      <w:rPr>
        <w:rFonts w:ascii="Symbol" w:hAnsi="Symbol"/>
      </w:rPr>
    </w:lvl>
    <w:lvl w:ilvl="6" w:tplc="B5867618">
      <w:start w:val="1"/>
      <w:numFmt w:val="bullet"/>
      <w:lvlText w:val=""/>
      <w:lvlJc w:val="left"/>
      <w:pPr>
        <w:ind w:left="1440" w:hanging="360"/>
      </w:pPr>
      <w:rPr>
        <w:rFonts w:ascii="Symbol" w:hAnsi="Symbol"/>
      </w:rPr>
    </w:lvl>
    <w:lvl w:ilvl="7" w:tplc="EBCEDBA0">
      <w:start w:val="1"/>
      <w:numFmt w:val="bullet"/>
      <w:lvlText w:val=""/>
      <w:lvlJc w:val="left"/>
      <w:pPr>
        <w:ind w:left="1440" w:hanging="360"/>
      </w:pPr>
      <w:rPr>
        <w:rFonts w:ascii="Symbol" w:hAnsi="Symbol"/>
      </w:rPr>
    </w:lvl>
    <w:lvl w:ilvl="8" w:tplc="2D02274A">
      <w:start w:val="1"/>
      <w:numFmt w:val="bullet"/>
      <w:lvlText w:val=""/>
      <w:lvlJc w:val="left"/>
      <w:pPr>
        <w:ind w:left="1440" w:hanging="360"/>
      </w:pPr>
      <w:rPr>
        <w:rFonts w:ascii="Symbol" w:hAnsi="Symbol"/>
      </w:rPr>
    </w:lvl>
  </w:abstractNum>
  <w:abstractNum w:abstractNumId="28" w15:restartNumberingAfterBreak="0">
    <w:nsid w:val="70F36CDC"/>
    <w:multiLevelType w:val="hybridMultilevel"/>
    <w:tmpl w:val="27F68BD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D89FBD"/>
    <w:multiLevelType w:val="multilevel"/>
    <w:tmpl w:val="76BC26F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021138">
    <w:abstractNumId w:val="0"/>
  </w:num>
  <w:num w:numId="2" w16cid:durableId="1124739541">
    <w:abstractNumId w:val="21"/>
  </w:num>
  <w:num w:numId="3" w16cid:durableId="985479030">
    <w:abstractNumId w:val="1"/>
  </w:num>
  <w:num w:numId="4" w16cid:durableId="1114322167">
    <w:abstractNumId w:val="24"/>
  </w:num>
  <w:num w:numId="5" w16cid:durableId="800810130">
    <w:abstractNumId w:val="29"/>
  </w:num>
  <w:num w:numId="6" w16cid:durableId="1598979638">
    <w:abstractNumId w:val="15"/>
  </w:num>
  <w:num w:numId="7" w16cid:durableId="1918634247">
    <w:abstractNumId w:val="18"/>
  </w:num>
  <w:num w:numId="8" w16cid:durableId="465974624">
    <w:abstractNumId w:val="14"/>
  </w:num>
  <w:num w:numId="9" w16cid:durableId="1636787217">
    <w:abstractNumId w:val="27"/>
  </w:num>
  <w:num w:numId="10" w16cid:durableId="2984263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2629665">
    <w:abstractNumId w:val="25"/>
  </w:num>
  <w:num w:numId="12" w16cid:durableId="1635669824">
    <w:abstractNumId w:val="13"/>
  </w:num>
  <w:num w:numId="13" w16cid:durableId="508103252">
    <w:abstractNumId w:val="17"/>
  </w:num>
  <w:num w:numId="14" w16cid:durableId="2073960924">
    <w:abstractNumId w:val="10"/>
  </w:num>
  <w:num w:numId="15" w16cid:durableId="1976181122">
    <w:abstractNumId w:val="19"/>
  </w:num>
  <w:num w:numId="16" w16cid:durableId="973561548">
    <w:abstractNumId w:val="12"/>
  </w:num>
  <w:num w:numId="17" w16cid:durableId="696584451">
    <w:abstractNumId w:val="8"/>
  </w:num>
  <w:num w:numId="18" w16cid:durableId="676274206">
    <w:abstractNumId w:val="5"/>
  </w:num>
  <w:num w:numId="19" w16cid:durableId="2143570455">
    <w:abstractNumId w:val="26"/>
  </w:num>
  <w:num w:numId="20" w16cid:durableId="1639602234">
    <w:abstractNumId w:val="3"/>
  </w:num>
  <w:num w:numId="21" w16cid:durableId="258103354">
    <w:abstractNumId w:val="20"/>
  </w:num>
  <w:num w:numId="22" w16cid:durableId="1997606655">
    <w:abstractNumId w:val="9"/>
  </w:num>
  <w:num w:numId="23" w16cid:durableId="680548062">
    <w:abstractNumId w:val="22"/>
  </w:num>
  <w:num w:numId="24" w16cid:durableId="262227229">
    <w:abstractNumId w:val="11"/>
  </w:num>
  <w:num w:numId="25" w16cid:durableId="623075867">
    <w:abstractNumId w:val="2"/>
  </w:num>
  <w:num w:numId="26" w16cid:durableId="1626739253">
    <w:abstractNumId w:val="6"/>
  </w:num>
  <w:num w:numId="27" w16cid:durableId="324940255">
    <w:abstractNumId w:val="16"/>
  </w:num>
  <w:num w:numId="28" w16cid:durableId="677656125">
    <w:abstractNumId w:val="7"/>
  </w:num>
  <w:num w:numId="29" w16cid:durableId="1457724420">
    <w:abstractNumId w:val="28"/>
  </w:num>
  <w:num w:numId="30" w16cid:durableId="68486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FB"/>
    <w:rsid w:val="00012953"/>
    <w:rsid w:val="00030AFA"/>
    <w:rsid w:val="0004460E"/>
    <w:rsid w:val="00050C48"/>
    <w:rsid w:val="00056751"/>
    <w:rsid w:val="000573F4"/>
    <w:rsid w:val="00071987"/>
    <w:rsid w:val="0007350C"/>
    <w:rsid w:val="00076E90"/>
    <w:rsid w:val="000B37F3"/>
    <w:rsid w:val="000F042B"/>
    <w:rsid w:val="000F4C2D"/>
    <w:rsid w:val="001025CD"/>
    <w:rsid w:val="00107EB5"/>
    <w:rsid w:val="00115B9C"/>
    <w:rsid w:val="0013141B"/>
    <w:rsid w:val="00134F45"/>
    <w:rsid w:val="001421CD"/>
    <w:rsid w:val="00173FB2"/>
    <w:rsid w:val="001D367C"/>
    <w:rsid w:val="001E1F39"/>
    <w:rsid w:val="001E7A75"/>
    <w:rsid w:val="001F4B3F"/>
    <w:rsid w:val="002173DE"/>
    <w:rsid w:val="002264C1"/>
    <w:rsid w:val="00235A45"/>
    <w:rsid w:val="00270A8B"/>
    <w:rsid w:val="00286E4D"/>
    <w:rsid w:val="002B5357"/>
    <w:rsid w:val="002C0927"/>
    <w:rsid w:val="002C2384"/>
    <w:rsid w:val="002E06CF"/>
    <w:rsid w:val="00333558"/>
    <w:rsid w:val="003343CB"/>
    <w:rsid w:val="003473A2"/>
    <w:rsid w:val="00356126"/>
    <w:rsid w:val="00363A17"/>
    <w:rsid w:val="00366FDF"/>
    <w:rsid w:val="003765D6"/>
    <w:rsid w:val="00391048"/>
    <w:rsid w:val="003B5016"/>
    <w:rsid w:val="003D0BA1"/>
    <w:rsid w:val="003F519F"/>
    <w:rsid w:val="003F5CEA"/>
    <w:rsid w:val="00406266"/>
    <w:rsid w:val="00423726"/>
    <w:rsid w:val="004308F0"/>
    <w:rsid w:val="0043386D"/>
    <w:rsid w:val="00446DC1"/>
    <w:rsid w:val="00455F56"/>
    <w:rsid w:val="00462BED"/>
    <w:rsid w:val="004663A9"/>
    <w:rsid w:val="00482353"/>
    <w:rsid w:val="00483FB4"/>
    <w:rsid w:val="00492D4D"/>
    <w:rsid w:val="004A0818"/>
    <w:rsid w:val="004A5932"/>
    <w:rsid w:val="004B137B"/>
    <w:rsid w:val="004D3AF4"/>
    <w:rsid w:val="004F3790"/>
    <w:rsid w:val="004F42A0"/>
    <w:rsid w:val="00515850"/>
    <w:rsid w:val="00530D63"/>
    <w:rsid w:val="005611FC"/>
    <w:rsid w:val="00582B70"/>
    <w:rsid w:val="005A4A33"/>
    <w:rsid w:val="005E7167"/>
    <w:rsid w:val="005F240E"/>
    <w:rsid w:val="005F5252"/>
    <w:rsid w:val="005F75A8"/>
    <w:rsid w:val="005F78CB"/>
    <w:rsid w:val="006368BA"/>
    <w:rsid w:val="006403BA"/>
    <w:rsid w:val="006609BE"/>
    <w:rsid w:val="006650C1"/>
    <w:rsid w:val="006730A9"/>
    <w:rsid w:val="006817FA"/>
    <w:rsid w:val="00693FF2"/>
    <w:rsid w:val="00694E9E"/>
    <w:rsid w:val="006C6191"/>
    <w:rsid w:val="006C6CDE"/>
    <w:rsid w:val="006D1413"/>
    <w:rsid w:val="006D23AC"/>
    <w:rsid w:val="006D7A62"/>
    <w:rsid w:val="006E277B"/>
    <w:rsid w:val="006E62BF"/>
    <w:rsid w:val="006F041A"/>
    <w:rsid w:val="00725CDF"/>
    <w:rsid w:val="007312B8"/>
    <w:rsid w:val="00740962"/>
    <w:rsid w:val="007636F6"/>
    <w:rsid w:val="007823AE"/>
    <w:rsid w:val="00787C74"/>
    <w:rsid w:val="00793C63"/>
    <w:rsid w:val="00795029"/>
    <w:rsid w:val="007B1E9A"/>
    <w:rsid w:val="007B4B23"/>
    <w:rsid w:val="007B5172"/>
    <w:rsid w:val="007C3F5B"/>
    <w:rsid w:val="007F4516"/>
    <w:rsid w:val="007F532C"/>
    <w:rsid w:val="00803EB9"/>
    <w:rsid w:val="00803F37"/>
    <w:rsid w:val="00817279"/>
    <w:rsid w:val="00855255"/>
    <w:rsid w:val="0086026A"/>
    <w:rsid w:val="00861200"/>
    <w:rsid w:val="008737E6"/>
    <w:rsid w:val="00874085"/>
    <w:rsid w:val="008A3606"/>
    <w:rsid w:val="008D101B"/>
    <w:rsid w:val="008D771A"/>
    <w:rsid w:val="008F1021"/>
    <w:rsid w:val="00901921"/>
    <w:rsid w:val="00907396"/>
    <w:rsid w:val="0091262F"/>
    <w:rsid w:val="0098676F"/>
    <w:rsid w:val="009A0822"/>
    <w:rsid w:val="009A68D4"/>
    <w:rsid w:val="009F1CAE"/>
    <w:rsid w:val="00A10CD1"/>
    <w:rsid w:val="00A2500C"/>
    <w:rsid w:val="00A26426"/>
    <w:rsid w:val="00A8601B"/>
    <w:rsid w:val="00AE3F4B"/>
    <w:rsid w:val="00B01255"/>
    <w:rsid w:val="00B029A2"/>
    <w:rsid w:val="00B232FD"/>
    <w:rsid w:val="00B365A7"/>
    <w:rsid w:val="00B51B6A"/>
    <w:rsid w:val="00B721C0"/>
    <w:rsid w:val="00B7413B"/>
    <w:rsid w:val="00B7488B"/>
    <w:rsid w:val="00B9213E"/>
    <w:rsid w:val="00B940C8"/>
    <w:rsid w:val="00BA5EA4"/>
    <w:rsid w:val="00BB5DBD"/>
    <w:rsid w:val="00BE743B"/>
    <w:rsid w:val="00C247E7"/>
    <w:rsid w:val="00C77A8B"/>
    <w:rsid w:val="00CA7A89"/>
    <w:rsid w:val="00CE2C77"/>
    <w:rsid w:val="00CF05CC"/>
    <w:rsid w:val="00CF2716"/>
    <w:rsid w:val="00D12BFB"/>
    <w:rsid w:val="00D30EE6"/>
    <w:rsid w:val="00D655E9"/>
    <w:rsid w:val="00D82B16"/>
    <w:rsid w:val="00D92030"/>
    <w:rsid w:val="00D92D4A"/>
    <w:rsid w:val="00DA34AE"/>
    <w:rsid w:val="00DC1658"/>
    <w:rsid w:val="00DF1A05"/>
    <w:rsid w:val="00DF40AE"/>
    <w:rsid w:val="00DF48E4"/>
    <w:rsid w:val="00E04FB0"/>
    <w:rsid w:val="00E40349"/>
    <w:rsid w:val="00E41156"/>
    <w:rsid w:val="00E54D1B"/>
    <w:rsid w:val="00EC7B62"/>
    <w:rsid w:val="00ED130E"/>
    <w:rsid w:val="00EF22A0"/>
    <w:rsid w:val="00F0787F"/>
    <w:rsid w:val="00F23DB8"/>
    <w:rsid w:val="00F27933"/>
    <w:rsid w:val="00F92620"/>
    <w:rsid w:val="00FC2CC4"/>
    <w:rsid w:val="00FD0D12"/>
    <w:rsid w:val="00FE2819"/>
    <w:rsid w:val="00FF1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9C571"/>
  <w15:docId w15:val="{404650F6-54EA-47AA-A05E-039C628D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1"/>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030AFA"/>
    <w:pPr>
      <w:ind w:left="720"/>
      <w:contextualSpacing/>
    </w:pPr>
  </w:style>
  <w:style w:type="paragraph" w:styleId="Header">
    <w:name w:val="header"/>
    <w:basedOn w:val="Normal"/>
    <w:link w:val="HeaderChar"/>
    <w:uiPriority w:val="99"/>
    <w:unhideWhenUsed/>
    <w:rsid w:val="008F1021"/>
    <w:pPr>
      <w:tabs>
        <w:tab w:val="center" w:pos="4513"/>
        <w:tab w:val="right" w:pos="9026"/>
      </w:tabs>
      <w:spacing w:line="240" w:lineRule="auto"/>
    </w:pPr>
  </w:style>
  <w:style w:type="character" w:customStyle="1" w:styleId="HeaderChar">
    <w:name w:val="Header Char"/>
    <w:basedOn w:val="DefaultParagraphFont"/>
    <w:link w:val="Header"/>
    <w:uiPriority w:val="99"/>
    <w:rsid w:val="008F1021"/>
    <w:rPr>
      <w:rFonts w:ascii="Verdana" w:hAnsi="Verdana"/>
      <w:color w:val="000000"/>
      <w:sz w:val="18"/>
      <w:szCs w:val="18"/>
    </w:rPr>
  </w:style>
  <w:style w:type="paragraph" w:styleId="Footer">
    <w:name w:val="footer"/>
    <w:basedOn w:val="Normal"/>
    <w:link w:val="FooterChar"/>
    <w:uiPriority w:val="99"/>
    <w:unhideWhenUsed/>
    <w:rsid w:val="008F1021"/>
    <w:pPr>
      <w:tabs>
        <w:tab w:val="center" w:pos="4513"/>
        <w:tab w:val="right" w:pos="9026"/>
      </w:tabs>
      <w:spacing w:line="240" w:lineRule="auto"/>
    </w:pPr>
  </w:style>
  <w:style w:type="character" w:customStyle="1" w:styleId="FooterChar">
    <w:name w:val="Footer Char"/>
    <w:basedOn w:val="DefaultParagraphFont"/>
    <w:link w:val="Footer"/>
    <w:uiPriority w:val="99"/>
    <w:rsid w:val="008F1021"/>
    <w:rPr>
      <w:rFonts w:ascii="Verdana" w:hAnsi="Verdana"/>
      <w:color w:val="000000"/>
      <w:sz w:val="18"/>
      <w:szCs w:val="18"/>
    </w:rPr>
  </w:style>
  <w:style w:type="character" w:styleId="CommentReference">
    <w:name w:val="annotation reference"/>
    <w:basedOn w:val="DefaultParagraphFont"/>
    <w:uiPriority w:val="99"/>
    <w:semiHidden/>
    <w:unhideWhenUsed/>
    <w:rsid w:val="004308F0"/>
    <w:rPr>
      <w:sz w:val="16"/>
      <w:szCs w:val="16"/>
    </w:rPr>
  </w:style>
  <w:style w:type="paragraph" w:styleId="CommentText">
    <w:name w:val="annotation text"/>
    <w:basedOn w:val="Normal"/>
    <w:link w:val="CommentTextChar"/>
    <w:uiPriority w:val="99"/>
    <w:unhideWhenUsed/>
    <w:rsid w:val="004308F0"/>
    <w:pPr>
      <w:spacing w:line="240" w:lineRule="auto"/>
    </w:pPr>
    <w:rPr>
      <w:sz w:val="20"/>
      <w:szCs w:val="20"/>
    </w:rPr>
  </w:style>
  <w:style w:type="character" w:customStyle="1" w:styleId="CommentTextChar">
    <w:name w:val="Comment Text Char"/>
    <w:basedOn w:val="DefaultParagraphFont"/>
    <w:link w:val="CommentText"/>
    <w:uiPriority w:val="99"/>
    <w:rsid w:val="004308F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308F0"/>
    <w:rPr>
      <w:b/>
      <w:bCs/>
    </w:rPr>
  </w:style>
  <w:style w:type="character" w:customStyle="1" w:styleId="CommentSubjectChar">
    <w:name w:val="Comment Subject Char"/>
    <w:basedOn w:val="CommentTextChar"/>
    <w:link w:val="CommentSubject"/>
    <w:uiPriority w:val="99"/>
    <w:semiHidden/>
    <w:rsid w:val="004308F0"/>
    <w:rPr>
      <w:rFonts w:ascii="Verdana" w:hAnsi="Verdana"/>
      <w:b/>
      <w:bCs/>
      <w:color w:val="000000"/>
    </w:rPr>
  </w:style>
  <w:style w:type="character" w:styleId="UnresolvedMention">
    <w:name w:val="Unresolved Mention"/>
    <w:basedOn w:val="DefaultParagraphFont"/>
    <w:uiPriority w:val="99"/>
    <w:semiHidden/>
    <w:unhideWhenUsed/>
    <w:rsid w:val="00482353"/>
    <w:rPr>
      <w:color w:val="605E5C"/>
      <w:shd w:val="clear" w:color="auto" w:fill="E1DFDD"/>
    </w:rPr>
  </w:style>
  <w:style w:type="paragraph" w:styleId="FootnoteText">
    <w:name w:val="footnote text"/>
    <w:basedOn w:val="Normal"/>
    <w:link w:val="FootnoteTextChar"/>
    <w:uiPriority w:val="99"/>
    <w:semiHidden/>
    <w:unhideWhenUsed/>
    <w:rsid w:val="006D1413"/>
    <w:pPr>
      <w:spacing w:line="240" w:lineRule="auto"/>
    </w:pPr>
    <w:rPr>
      <w:sz w:val="20"/>
      <w:szCs w:val="20"/>
    </w:rPr>
  </w:style>
  <w:style w:type="character" w:customStyle="1" w:styleId="FootnoteTextChar">
    <w:name w:val="Footnote Text Char"/>
    <w:basedOn w:val="DefaultParagraphFont"/>
    <w:link w:val="FootnoteText"/>
    <w:uiPriority w:val="99"/>
    <w:semiHidden/>
    <w:rsid w:val="006D1413"/>
    <w:rPr>
      <w:rFonts w:ascii="Verdana" w:hAnsi="Verdana"/>
      <w:color w:val="000000"/>
    </w:rPr>
  </w:style>
  <w:style w:type="character" w:styleId="FootnoteReference">
    <w:name w:val="footnote reference"/>
    <w:basedOn w:val="DefaultParagraphFont"/>
    <w:uiPriority w:val="99"/>
    <w:semiHidden/>
    <w:unhideWhenUsed/>
    <w:rsid w:val="006D1413"/>
    <w:rPr>
      <w:vertAlign w:val="superscript"/>
    </w:rPr>
  </w:style>
  <w:style w:type="character" w:styleId="FollowedHyperlink">
    <w:name w:val="FollowedHyperlink"/>
    <w:basedOn w:val="DefaultParagraphFont"/>
    <w:uiPriority w:val="99"/>
    <w:semiHidden/>
    <w:unhideWhenUsed/>
    <w:rsid w:val="00423726"/>
    <w:rPr>
      <w:color w:val="96607D" w:themeColor="followedHyperlink"/>
      <w:u w:val="single"/>
    </w:rPr>
  </w:style>
  <w:style w:type="paragraph" w:styleId="Revision">
    <w:name w:val="Revision"/>
    <w:hidden/>
    <w:uiPriority w:val="99"/>
    <w:semiHidden/>
    <w:rsid w:val="004A593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780">
      <w:bodyDiv w:val="1"/>
      <w:marLeft w:val="0"/>
      <w:marRight w:val="0"/>
      <w:marTop w:val="0"/>
      <w:marBottom w:val="0"/>
      <w:divBdr>
        <w:top w:val="none" w:sz="0" w:space="0" w:color="auto"/>
        <w:left w:val="none" w:sz="0" w:space="0" w:color="auto"/>
        <w:bottom w:val="none" w:sz="0" w:space="0" w:color="auto"/>
        <w:right w:val="none" w:sz="0" w:space="0" w:color="auto"/>
      </w:divBdr>
    </w:div>
    <w:div w:id="69037718">
      <w:bodyDiv w:val="1"/>
      <w:marLeft w:val="0"/>
      <w:marRight w:val="0"/>
      <w:marTop w:val="0"/>
      <w:marBottom w:val="0"/>
      <w:divBdr>
        <w:top w:val="none" w:sz="0" w:space="0" w:color="auto"/>
        <w:left w:val="none" w:sz="0" w:space="0" w:color="auto"/>
        <w:bottom w:val="none" w:sz="0" w:space="0" w:color="auto"/>
        <w:right w:val="none" w:sz="0" w:space="0" w:color="auto"/>
      </w:divBdr>
    </w:div>
    <w:div w:id="81293433">
      <w:bodyDiv w:val="1"/>
      <w:marLeft w:val="0"/>
      <w:marRight w:val="0"/>
      <w:marTop w:val="0"/>
      <w:marBottom w:val="0"/>
      <w:divBdr>
        <w:top w:val="none" w:sz="0" w:space="0" w:color="auto"/>
        <w:left w:val="none" w:sz="0" w:space="0" w:color="auto"/>
        <w:bottom w:val="none" w:sz="0" w:space="0" w:color="auto"/>
        <w:right w:val="none" w:sz="0" w:space="0" w:color="auto"/>
      </w:divBdr>
    </w:div>
    <w:div w:id="82844998">
      <w:bodyDiv w:val="1"/>
      <w:marLeft w:val="0"/>
      <w:marRight w:val="0"/>
      <w:marTop w:val="0"/>
      <w:marBottom w:val="0"/>
      <w:divBdr>
        <w:top w:val="none" w:sz="0" w:space="0" w:color="auto"/>
        <w:left w:val="none" w:sz="0" w:space="0" w:color="auto"/>
        <w:bottom w:val="none" w:sz="0" w:space="0" w:color="auto"/>
        <w:right w:val="none" w:sz="0" w:space="0" w:color="auto"/>
      </w:divBdr>
    </w:div>
    <w:div w:id="122696329">
      <w:bodyDiv w:val="1"/>
      <w:marLeft w:val="0"/>
      <w:marRight w:val="0"/>
      <w:marTop w:val="0"/>
      <w:marBottom w:val="0"/>
      <w:divBdr>
        <w:top w:val="none" w:sz="0" w:space="0" w:color="auto"/>
        <w:left w:val="none" w:sz="0" w:space="0" w:color="auto"/>
        <w:bottom w:val="none" w:sz="0" w:space="0" w:color="auto"/>
        <w:right w:val="none" w:sz="0" w:space="0" w:color="auto"/>
      </w:divBdr>
    </w:div>
    <w:div w:id="202013435">
      <w:bodyDiv w:val="1"/>
      <w:marLeft w:val="0"/>
      <w:marRight w:val="0"/>
      <w:marTop w:val="0"/>
      <w:marBottom w:val="0"/>
      <w:divBdr>
        <w:top w:val="none" w:sz="0" w:space="0" w:color="auto"/>
        <w:left w:val="none" w:sz="0" w:space="0" w:color="auto"/>
        <w:bottom w:val="none" w:sz="0" w:space="0" w:color="auto"/>
        <w:right w:val="none" w:sz="0" w:space="0" w:color="auto"/>
      </w:divBdr>
    </w:div>
    <w:div w:id="384138086">
      <w:bodyDiv w:val="1"/>
      <w:marLeft w:val="0"/>
      <w:marRight w:val="0"/>
      <w:marTop w:val="0"/>
      <w:marBottom w:val="0"/>
      <w:divBdr>
        <w:top w:val="none" w:sz="0" w:space="0" w:color="auto"/>
        <w:left w:val="none" w:sz="0" w:space="0" w:color="auto"/>
        <w:bottom w:val="none" w:sz="0" w:space="0" w:color="auto"/>
        <w:right w:val="none" w:sz="0" w:space="0" w:color="auto"/>
      </w:divBdr>
    </w:div>
    <w:div w:id="423844485">
      <w:bodyDiv w:val="1"/>
      <w:marLeft w:val="0"/>
      <w:marRight w:val="0"/>
      <w:marTop w:val="0"/>
      <w:marBottom w:val="0"/>
      <w:divBdr>
        <w:top w:val="none" w:sz="0" w:space="0" w:color="auto"/>
        <w:left w:val="none" w:sz="0" w:space="0" w:color="auto"/>
        <w:bottom w:val="none" w:sz="0" w:space="0" w:color="auto"/>
        <w:right w:val="none" w:sz="0" w:space="0" w:color="auto"/>
      </w:divBdr>
    </w:div>
    <w:div w:id="481234936">
      <w:bodyDiv w:val="1"/>
      <w:marLeft w:val="0"/>
      <w:marRight w:val="0"/>
      <w:marTop w:val="0"/>
      <w:marBottom w:val="0"/>
      <w:divBdr>
        <w:top w:val="none" w:sz="0" w:space="0" w:color="auto"/>
        <w:left w:val="none" w:sz="0" w:space="0" w:color="auto"/>
        <w:bottom w:val="none" w:sz="0" w:space="0" w:color="auto"/>
        <w:right w:val="none" w:sz="0" w:space="0" w:color="auto"/>
      </w:divBdr>
    </w:div>
    <w:div w:id="519897448">
      <w:bodyDiv w:val="1"/>
      <w:marLeft w:val="0"/>
      <w:marRight w:val="0"/>
      <w:marTop w:val="0"/>
      <w:marBottom w:val="0"/>
      <w:divBdr>
        <w:top w:val="none" w:sz="0" w:space="0" w:color="auto"/>
        <w:left w:val="none" w:sz="0" w:space="0" w:color="auto"/>
        <w:bottom w:val="none" w:sz="0" w:space="0" w:color="auto"/>
        <w:right w:val="none" w:sz="0" w:space="0" w:color="auto"/>
      </w:divBdr>
    </w:div>
    <w:div w:id="735395607">
      <w:bodyDiv w:val="1"/>
      <w:marLeft w:val="0"/>
      <w:marRight w:val="0"/>
      <w:marTop w:val="0"/>
      <w:marBottom w:val="0"/>
      <w:divBdr>
        <w:top w:val="none" w:sz="0" w:space="0" w:color="auto"/>
        <w:left w:val="none" w:sz="0" w:space="0" w:color="auto"/>
        <w:bottom w:val="none" w:sz="0" w:space="0" w:color="auto"/>
        <w:right w:val="none" w:sz="0" w:space="0" w:color="auto"/>
      </w:divBdr>
    </w:div>
    <w:div w:id="743600439">
      <w:bodyDiv w:val="1"/>
      <w:marLeft w:val="0"/>
      <w:marRight w:val="0"/>
      <w:marTop w:val="0"/>
      <w:marBottom w:val="0"/>
      <w:divBdr>
        <w:top w:val="none" w:sz="0" w:space="0" w:color="auto"/>
        <w:left w:val="none" w:sz="0" w:space="0" w:color="auto"/>
        <w:bottom w:val="none" w:sz="0" w:space="0" w:color="auto"/>
        <w:right w:val="none" w:sz="0" w:space="0" w:color="auto"/>
      </w:divBdr>
    </w:div>
    <w:div w:id="747964229">
      <w:bodyDiv w:val="1"/>
      <w:marLeft w:val="0"/>
      <w:marRight w:val="0"/>
      <w:marTop w:val="0"/>
      <w:marBottom w:val="0"/>
      <w:divBdr>
        <w:top w:val="none" w:sz="0" w:space="0" w:color="auto"/>
        <w:left w:val="none" w:sz="0" w:space="0" w:color="auto"/>
        <w:bottom w:val="none" w:sz="0" w:space="0" w:color="auto"/>
        <w:right w:val="none" w:sz="0" w:space="0" w:color="auto"/>
      </w:divBdr>
    </w:div>
    <w:div w:id="833029762">
      <w:bodyDiv w:val="1"/>
      <w:marLeft w:val="0"/>
      <w:marRight w:val="0"/>
      <w:marTop w:val="0"/>
      <w:marBottom w:val="0"/>
      <w:divBdr>
        <w:top w:val="none" w:sz="0" w:space="0" w:color="auto"/>
        <w:left w:val="none" w:sz="0" w:space="0" w:color="auto"/>
        <w:bottom w:val="none" w:sz="0" w:space="0" w:color="auto"/>
        <w:right w:val="none" w:sz="0" w:space="0" w:color="auto"/>
      </w:divBdr>
    </w:div>
    <w:div w:id="854656649">
      <w:bodyDiv w:val="1"/>
      <w:marLeft w:val="0"/>
      <w:marRight w:val="0"/>
      <w:marTop w:val="0"/>
      <w:marBottom w:val="0"/>
      <w:divBdr>
        <w:top w:val="none" w:sz="0" w:space="0" w:color="auto"/>
        <w:left w:val="none" w:sz="0" w:space="0" w:color="auto"/>
        <w:bottom w:val="none" w:sz="0" w:space="0" w:color="auto"/>
        <w:right w:val="none" w:sz="0" w:space="0" w:color="auto"/>
      </w:divBdr>
    </w:div>
    <w:div w:id="899635561">
      <w:bodyDiv w:val="1"/>
      <w:marLeft w:val="0"/>
      <w:marRight w:val="0"/>
      <w:marTop w:val="0"/>
      <w:marBottom w:val="0"/>
      <w:divBdr>
        <w:top w:val="none" w:sz="0" w:space="0" w:color="auto"/>
        <w:left w:val="none" w:sz="0" w:space="0" w:color="auto"/>
        <w:bottom w:val="none" w:sz="0" w:space="0" w:color="auto"/>
        <w:right w:val="none" w:sz="0" w:space="0" w:color="auto"/>
      </w:divBdr>
    </w:div>
    <w:div w:id="1067454889">
      <w:bodyDiv w:val="1"/>
      <w:marLeft w:val="0"/>
      <w:marRight w:val="0"/>
      <w:marTop w:val="0"/>
      <w:marBottom w:val="0"/>
      <w:divBdr>
        <w:top w:val="none" w:sz="0" w:space="0" w:color="auto"/>
        <w:left w:val="none" w:sz="0" w:space="0" w:color="auto"/>
        <w:bottom w:val="none" w:sz="0" w:space="0" w:color="auto"/>
        <w:right w:val="none" w:sz="0" w:space="0" w:color="auto"/>
      </w:divBdr>
    </w:div>
    <w:div w:id="1089278195">
      <w:bodyDiv w:val="1"/>
      <w:marLeft w:val="0"/>
      <w:marRight w:val="0"/>
      <w:marTop w:val="0"/>
      <w:marBottom w:val="0"/>
      <w:divBdr>
        <w:top w:val="none" w:sz="0" w:space="0" w:color="auto"/>
        <w:left w:val="none" w:sz="0" w:space="0" w:color="auto"/>
        <w:bottom w:val="none" w:sz="0" w:space="0" w:color="auto"/>
        <w:right w:val="none" w:sz="0" w:space="0" w:color="auto"/>
      </w:divBdr>
    </w:div>
    <w:div w:id="1365714724">
      <w:bodyDiv w:val="1"/>
      <w:marLeft w:val="0"/>
      <w:marRight w:val="0"/>
      <w:marTop w:val="0"/>
      <w:marBottom w:val="0"/>
      <w:divBdr>
        <w:top w:val="none" w:sz="0" w:space="0" w:color="auto"/>
        <w:left w:val="none" w:sz="0" w:space="0" w:color="auto"/>
        <w:bottom w:val="none" w:sz="0" w:space="0" w:color="auto"/>
        <w:right w:val="none" w:sz="0" w:space="0" w:color="auto"/>
      </w:divBdr>
    </w:div>
    <w:div w:id="1406028551">
      <w:bodyDiv w:val="1"/>
      <w:marLeft w:val="0"/>
      <w:marRight w:val="0"/>
      <w:marTop w:val="0"/>
      <w:marBottom w:val="0"/>
      <w:divBdr>
        <w:top w:val="none" w:sz="0" w:space="0" w:color="auto"/>
        <w:left w:val="none" w:sz="0" w:space="0" w:color="auto"/>
        <w:bottom w:val="none" w:sz="0" w:space="0" w:color="auto"/>
        <w:right w:val="none" w:sz="0" w:space="0" w:color="auto"/>
      </w:divBdr>
    </w:div>
    <w:div w:id="1420365063">
      <w:bodyDiv w:val="1"/>
      <w:marLeft w:val="0"/>
      <w:marRight w:val="0"/>
      <w:marTop w:val="0"/>
      <w:marBottom w:val="0"/>
      <w:divBdr>
        <w:top w:val="none" w:sz="0" w:space="0" w:color="auto"/>
        <w:left w:val="none" w:sz="0" w:space="0" w:color="auto"/>
        <w:bottom w:val="none" w:sz="0" w:space="0" w:color="auto"/>
        <w:right w:val="none" w:sz="0" w:space="0" w:color="auto"/>
      </w:divBdr>
    </w:div>
    <w:div w:id="1448354286">
      <w:bodyDiv w:val="1"/>
      <w:marLeft w:val="0"/>
      <w:marRight w:val="0"/>
      <w:marTop w:val="0"/>
      <w:marBottom w:val="0"/>
      <w:divBdr>
        <w:top w:val="none" w:sz="0" w:space="0" w:color="auto"/>
        <w:left w:val="none" w:sz="0" w:space="0" w:color="auto"/>
        <w:bottom w:val="none" w:sz="0" w:space="0" w:color="auto"/>
        <w:right w:val="none" w:sz="0" w:space="0" w:color="auto"/>
      </w:divBdr>
    </w:div>
    <w:div w:id="1452430523">
      <w:bodyDiv w:val="1"/>
      <w:marLeft w:val="0"/>
      <w:marRight w:val="0"/>
      <w:marTop w:val="0"/>
      <w:marBottom w:val="0"/>
      <w:divBdr>
        <w:top w:val="none" w:sz="0" w:space="0" w:color="auto"/>
        <w:left w:val="none" w:sz="0" w:space="0" w:color="auto"/>
        <w:bottom w:val="none" w:sz="0" w:space="0" w:color="auto"/>
        <w:right w:val="none" w:sz="0" w:space="0" w:color="auto"/>
      </w:divBdr>
    </w:div>
    <w:div w:id="1513372585">
      <w:bodyDiv w:val="1"/>
      <w:marLeft w:val="0"/>
      <w:marRight w:val="0"/>
      <w:marTop w:val="0"/>
      <w:marBottom w:val="0"/>
      <w:divBdr>
        <w:top w:val="none" w:sz="0" w:space="0" w:color="auto"/>
        <w:left w:val="none" w:sz="0" w:space="0" w:color="auto"/>
        <w:bottom w:val="none" w:sz="0" w:space="0" w:color="auto"/>
        <w:right w:val="none" w:sz="0" w:space="0" w:color="auto"/>
      </w:divBdr>
    </w:div>
    <w:div w:id="1624311879">
      <w:bodyDiv w:val="1"/>
      <w:marLeft w:val="0"/>
      <w:marRight w:val="0"/>
      <w:marTop w:val="0"/>
      <w:marBottom w:val="0"/>
      <w:divBdr>
        <w:top w:val="none" w:sz="0" w:space="0" w:color="auto"/>
        <w:left w:val="none" w:sz="0" w:space="0" w:color="auto"/>
        <w:bottom w:val="none" w:sz="0" w:space="0" w:color="auto"/>
        <w:right w:val="none" w:sz="0" w:space="0" w:color="auto"/>
      </w:divBdr>
    </w:div>
    <w:div w:id="1664819211">
      <w:bodyDiv w:val="1"/>
      <w:marLeft w:val="0"/>
      <w:marRight w:val="0"/>
      <w:marTop w:val="0"/>
      <w:marBottom w:val="0"/>
      <w:divBdr>
        <w:top w:val="none" w:sz="0" w:space="0" w:color="auto"/>
        <w:left w:val="none" w:sz="0" w:space="0" w:color="auto"/>
        <w:bottom w:val="none" w:sz="0" w:space="0" w:color="auto"/>
        <w:right w:val="none" w:sz="0" w:space="0" w:color="auto"/>
      </w:divBdr>
    </w:div>
    <w:div w:id="1758868064">
      <w:bodyDiv w:val="1"/>
      <w:marLeft w:val="0"/>
      <w:marRight w:val="0"/>
      <w:marTop w:val="0"/>
      <w:marBottom w:val="0"/>
      <w:divBdr>
        <w:top w:val="none" w:sz="0" w:space="0" w:color="auto"/>
        <w:left w:val="none" w:sz="0" w:space="0" w:color="auto"/>
        <w:bottom w:val="none" w:sz="0" w:space="0" w:color="auto"/>
        <w:right w:val="none" w:sz="0" w:space="0" w:color="auto"/>
      </w:divBdr>
    </w:div>
    <w:div w:id="1795516996">
      <w:bodyDiv w:val="1"/>
      <w:marLeft w:val="0"/>
      <w:marRight w:val="0"/>
      <w:marTop w:val="0"/>
      <w:marBottom w:val="0"/>
      <w:divBdr>
        <w:top w:val="none" w:sz="0" w:space="0" w:color="auto"/>
        <w:left w:val="none" w:sz="0" w:space="0" w:color="auto"/>
        <w:bottom w:val="none" w:sz="0" w:space="0" w:color="auto"/>
        <w:right w:val="none" w:sz="0" w:space="0" w:color="auto"/>
      </w:divBdr>
    </w:div>
    <w:div w:id="1813667350">
      <w:bodyDiv w:val="1"/>
      <w:marLeft w:val="0"/>
      <w:marRight w:val="0"/>
      <w:marTop w:val="0"/>
      <w:marBottom w:val="0"/>
      <w:divBdr>
        <w:top w:val="none" w:sz="0" w:space="0" w:color="auto"/>
        <w:left w:val="none" w:sz="0" w:space="0" w:color="auto"/>
        <w:bottom w:val="none" w:sz="0" w:space="0" w:color="auto"/>
        <w:right w:val="none" w:sz="0" w:space="0" w:color="auto"/>
      </w:divBdr>
    </w:div>
    <w:div w:id="2078165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toezeggingen/detail?id=TZ202506-008&amp;did=TZ202506-00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2104</ap:Words>
  <ap:Characters>11574</ap:Characters>
  <ap:DocSecurity>0</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Kabinetsreactie IOB-evaluatie Makandra-programma 2021-2025</vt:lpstr>
      <vt:lpstr>Kabinetsreactie IOB-evaluatie Makandra-programma 2021-2025</vt:lpstr>
    </vt:vector>
  </ap:TitlesOfParts>
  <ap:LinksUpToDate>false</ap:LinksUpToDate>
  <ap:CharactersWithSpaces>13651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2025-10-14T14:49:00.0000000Z</dcterms:created>
  <dcterms:modified xsi:type="dcterms:W3CDTF">2025-12-01T11:25:00.0000000Z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1113412c-eae3-4953-a620-af126bd36f52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