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2025Z20947</w:t>
        <w:br/>
      </w:r>
      <w:proofErr w:type="spellEnd"/>
    </w:p>
    <w:p>
      <w:pPr>
        <w:pStyle w:val="Normal"/>
        <w:rPr>
          <w:b w:val="1"/>
          <w:bCs w:val="1"/>
        </w:rPr>
      </w:pPr>
      <w:r w:rsidR="250AE766">
        <w:rPr>
          <w:b w:val="0"/>
          <w:bCs w:val="0"/>
        </w:rPr>
        <w:t>(ingezonden 2 december 2025)</w:t>
        <w:br/>
      </w:r>
    </w:p>
    <w:p>
      <w:r>
        <w:t xml:space="preserve">Vragen van het lid Vermeer (BBB) aan de ministers van Klimaat en Groene Groei en van Volkshuisvesting en Ruimtelijke Ordening over de verhoogde kans op energiearmoede van kinderen in krimp- en grensregio’s.</w:t>
      </w:r>
      <w:r>
        <w:br/>
      </w:r>
    </w:p>
    <w:p>
      <w:r>
        <w:t xml:space="preserve"> </w:t>
      </w:r>
      <w:r>
        <w:br/>
      </w:r>
    </w:p>
    <w:p>
      <w:pPr>
        <w:pStyle w:val="ListParagraph"/>
        <w:numPr>
          <w:ilvl w:val="0"/>
          <w:numId w:val="100491710"/>
        </w:numPr>
        <w:ind w:left="360"/>
      </w:pPr>
      <w:r>
        <w:t xml:space="preserve">Bent u bekend met het feit dat kinderen in krimp- en grensregio’s een bovengemiddelde kans hebben om in energiearmoede op te groeien?[1]</w:t>
      </w:r>
      <w:r>
        <w:br/>
      </w:r>
    </w:p>
    <w:p>
      <w:pPr>
        <w:pStyle w:val="ListParagraph"/>
        <w:numPr>
          <w:ilvl w:val="0"/>
          <w:numId w:val="100491710"/>
        </w:numPr>
        <w:ind w:left="360"/>
      </w:pPr>
      <w:r>
        <w:t xml:space="preserve">Deelt u de mening dat het onacceptabel is dat kinderen in krimp- en grensregio's een grotere kans hebben om in energiearmoede op te groeien?</w:t>
      </w:r>
      <w:r>
        <w:br/>
      </w:r>
    </w:p>
    <w:p>
      <w:pPr>
        <w:pStyle w:val="ListParagraph"/>
        <w:numPr>
          <w:ilvl w:val="0"/>
          <w:numId w:val="100491710"/>
        </w:numPr>
        <w:ind w:left="360"/>
      </w:pPr>
      <w:r>
        <w:t xml:space="preserve">Hoe bent u van plan te waarborgen dat gezinnen met kinderen in krimp- en grensregio’s toegang houden tot betaalbare energie?</w:t>
      </w:r>
      <w:r>
        <w:br/>
      </w:r>
    </w:p>
    <w:p>
      <w:pPr>
        <w:pStyle w:val="ListParagraph"/>
        <w:numPr>
          <w:ilvl w:val="0"/>
          <w:numId w:val="100491710"/>
        </w:numPr>
        <w:ind w:left="360"/>
      </w:pPr>
      <w:r>
        <w:t xml:space="preserve">Deelt u het inzicht dat krimpregio’s zoals Zuid-Limburg en Noord-Groningen te maken hebben met een dubbele kwetsbaarheid, namelijk (1) slechtere energetische kwaliteit van de woningvoorraad en (2) demografische achteruitgang?</w:t>
      </w:r>
      <w:r>
        <w:br/>
      </w:r>
    </w:p>
    <w:p>
      <w:pPr>
        <w:pStyle w:val="ListParagraph"/>
        <w:numPr>
          <w:ilvl w:val="0"/>
          <w:numId w:val="100491710"/>
        </w:numPr>
        <w:ind w:left="360"/>
      </w:pPr>
      <w:r>
        <w:t xml:space="preserve">Bent u bereid concrete maatregelen te nemen om in aansluiting op het rapport ‘Elke regio telt!’ deze regionale ongelijkheden te verkleinen, zo ja welke en zo nee waarom niet?</w:t>
      </w:r>
      <w:r>
        <w:br/>
      </w:r>
    </w:p>
    <w:p>
      <w:pPr>
        <w:pStyle w:val="ListParagraph"/>
        <w:numPr>
          <w:ilvl w:val="0"/>
          <w:numId w:val="100491710"/>
        </w:numPr>
        <w:ind w:left="360"/>
      </w:pPr>
      <w:r>
        <w:t xml:space="preserve">Op welke wijze wordt met betrekking tot de verhoogde kans op energiearmoede van kinderen in krimp- en grensregio’s de regiotoets uitgevoerd, zodat de gevolgen voor regio’s en plattelandsgebieden expliciet worden meegewogen, in lijn met de aangenomen motie van het lid Van der Plas over onderzoeken hoe een plattelandstoets nader uitgewerkt kan worden en een rol kan spelen bij overheidsbeleid en wet- en regelgeving (Kamerstuk 36 410, nr. 121)?</w:t>
      </w:r>
      <w:r>
        <w:br/>
      </w:r>
    </w:p>
    <w:p>
      <w:pPr>
        <w:pStyle w:val="ListParagraph"/>
        <w:numPr>
          <w:ilvl w:val="0"/>
          <w:numId w:val="100491710"/>
        </w:numPr>
        <w:ind w:left="360"/>
      </w:pPr>
      <w:r>
        <w:t xml:space="preserve">Kunt u een actuele uitsplitsing geven van energiearmoede naar regio, inclusief het aantal huishoudens dat te maken heeft met onderconsumptie (het structureel uitzetten of laag houden van verwarming)?</w:t>
      </w:r>
      <w:r>
        <w:br/>
      </w:r>
    </w:p>
    <w:p>
      <w:pPr>
        <w:pStyle w:val="ListParagraph"/>
        <w:numPr>
          <w:ilvl w:val="0"/>
          <w:numId w:val="100491710"/>
        </w:numPr>
        <w:ind w:left="360"/>
      </w:pPr>
      <w:r>
        <w:t xml:space="preserve">Klopt het dat beleid rondom energiearmoede momenteel versnipperd is over meerdere ministeries (Klimaat en Groene Groei, Volkshuisvesting en Ruimtelijke Ordening, Sociale Zaken en Werkgelegenheid) en dat hierdoor een overkoepelende visie ontbreekt?</w:t>
      </w:r>
      <w:r>
        <w:br/>
      </w:r>
    </w:p>
    <w:p>
      <w:pPr>
        <w:pStyle w:val="ListParagraph"/>
        <w:numPr>
          <w:ilvl w:val="0"/>
          <w:numId w:val="100491710"/>
        </w:numPr>
        <w:ind w:left="360"/>
      </w:pPr>
      <w:r>
        <w:t xml:space="preserve">Bent u bereid een langetermijnstrategie energiearmoede op te stellen met duidelijke doelen, indicatoren en interdepartementale coördinatie?</w:t>
      </w:r>
      <w:r>
        <w:br/>
      </w:r>
    </w:p>
    <w:p>
      <w:pPr>
        <w:pStyle w:val="ListParagraph"/>
        <w:numPr>
          <w:ilvl w:val="0"/>
          <w:numId w:val="100491710"/>
        </w:numPr>
        <w:ind w:left="360"/>
      </w:pPr>
      <w:r>
        <w:t xml:space="preserve">Herkent u de signalen dat de private sector - zoals netbeheerders en energiebedrijven - bereid is een grotere rol te spelen in het opsporen en oplossen van energiearmoede?</w:t>
      </w:r>
      <w:r>
        <w:br/>
      </w:r>
    </w:p>
    <w:p>
      <w:pPr>
        <w:pStyle w:val="ListParagraph"/>
        <w:numPr>
          <w:ilvl w:val="0"/>
          <w:numId w:val="100491710"/>
        </w:numPr>
        <w:ind w:left="360"/>
      </w:pPr>
      <w:r>
        <w:t xml:space="preserve">Bent u bereid deze rol te verankeren, bijvoorbeeld door afspraken over vroegsignalering, datadeling en lokale samenwerking?</w:t>
      </w:r>
      <w:r>
        <w:br/>
      </w:r>
    </w:p>
    <w:p>
      <w:pPr>
        <w:pStyle w:val="ListParagraph"/>
        <w:numPr>
          <w:ilvl w:val="0"/>
          <w:numId w:val="100491710"/>
        </w:numPr>
        <w:ind w:left="360"/>
      </w:pPr>
      <w:r>
        <w:t xml:space="preserve">Bent u bereid de rol van energiecoöperaties en energiecoaches te versterken in de aanpak van energiearmoede, gelet op hun nabijheid en het grotere vertrouwen dat zij genieten in wijken?</w:t>
      </w:r>
      <w:r>
        <w:br/>
      </w:r>
    </w:p>
    <w:p>
      <w:pPr>
        <w:pStyle w:val="ListParagraph"/>
        <w:numPr>
          <w:ilvl w:val="0"/>
          <w:numId w:val="100491710"/>
        </w:numPr>
        <w:ind w:left="360"/>
      </w:pPr>
      <w:r>
        <w:t xml:space="preserve">Hoe gaat u gemeenten ondersteunen in het benutten van bestaande buurtpunten en wijkcentra bij het bereiken van moeilijk bereikbare groepen, waaronder bewoners met diverse culturele achtergronden?</w:t>
      </w:r>
      <w:r>
        <w:br/>
      </w:r>
    </w:p>
    <w:p>
      <w:pPr>
        <w:pStyle w:val="ListParagraph"/>
        <w:numPr>
          <w:ilvl w:val="0"/>
          <w:numId w:val="100491710"/>
        </w:numPr>
        <w:ind w:left="360"/>
      </w:pPr>
      <w:r>
        <w:t xml:space="preserve">Hoe voorkomt u dat huurders opgescheept blijven met torenhoge energierekeningen als gevolg van slechte woningkwaliteit waar zij zelf niet in kunnen of mogen investeren?</w:t>
      </w:r>
      <w:r>
        <w:br/>
      </w:r>
    </w:p>
    <w:p>
      <w:pPr>
        <w:pStyle w:val="ListParagraph"/>
        <w:numPr>
          <w:ilvl w:val="0"/>
          <w:numId w:val="100491710"/>
        </w:numPr>
        <w:ind w:left="360"/>
      </w:pPr>
      <w:r>
        <w:t xml:space="preserve">Wilt u de Kamer uiterlijk eind december dit jaar informeren over wat u gaat doen met de aanbevelingen uit het rapport van TNO?</w:t>
      </w:r>
      <w:r>
        <w:br/>
      </w:r>
    </w:p>
    <w:p>
      <w:r>
        <w:t xml:space="preserve"> </w:t>
      </w:r>
      <w:r>
        <w:br/>
      </w:r>
    </w:p>
    <w:p>
      <w:r>
        <w:t xml:space="preserve"> </w:t>
      </w:r>
      <w:r>
        <w:br/>
      </w:r>
    </w:p>
    <w:p>
      <w:r>
        <w:t xml:space="preserve">[1] TNO, 19 november 2025, ‘1 op de 12 kinderen groeit op in energiearmoede’. (https://www.tno.nl/nl/newsroom/2025/11/kinderen-in-energiearmoede/)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710">
    <w:abstractNumId w:val="100491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